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zgd8kootsj" w:id="0"/>
      <w:bookmarkEnd w:id="0"/>
      <w:r w:rsidDel="00000000" w:rsidR="00000000" w:rsidRPr="00000000">
        <w:rPr>
          <w:b w:val="1"/>
          <w:color w:val="990000"/>
          <w:rtl w:val="0"/>
        </w:rPr>
        <w:t xml:space="preserve">Factom Authority Node Operator Committees</w:t>
      </w:r>
      <w:r w:rsidDel="00000000" w:rsidR="00000000" w:rsidRPr="00000000">
        <w:rPr>
          <w:rtl w:val="0"/>
        </w:rPr>
      </w:r>
    </w:p>
    <w:p w:rsidR="00000000" w:rsidDel="00000000" w:rsidP="00000000" w:rsidRDefault="00000000" w:rsidRPr="00000000" w14:paraId="00000002">
      <w:pPr>
        <w:pStyle w:val="Heading2"/>
        <w:jc w:val="center"/>
        <w:rPr>
          <w:b w:val="1"/>
        </w:rPr>
      </w:pPr>
      <w:bookmarkStart w:colFirst="0" w:colLast="0" w:name="_ggnxe8bbw906" w:id="1"/>
      <w:bookmarkEnd w:id="1"/>
      <w:r w:rsidDel="00000000" w:rsidR="00000000" w:rsidRPr="00000000">
        <w:rPr>
          <w:b w:val="1"/>
          <w:rtl w:val="0"/>
        </w:rPr>
        <w:t xml:space="preserve">Exchange Committee </w:t>
      </w:r>
    </w:p>
    <w:p w:rsidR="00000000" w:rsidDel="00000000" w:rsidP="00000000" w:rsidRDefault="00000000" w:rsidRPr="00000000" w14:paraId="00000003">
      <w:pPr>
        <w:pStyle w:val="Heading3"/>
        <w:jc w:val="center"/>
        <w:rPr/>
      </w:pPr>
      <w:bookmarkStart w:colFirst="0" w:colLast="0" w:name="_x1pstsxomblv" w:id="2"/>
      <w:bookmarkEnd w:id="2"/>
      <w:r w:rsidDel="00000000" w:rsidR="00000000" w:rsidRPr="00000000">
        <w:rPr>
          <w:rtl w:val="0"/>
        </w:rPr>
        <w:t xml:space="preserve">Monthly Report: June 2018</w:t>
      </w:r>
    </w:p>
    <w:p w:rsidR="00000000" w:rsidDel="00000000" w:rsidP="00000000" w:rsidRDefault="00000000" w:rsidRPr="00000000" w14:paraId="00000004">
      <w:pPr>
        <w:pStyle w:val="Heading2"/>
        <w:keepNext w:val="0"/>
        <w:keepLines w:val="0"/>
        <w:spacing w:after="0" w:before="0" w:line="288" w:lineRule="auto"/>
        <w:rPr/>
      </w:pPr>
      <w:bookmarkStart w:colFirst="0" w:colLast="0" w:name="_lzpj91imbed4" w:id="3"/>
      <w:bookmarkEnd w:id="3"/>
      <w:r w:rsidDel="00000000" w:rsidR="00000000" w:rsidRPr="00000000">
        <w:rPr>
          <w:rtl w:val="0"/>
        </w:rPr>
      </w:r>
    </w:p>
    <w:p w:rsidR="00000000" w:rsidDel="00000000" w:rsidP="00000000" w:rsidRDefault="00000000" w:rsidRPr="00000000" w14:paraId="00000005">
      <w:pPr>
        <w:pStyle w:val="Heading4"/>
        <w:rPr/>
      </w:pPr>
      <w:bookmarkStart w:colFirst="0" w:colLast="0" w:name="_o8xl23y190dm" w:id="4"/>
      <w:bookmarkEnd w:id="4"/>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The exchange committee got off to a slow start this month and is only now starting to make progress developing a strategy for moving forward. What we have accomplished: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Reached out to Andrew Yashchuk from Factom Inc. who has been responsible for Inc’s collaboration with various exchanges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Begun formulating a plan for approaching exchanges, including writing up a formal and standardized letter to make contact with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Started discussing how to coordinate OTC market batches for ANOs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Created a spreadsheet of all cryptocurrency exchanges and status of FCT on each (in progress)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goals for the next month: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Elect a chairperson to be responsible for organizing and leading the committee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Finish strategy plan and draft up standardized letter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Add Andrew Yashchuk to the committee and get all members on the same page regarding current status of exchanges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Choose several exchanges to target and begin process of working with them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 about future reports:</w:t>
        <w:br w:type="textWrapping"/>
        <w:br w:type="textWrapping"/>
        <w:t xml:space="preserve">The Exchange Committee is committed to providing as much transparency into our work as possible but due to the nature of getting listed on exchanges our team will almost certainly be under NDAs which may even prohibit sharing the name of the exchanges we are currently working with until after a successful listing. We will provide as much insight into our progress as possible but we ask for understanding from the ANOs if we can’t be as specific and detailed as we or the ANO community would like. This is the nature of the game when getting listed on centralized institutions and we will have to play by their rules. </w:t>
      </w:r>
    </w:p>
    <w:p w:rsidR="00000000" w:rsidDel="00000000" w:rsidP="00000000" w:rsidRDefault="00000000" w:rsidRPr="00000000" w14:paraId="00000015">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