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F29BC">
      <w:pPr>
        <w:jc w:val="both"/>
      </w:pPr>
      <w:bookmarkStart w:id="0" w:name="_GoBack"/>
      <w:bookmarkEnd w:id="0"/>
    </w:p>
    <w:p w14:paraId="1F9A6EED">
      <w:pPr>
        <w:jc w:val="center"/>
      </w:pPr>
      <w:r>
        <w:rPr>
          <w:rFonts w:ascii="黑体" w:hAnsi="黑体" w:eastAsia="黑体"/>
          <w:b/>
          <w:sz w:val="36"/>
        </w:rPr>
        <w:t>企业数字化转型对经营绩效的影响</w:t>
      </w:r>
      <w:r>
        <w:rPr>
          <w:rFonts w:ascii="黑体" w:hAnsi="黑体" w:eastAsia="黑体"/>
          <w:b/>
          <w:sz w:val="36"/>
        </w:rPr>
        <w:br w:type="textWrapping"/>
      </w:r>
      <w:r>
        <w:rPr>
          <w:rFonts w:ascii="黑体" w:hAnsi="黑体" w:eastAsia="黑体"/>
          <w:b/>
          <w:sz w:val="36"/>
        </w:rPr>
        <w:t>——基于A股上市公司年报NLP文本测度的实证研究</w:t>
      </w:r>
    </w:p>
    <w:p w14:paraId="692FC26A"/>
    <w:p w14:paraId="2F1A87B4">
      <w:pPr>
        <w:jc w:val="center"/>
      </w:pPr>
      <w:r>
        <w:t>课程名称：__</w:t>
      </w:r>
      <w:r>
        <w:rPr>
          <w:rFonts w:hint="eastAsia"/>
        </w:rPr>
        <w:t>人工智能工具应用实践</w:t>
      </w:r>
      <w:r>
        <w:t>______________________</w:t>
      </w:r>
    </w:p>
    <w:p w14:paraId="44C791EE">
      <w:pPr>
        <w:jc w:val="center"/>
      </w:pPr>
      <w:r>
        <w:t>学生姓名：__</w:t>
      </w:r>
      <w:r>
        <w:rPr>
          <w:rFonts w:hint="eastAsia"/>
        </w:rPr>
        <w:t>陆馨</w:t>
      </w:r>
      <w:r>
        <w:t>______________________</w:t>
      </w:r>
    </w:p>
    <w:p w14:paraId="78A1821D">
      <w:pPr>
        <w:jc w:val="center"/>
      </w:pPr>
      <w:r>
        <w:t>学号：________</w:t>
      </w:r>
      <w:r>
        <w:rPr>
          <w:rFonts w:hint="eastAsia"/>
        </w:rPr>
        <w:t>202364020</w:t>
      </w:r>
      <w:r>
        <w:t>____________________</w:t>
      </w:r>
    </w:p>
    <w:p w14:paraId="6BA1E013">
      <w:pPr>
        <w:jc w:val="center"/>
      </w:pPr>
      <w:r>
        <w:t>学院/专业：__</w:t>
      </w:r>
      <w:r>
        <w:rPr>
          <w:rFonts w:hint="eastAsia"/>
        </w:rPr>
        <w:t>管理学院</w:t>
      </w:r>
      <w:r>
        <w:t>_____________________</w:t>
      </w:r>
    </w:p>
    <w:p w14:paraId="24CB52BA">
      <w:pPr>
        <w:jc w:val="center"/>
      </w:pPr>
      <w:r>
        <w:t>指导教师：_____</w:t>
      </w:r>
      <w:r>
        <w:rPr>
          <w:rFonts w:hint="eastAsia"/>
        </w:rPr>
        <w:t>孙智广</w:t>
      </w:r>
      <w:r>
        <w:t>___________________</w:t>
      </w:r>
    </w:p>
    <w:p w14:paraId="1FEBD015">
      <w:r>
        <w:br w:type="page"/>
      </w:r>
    </w:p>
    <w:p w14:paraId="43968A2B">
      <w:pPr>
        <w:pStyle w:val="3"/>
      </w:pPr>
      <w:r>
        <w:t>摘  要</w:t>
      </w:r>
    </w:p>
    <w:p w14:paraId="67D4FEC0">
      <w:pPr>
        <w:spacing w:line="360" w:lineRule="auto"/>
        <w:ind w:firstLine="420"/>
      </w:pPr>
      <w:r>
        <w:t>在数字经济持续发展背景下，企业数字化转型已成为影响组织结构、资源配置与经营效率的重要因素。如何以可复现方式度量企业数字化转型，并进一步识别其与经营绩效之间的关系，是数字经济与公司金融研究中的重要问题。本文以A股上市公司年度报告文本为研究对象，构建基于自然语言处理（NLP）的企业数字化转型测度框架。研究首先建立包含人工智能、大数据、云计算、区块链和数字技术应用五类词汇的数字化转型词典，依次完成PDF文本提取、文本清洗、关键词识别与词频统计，并以数字化关键词总频次加1后取自然对数构造企业数字化转型指标Digital。在此基础上，以总资产收益率ROA衡量企业经营绩效，并引入企业规模、资产负债率、营业收入增长率、企业年龄和经营现金流等控制变量，构建企业—年份面板回归模型。为保证课程预演的可复现性，本文同时设计描述性统计、内部一致性检验、相关性分析、基准回归和稳健性检验流程。预演数据结果表明，数字化转型指标与ROA呈正向统计关系，在加入控制变量后方向保持稳定；替换数字化指标以及使用滞后一期解释变量后，核心结论方向未发生明显改变。本文的主要价值在于将年报非结构化文本转化为可计算的企业层面指标，并形成从文本获取到实证检验的完整Python流程，为后续使用真实上市公司数据开展正式毕业论文研究提供可复现的方法基础。需要说明的是，本文实证表格中的数值为课程预演用模拟数据，不代表真实A股总体估计结果。</w:t>
      </w:r>
    </w:p>
    <w:p w14:paraId="77891DBD">
      <w:pPr>
        <w:spacing w:before="160"/>
      </w:pPr>
      <w:r>
        <w:t>关键词：数字化转型；自然语言处理；年报文本；经营绩效；A股上市公司</w:t>
      </w:r>
    </w:p>
    <w:p w14:paraId="216024EA">
      <w:pPr>
        <w:pStyle w:val="3"/>
      </w:pPr>
      <w:r>
        <w:t>目录</w:t>
      </w:r>
    </w:p>
    <w:p w14:paraId="22E5CAAF">
      <w:r>
        <w:t>1 绪论</w:t>
      </w:r>
    </w:p>
    <w:p w14:paraId="70327D23">
      <w:r>
        <w:t>2 理论分析与研究假设</w:t>
      </w:r>
    </w:p>
    <w:p w14:paraId="38B7D243">
      <w:r>
        <w:t>3 研究设计与NLP测度方法</w:t>
      </w:r>
    </w:p>
    <w:p w14:paraId="18ADB83D">
      <w:r>
        <w:t xml:space="preserve">    3.8 基于Python的五步可复现NLP研究流程</w:t>
      </w:r>
    </w:p>
    <w:p w14:paraId="236BCE40">
      <w:r>
        <w:t>4 实证分析（课程预演模拟数据）</w:t>
      </w:r>
    </w:p>
    <w:p w14:paraId="13312D63">
      <w:r>
        <w:t>5 结论、局限与展望</w:t>
      </w:r>
    </w:p>
    <w:p w14:paraId="0D43A533">
      <w:r>
        <w:t>参考文献</w:t>
      </w:r>
    </w:p>
    <w:p w14:paraId="07AEBD88">
      <w:r>
        <w:t>附录：提交材料说明</w:t>
      </w:r>
    </w:p>
    <w:p w14:paraId="6E439AE8">
      <w:r>
        <w:br w:type="page"/>
      </w:r>
    </w:p>
    <w:p w14:paraId="310BC745">
      <w:pPr>
        <w:pStyle w:val="3"/>
      </w:pPr>
      <w:r>
        <w:t>1 绪论</w:t>
      </w:r>
    </w:p>
    <w:p w14:paraId="14EB60A1">
      <w:pPr>
        <w:pStyle w:val="4"/>
      </w:pPr>
      <w:r>
        <w:t>1.1 研究背景</w:t>
      </w:r>
    </w:p>
    <w:p w14:paraId="494809D7">
      <w:pPr>
        <w:spacing w:after="80" w:line="360" w:lineRule="auto"/>
        <w:ind w:firstLine="420"/>
      </w:pPr>
      <w:r>
        <w:t>数字技术正在改变企业获取信息、组织生产、服务客户以及配置资源的方式。人工智能、大数据、云计算、区块链以及各类数字平台不断嵌入企业经营活动，企业数字化转型已经从单纯的信息系统建设逐渐扩展为涉及战略、流程、组织与商业模式的综合性变革。对于上市公司而言，数字化投入能否真正转化为经营绩效，不仅关系到企业自身的资源配置效率，也影响资本市场对数字化战略的评价。</w:t>
      </w:r>
    </w:p>
    <w:p w14:paraId="5F5432EA">
      <w:pPr>
        <w:spacing w:after="80" w:line="360" w:lineRule="auto"/>
        <w:ind w:firstLine="420"/>
      </w:pPr>
      <w:r>
        <w:t>企业数字化转型具有明显的“难观测”特征。传统研究常使用问卷、信息化投入、软件资产或是否开展某类数字项目来刻画企业数字化程度，但这些指标往往只能覆盖转型的某一个侧面。上市公司年度报告具有连续披露、覆盖面广和文本信息丰富等特点，其中管理层会对技术投入、业务流程、平台建设、数据治理和未来战略进行描述，因此年报文本为观察企业数字化转型提供了重要的信息来源。已有研究已经采用年报文本识别和词频统计方法刻画企业数字化转型，并检验其与主业绩效、经营效率、投资效率等经济后果之间的关系。</w:t>
      </w:r>
    </w:p>
    <w:p w14:paraId="7F74F860">
      <w:pPr>
        <w:pStyle w:val="4"/>
      </w:pPr>
      <w:r>
        <w:t>1.2 研究意义</w:t>
      </w:r>
    </w:p>
    <w:p w14:paraId="18E61AB6">
      <w:pPr>
        <w:spacing w:after="80" w:line="360" w:lineRule="auto"/>
        <w:ind w:firstLine="420"/>
      </w:pPr>
      <w:r>
        <w:t>在理论层面，本文尝试将自然语言处理方法引入企业数字化转型测度，将难以直接量化的战略性概念转化为企业—年份层面的连续变量。相比单一的“是否数字化”虚拟变量，文本词频能够保留不同企业在数字化关注程度上的差异，并可以进一步分解为人工智能、大数据、云计算、区块链和数字应用等维度。</w:t>
      </w:r>
    </w:p>
    <w:p w14:paraId="38426098">
      <w:pPr>
        <w:spacing w:after="80" w:line="360" w:lineRule="auto"/>
        <w:ind w:firstLine="420"/>
      </w:pPr>
      <w:r>
        <w:t>在实践层面，如果数字化转型与企业经营绩效存在稳定的正向统计关系，那么企业在推进数字化项目时就应更加关注数字技术与主营业务流程的融合，而不是仅仅增加数字化概念披露。对投资者而言，基于年报文本形成的数字化指标可以作为观察企业战略变化的一种辅助工具；对监管者而言，可复现的文本指标有助于从公开披露信息中识别企业数字化进程。</w:t>
      </w:r>
    </w:p>
    <w:p w14:paraId="2FC4530B">
      <w:pPr>
        <w:pStyle w:val="4"/>
      </w:pPr>
      <w:r>
        <w:t>1.3 文献综述</w:t>
      </w:r>
    </w:p>
    <w:p w14:paraId="08B4293B">
      <w:pPr>
        <w:spacing w:after="80" w:line="360" w:lineRule="auto"/>
        <w:ind w:firstLine="420"/>
      </w:pPr>
      <w:r>
        <w:t>第一类研究关注企业数字化转型的测度。年报文本法的基本思路是建立数字化术语词典，对上市公司年报进行分词、清洗和关键词匹配，再根据数字化词汇出现频次构造指标。吴非等相关研究使用上市公司年报文本识别数字化转型强度，并从底层技术运用与技术实践应用等角度建立词汇体系。后续研究进一步扩大数字化术语词典，并尝试利用机器学习、深度学习模型提高数字术语识别的覆盖面。</w:t>
      </w:r>
    </w:p>
    <w:p w14:paraId="7C21FD2C">
      <w:pPr>
        <w:spacing w:after="80" w:line="360" w:lineRule="auto"/>
        <w:ind w:firstLine="420"/>
      </w:pPr>
      <w:r>
        <w:t>第二类研究关注数字化转型的经济后果。已有文献发现，数字化转型可能通过改善内部控制、提升创新能力、扩大市场规模、提高管理效率和改善信息环境等渠道影响企业经营结果。一些研究从主业绩效、经营效率和投资效率等不同角度进行了检验。总体而言，数字化转型与企业绩效之间存在较多正向证据，但不同企业、行业与生命周期阶段可能存在异质性。</w:t>
      </w:r>
    </w:p>
    <w:p w14:paraId="22D81CEF">
      <w:pPr>
        <w:pStyle w:val="4"/>
      </w:pPr>
      <w:r>
        <w:t>1.4 研究Gap与研究问题</w:t>
      </w:r>
    </w:p>
    <w:p w14:paraId="42000B35">
      <w:pPr>
        <w:spacing w:after="80" w:line="360" w:lineRule="auto"/>
        <w:ind w:firstLine="420"/>
      </w:pPr>
      <w:r>
        <w:t>现有研究虽然已经形成较成熟的年报词频测度思路，但在课程实践层面仍存在三个值得解决的问题。第一，部分研究直接使用已经整理好的数字化指数，学生难以观察从原始PDF到最终指标的完整形成过程。第二，词频指标可能受到年报长度、否定语境和“概念堆砌”的影响，因此需要在文本清洗、标准化和稳健性检验中进行处理。第三，仅构造数字化指标并不能回答其经济意义，还需要将文本指标与财务变量合并，形成企业—年份面板并进行统计检验。</w:t>
      </w:r>
    </w:p>
    <w:p w14:paraId="643661A5">
      <w:pPr>
        <w:spacing w:after="80" w:line="360" w:lineRule="auto"/>
        <w:ind w:firstLine="420"/>
      </w:pPr>
      <w:r>
        <w:t>据此，本文提出核心研究问题：企业年报中数字化转型相关词汇的披露强度是否与企业经营绩效存在显著统计关系？进一步地，在控制企业规模、资本结构、成长性、企业年龄和经营现金流后，该关系是否保持稳定？</w:t>
      </w:r>
    </w:p>
    <w:p w14:paraId="4C8A1CF1">
      <w:pPr>
        <w:pStyle w:val="4"/>
      </w:pPr>
      <w:r>
        <w:t>1.5 研究思路与创新</w:t>
      </w:r>
    </w:p>
    <w:p w14:paraId="7C30711B">
      <w:pPr>
        <w:spacing w:after="80" w:line="360" w:lineRule="auto"/>
        <w:ind w:firstLine="420"/>
      </w:pPr>
      <w:r>
        <w:t>本文形成“五步流水线”：第一步，获取上市公司年度报告并提取文本；第二步，对文本进行清洗和规范化；第三步，建立数字化转型词典并计算NLP测度；第四步，将文本测度结果与财务变量匹配形成企业—年份面板；第五步，进行描述性统计、信效度检验、相关性分析和回归分析。本文的创新主要体现为方法复现性：不仅给出测度公式，而且提供对应Python脚本、词典、面板字段和结果表结构，使研究过程能够被重复执行。</w:t>
      </w:r>
    </w:p>
    <w:p w14:paraId="31CCA496">
      <w:pPr>
        <w:pStyle w:val="3"/>
      </w:pPr>
      <w:r>
        <w:t>2 理论分析与研究假设</w:t>
      </w:r>
    </w:p>
    <w:p w14:paraId="5C26A8B2">
      <w:pPr>
        <w:pStyle w:val="4"/>
      </w:pPr>
      <w:r>
        <w:t>2.1 数字化转型与经营绩效</w:t>
      </w:r>
    </w:p>
    <w:p w14:paraId="30153B51">
      <w:pPr>
        <w:spacing w:after="80" w:line="360" w:lineRule="auto"/>
        <w:ind w:firstLine="420"/>
      </w:pPr>
      <w:r>
        <w:t>数字化转型可能通过降低信息处理成本提升企业经营效率。传统组织中，不同部门之间的数据分散在多个业务系统，信息传递存在时间差和重复录入。企业引入数据平台、云服务与智能分析工具后，可以提高信息汇集速度，使管理者更及时地掌握库存、销售、客户和供应链变化，从而改善经营决策。</w:t>
      </w:r>
    </w:p>
    <w:p w14:paraId="459D938E">
      <w:pPr>
        <w:spacing w:after="80" w:line="360" w:lineRule="auto"/>
        <w:ind w:firstLine="420"/>
      </w:pPr>
      <w:r>
        <w:t>其次，数字技术可能促进业务流程标准化与自动化。重复性工作被数字系统替代后，企业可以减少低效率流程，并将人力资源配置到研发、营销和客户服务等更需要判断能力的活动中。数字平台还可能降低企业与客户、供应商之间的沟通成本，帮助企业扩大市场覆盖范围。</w:t>
      </w:r>
    </w:p>
    <w:p w14:paraId="474BDA91">
      <w:pPr>
        <w:spacing w:after="80" w:line="360" w:lineRule="auto"/>
        <w:ind w:firstLine="420"/>
      </w:pPr>
      <w:r>
        <w:t>再次，数字化转型可能增强企业创新能力。人工智能和大数据分析能够帮助企业识别消费者偏好与市场变化，数字化研发工具能够缩短产品设计和测试周期。当数字技术真正嵌入主营业务时，其影响可能体现为收入增长、成本控制和资产使用效率改善，最终反映在ROA等经营绩效指标上。</w:t>
      </w:r>
    </w:p>
    <w:p w14:paraId="79CBF670">
      <w:pPr>
        <w:spacing w:after="80" w:line="360" w:lineRule="auto"/>
        <w:ind w:firstLine="420"/>
      </w:pPr>
      <w:r>
        <w:t>但是，数字化转型并不必然带来即时收益。数字基础设施建设通常需要前期投资，企业还可能面临系统兼容、人才短缺、组织惯性与数据安全成本。如果企业只在年报中增加数字化词汇，而没有形成实际业务能力，则文本指标可能出现“言行不一”。因此本文不把文本披露直接解释为真实数字化资本，而将其视为企业数字化战略关注与实践披露强度的代理变量。</w:t>
      </w:r>
    </w:p>
    <w:p w14:paraId="0FB3C5DD">
      <w:pPr>
        <w:spacing w:after="80" w:line="360" w:lineRule="auto"/>
        <w:ind w:firstLine="420"/>
      </w:pPr>
      <w:r>
        <w:t>基于上述分析，提出研究假设H1：在其他条件相近的情况下，企业数字化转型文本测度水平越高，其经营绩效越高。</w:t>
      </w:r>
    </w:p>
    <w:p w14:paraId="6FAED20D">
      <w:pPr>
        <w:pStyle w:val="4"/>
      </w:pPr>
      <w:r>
        <w:t>2.2 企业特征的控制作用</w:t>
      </w:r>
    </w:p>
    <w:p w14:paraId="7BA145F2">
      <w:pPr>
        <w:spacing w:after="80" w:line="360" w:lineRule="auto"/>
        <w:ind w:firstLine="420"/>
      </w:pPr>
      <w:r>
        <w:t>企业规模可能同时影响数字化转型与经营绩效。大型企业拥有更多资金、人才和数据资源，更容易开展数字化项目，因此本文控制总资产的自然对数Size。资产负债率Lev反映企业资本结构和偿债压力；营业收入增长率Growth反映企业成长性；企业年龄Age可能影响组织惯性和资源积累；经营活动现金流CFO则反映企业内部资金供给能力。将这些变量纳入模型，有助于减少遗漏变量造成的偏误。</w:t>
      </w:r>
    </w:p>
    <w:p w14:paraId="0E2E0431">
      <w:pPr>
        <w:pStyle w:val="4"/>
      </w:pPr>
      <w:r>
        <w:t>2.3 稳健性思路</w:t>
      </w:r>
    </w:p>
    <w:p w14:paraId="1BB32BF0">
      <w:pPr>
        <w:spacing w:after="80" w:line="360" w:lineRule="auto"/>
        <w:ind w:firstLine="420"/>
      </w:pPr>
      <w:r>
        <w:t>为了避免核心结论完全依赖某一种文本指标，本文设置两类稳健性检验。第一，将Digital由“关键词总频次加1取对数”替换为“每万字数字化关键词频次加1取对数”，降低年报篇幅差异的影响。第二，将Digital滞后一期进入模型，用于观察上一年度数字化披露与下一年度经营绩效之间的关系。需要强调的是，这些处理只能缓解部分测量和反向因果问题，并不能完全解决内生性。</w:t>
      </w:r>
    </w:p>
    <w:p w14:paraId="1270113C">
      <w:pPr>
        <w:pStyle w:val="3"/>
      </w:pPr>
      <w:r>
        <w:t>3 研究设计与NLP测度方法</w:t>
      </w:r>
    </w:p>
    <w:p w14:paraId="3659C5F8">
      <w:pPr>
        <w:pStyle w:val="4"/>
      </w:pPr>
      <w:r>
        <w:t>3.1 数据来源与样本设计</w:t>
      </w:r>
    </w:p>
    <w:p w14:paraId="5392F658">
      <w:pPr>
        <w:spacing w:after="80" w:line="360" w:lineRule="auto"/>
        <w:ind w:firstLine="420"/>
      </w:pPr>
      <w:r>
        <w:t>正式研究计划以沪深A股上市公司年度报告为文本来源，并匹配上市公司财务报表数据。年报可从上市公司公开披露渠道获取，财务变量可由公开财务数据库或经过核验的上市公司财务数据整理得到。为了保证课程作业能够完整展示研究步骤，本稿附带的企业—年份数据为固定随机种子生成的DEMO模拟数据，仅用于演示代码运行、表格生成和回归流程，不能被解释为真实A股上市公司的统计事实。</w:t>
      </w:r>
    </w:p>
    <w:p w14:paraId="47C3939E">
      <w:pPr>
        <w:spacing w:after="80" w:line="360" w:lineRule="auto"/>
        <w:ind w:firstLine="420"/>
      </w:pPr>
      <w:r>
        <w:t>正式样本处理时，计划剔除金融行业公司、ST及*ST样本、关键变量缺失样本，并对连续变量进行1%和99%分位缩尾。企业代码和年份共同构成面板主键。文本数据与财务数据合并前，应检查证券代码格式和报告年份，防止代码前导零丢失以及报告期错配。</w:t>
      </w:r>
    </w:p>
    <w:p w14:paraId="3145940F">
      <w:pPr>
        <w:pStyle w:val="4"/>
      </w:pPr>
      <w:r>
        <w:t>3.2 NLP数字化词典构建</w:t>
      </w:r>
    </w:p>
    <w:p w14:paraId="5A5C769D">
      <w:pPr>
        <w:spacing w:after="80" w:line="360" w:lineRule="auto"/>
        <w:ind w:firstLine="420"/>
      </w:pPr>
      <w:r>
        <w:t>本文参考已有年报文本测度思路，将数字化词汇划分为五类。人工智能类包括“人工智能、机器学习、深度学习、智能算法、计算机视觉、自然语言处理”等；大数据类包括“大数据、数据挖掘、数据分析、数据中台、数据治理”等；云计算类包括“云计算、云平台、云服务、云存储”等；区块链类包括“区块链、分布式账本、智能合约”等；数字技术应用类包括“数字化、数字平台、数字营销、智能制造、智慧供应链、工业互联网、数字孪生”等。正式研究可根据权威政策文本和已有文献进一步扩展词典，并通过人工抽样核验关键词所在语句，减少误匹配。</w:t>
      </w:r>
    </w:p>
    <w:p w14:paraId="37A35E81">
      <w:pPr>
        <w:pStyle w:val="4"/>
      </w:pPr>
      <w:r>
        <w:t>3.3 文本处理流程</w:t>
      </w:r>
    </w:p>
    <w:p w14:paraId="0CEB9E74">
      <w:pPr>
        <w:spacing w:after="80" w:line="360" w:lineRule="auto"/>
        <w:ind w:firstLine="420"/>
      </w:pPr>
      <w:r>
        <w:t>第一步为PDF文本提取。对于可复制文本型PDF，可使用Python PDF解析库按页读取；对于扫描版年报，应单独采用OCR，并记录OCR质量。第二步为文本清洗，统一全角半角字符，删除连续空白、页眉页脚、无意义符号，并保留能够表达业务语义的中文文本。第三步为关键词识别。对于固定术语，可直接进行精确匹配；对于需要分词的扩展词典，可将术语加入jieba自定义词典后进行分词。第四步统计各类别关键词频次，并保存企业、年份、总词数、各类别词频和总词频。第五步对指标进行对数化或长度标准化。</w:t>
      </w:r>
    </w:p>
    <w:p w14:paraId="585CC2B7">
      <w:pPr>
        <w:spacing w:after="80" w:line="360" w:lineRule="auto"/>
        <w:ind w:firstLine="420"/>
      </w:pPr>
      <w:r>
        <w:t>为了降低否定语境误判，正式研究中还应检查关键词前后的上下文。例如“尚未应用人工智能”与“已应用人工智能”在简单词频中都会被计数，因此可增加否定词窗口规则，识别“未、尚未、没有、暂未”等词语。同时，对高管简历、供应商名称和纯粹政策引用等非经营性段落可进行剔除或标记。</w:t>
      </w:r>
    </w:p>
    <w:p w14:paraId="297FBE79">
      <w:pPr>
        <w:pStyle w:val="4"/>
      </w:pPr>
      <w:r>
        <w:t>3.4 数字化转型测度公式</w:t>
      </w:r>
    </w:p>
    <w:p w14:paraId="3267FEEA">
      <w:pPr>
        <w:spacing w:after="80" w:line="360" w:lineRule="auto"/>
        <w:ind w:firstLine="420"/>
      </w:pPr>
      <w:r>
        <w:t>本文核心解释变量定义为：</w:t>
      </w:r>
    </w:p>
    <w:p w14:paraId="4590DDBC">
      <w:pPr>
        <w:jc w:val="center"/>
      </w:pPr>
      <w:r>
        <w:rPr>
          <w:rFonts w:ascii="Times New Roman" w:hAnsi="Times New Roman"/>
          <w:sz w:val="22"/>
        </w:rPr>
        <w:t>Digital_it = ln(1 + Σ_k Freq_kit)</w:t>
      </w:r>
    </w:p>
    <w:p w14:paraId="2EBBCBB3">
      <w:pPr>
        <w:spacing w:after="80" w:line="360" w:lineRule="auto"/>
        <w:ind w:firstLine="420"/>
      </w:pPr>
      <w:r>
        <w:t>其中，Freq_kit表示企业i在t年度年报中第k类数字化关键词出现的次数。由于企业之间数字化词频通常呈右偏分布，加1后取自然对数可以降低极端值影响，同时保留零词频样本。</w:t>
      </w:r>
    </w:p>
    <w:p w14:paraId="385266F5">
      <w:pPr>
        <w:spacing w:after="80" w:line="360" w:lineRule="auto"/>
        <w:ind w:firstLine="420"/>
      </w:pPr>
      <w:r>
        <w:t>稳健性指标定义为：</w:t>
      </w:r>
    </w:p>
    <w:p w14:paraId="42A54D34">
      <w:pPr>
        <w:jc w:val="center"/>
      </w:pPr>
      <w:r>
        <w:rPr>
          <w:rFonts w:ascii="Times New Roman" w:hAnsi="Times New Roman"/>
          <w:sz w:val="22"/>
        </w:rPr>
        <w:t>DigitalDensity_it = ln[1 + 10000 × DigitalWords_it / TotalWords_it]</w:t>
      </w:r>
    </w:p>
    <w:p w14:paraId="07E83916">
      <w:pPr>
        <w:spacing w:after="80" w:line="360" w:lineRule="auto"/>
        <w:ind w:firstLine="420"/>
      </w:pPr>
      <w:r>
        <w:t>该指标将数字化词频除以年报总词数，再按每万字进行标准化，可以减少不同企业年报长度差异对测度结果的机械影响。</w:t>
      </w:r>
    </w:p>
    <w:p w14:paraId="422278FF">
      <w:pPr>
        <w:pStyle w:val="4"/>
      </w:pPr>
      <w:r>
        <w:t>3.5 变量定义</w:t>
      </w:r>
    </w:p>
    <w:p w14:paraId="26C7B1C1">
      <w:pPr>
        <w:spacing w:after="80" w:line="360" w:lineRule="auto"/>
        <w:ind w:firstLine="420"/>
      </w:pPr>
      <w:r>
        <w:t>被解释变量为ROA，即净利润与平均总资产之比，用于衡量企业资产创造利润的能力。核心解释变量为Digital。控制变量包括Size、Lev、Growth、Age和CFO。Size为总资产自然对数；Lev为总负债除以总资产；Growth为营业收入同比增长率；Age为企业成立年限加1取自然对数；CFO为经营活动现金流净额除以总资产。</w:t>
      </w:r>
    </w:p>
    <w:p w14:paraId="43EB7606">
      <w:pPr>
        <w:pStyle w:val="4"/>
      </w:pPr>
      <w:r>
        <w:t>3.6 模型设定</w:t>
      </w:r>
    </w:p>
    <w:p w14:paraId="2E3C277D">
      <w:pPr>
        <w:spacing w:after="80" w:line="360" w:lineRule="auto"/>
        <w:ind w:firstLine="420"/>
      </w:pPr>
      <w:r>
        <w:t>基准模型设定如下：</w:t>
      </w:r>
    </w:p>
    <w:p w14:paraId="2102CDF5">
      <w:pPr>
        <w:jc w:val="center"/>
      </w:pPr>
      <w:r>
        <w:rPr>
          <w:rFonts w:ascii="Times New Roman" w:hAnsi="Times New Roman"/>
          <w:sz w:val="22"/>
        </w:rPr>
        <w:t>ROA_it = α + β1 Digital_it + β2 Size_it + β3 Lev_it + β4 Growth_it + β5 Age_it + β6 CFO_it + YearFE + ε_it</w:t>
      </w:r>
    </w:p>
    <w:p w14:paraId="255DE5CF">
      <w:pPr>
        <w:spacing w:after="80" w:line="360" w:lineRule="auto"/>
        <w:ind w:firstLine="420"/>
      </w:pPr>
      <w:r>
        <w:t>正式论文建议进一步加入企业固定效应，并将标准误聚类到企业层面。由于本稿主要承担课程“预演论文”功能，附带代码首先展示OLS与年份虚拟变量的完整可运行流程，同时在README中说明正式研究的扩展方式。</w:t>
      </w:r>
    </w:p>
    <w:p w14:paraId="6FB84921">
      <w:pPr>
        <w:pStyle w:val="4"/>
      </w:pPr>
      <w:r>
        <w:t>3.7 信度与效度检验设计</w:t>
      </w:r>
    </w:p>
    <w:p w14:paraId="549758C3">
      <w:pPr>
        <w:spacing w:after="80" w:line="360" w:lineRule="auto"/>
        <w:ind w:firstLine="420"/>
      </w:pPr>
      <w:r>
        <w:t>数字化转型是潜在概念，五个词频维度可以被视为对同一概念的不同观察。本文采用Cronbach's α作为内部一致性的辅助指标。若五个维度具有一定共同变化趋势，则α值应达到可接受水平。但需要注意，人工智能、云计算和数字应用本身具有不同技术含义，因此α并不是判断词典有效性的唯一标准。</w:t>
      </w:r>
    </w:p>
    <w:p w14:paraId="6BD4E5B0">
      <w:pPr>
        <w:spacing w:after="80" w:line="360" w:lineRule="auto"/>
        <w:ind w:firstLine="420"/>
      </w:pPr>
      <w:r>
        <w:t>效度方面，本文采用内容效度与结构效度相结合的方法。内容效度通过词典来源、人工抽样核验和关键词分类进行保证；结构效度可观察各分维度与总指标Digital之间的相关关系。如果各维度与总指标方向一致且相关程度合理，可以作为聚合效度的辅助证据。正式研究还可将文本指标与第三方数字化指数、软件类无形资产或数字专利等外部指标进行关联验证。</w:t>
      </w:r>
    </w:p>
    <w:p w14:paraId="76E61698">
      <w:pPr>
        <w:pStyle w:val="4"/>
      </w:pPr>
      <w:r>
        <w:t>3.8 基于Python的五步可复现NLP研究流程</w:t>
      </w:r>
    </w:p>
    <w:p w14:paraId="64825FCA">
      <w:pPr>
        <w:spacing w:line="360" w:lineRule="auto"/>
        <w:ind w:firstLine="420"/>
      </w:pPr>
      <w:r>
        <w:t>为提高研究过程的透明度、可检验性与可复现性，本文将从上市公司年度报告到最终实证结果的处理过程拆分为五个相互衔接的Python步骤，即“PDF文本提取—文本清洗—NLP数字化转型测度—企业年份面板合并—统计检验与回归分析”。正文展示每一步的研究目的、输入输出和核心实现逻辑，完整源代码作为论文配套电子材料提交。</w:t>
      </w:r>
    </w:p>
    <w:p w14:paraId="4C90BD78">
      <w:pPr>
        <w:pStyle w:val="5"/>
      </w:pPr>
      <w:r>
        <w:t>3.8.1 第一步：上市公司年报PDF文本提取</w:t>
      </w:r>
    </w:p>
    <w:p w14:paraId="4D03CD0B">
      <w:pPr>
        <w:spacing w:line="360" w:lineRule="auto"/>
        <w:ind w:firstLine="420"/>
      </w:pPr>
      <w:r>
        <w:t>第一步的任务是将非结构化PDF年度报告转换为可供自然语言处理的纯文本文件。为保证企业与年份能够准确匹配，原始文件按照“证券代码_年份.pdf”的方式命名，例如000001_2024.pdf。程序使用pypdf逐页读取PDF并拼接页面文本，最终以UTF-8格式保存。对于扫描型PDF，如果直接提取文字数量过少，程序会给出提示，正式研究应另行采用OCR并人工抽查识别质量。</w:t>
      </w:r>
    </w:p>
    <w:p w14:paraId="33C0BF8F">
      <w:pPr>
        <w:pStyle w:val="164"/>
        <w:keepLines/>
        <w:shd w:val="clear" w:fill="F2F2F2"/>
      </w:pPr>
      <w:r>
        <w:rPr>
          <w:rFonts w:ascii="Consolas" w:hAnsi="Consolas"/>
          <w:sz w:val="17"/>
        </w:rPr>
        <w:t>from pypdf import PdfReader</w:t>
      </w:r>
      <w:r>
        <w:rPr>
          <w:rFonts w:ascii="Consolas" w:hAnsi="Consolas"/>
          <w:sz w:val="17"/>
        </w:rPr>
        <w:br w:type="textWrapping"/>
      </w:r>
      <w:r>
        <w:rPr>
          <w:rFonts w:ascii="Consolas" w:hAnsi="Consolas"/>
          <w:sz w:val="17"/>
        </w:rPr>
        <w:t>reader = PdfReader(str(pdf_path))</w:t>
      </w:r>
      <w:r>
        <w:rPr>
          <w:rFonts w:ascii="Consolas" w:hAnsi="Consolas"/>
          <w:sz w:val="17"/>
        </w:rPr>
        <w:br w:type="textWrapping"/>
      </w:r>
      <w:r>
        <w:rPr>
          <w:rFonts w:ascii="Consolas" w:hAnsi="Consolas"/>
          <w:sz w:val="17"/>
        </w:rPr>
        <w:t>pages = []</w:t>
      </w:r>
      <w:r>
        <w:rPr>
          <w:rFonts w:ascii="Consolas" w:hAnsi="Consolas"/>
          <w:sz w:val="17"/>
        </w:rPr>
        <w:br w:type="textWrapping"/>
      </w:r>
      <w:r>
        <w:rPr>
          <w:rFonts w:ascii="Consolas" w:hAnsi="Consolas"/>
          <w:sz w:val="17"/>
        </w:rPr>
        <w:t>for page in reader.pages:</w:t>
      </w:r>
      <w:r>
        <w:rPr>
          <w:rFonts w:ascii="Consolas" w:hAnsi="Consolas"/>
          <w:sz w:val="17"/>
        </w:rPr>
        <w:br w:type="textWrapping"/>
      </w:r>
      <w:r>
        <w:rPr>
          <w:rFonts w:ascii="Consolas" w:hAnsi="Consolas"/>
          <w:sz w:val="17"/>
        </w:rPr>
        <w:t xml:space="preserve">    pages.append(page.extract_text() or "")</w:t>
      </w:r>
      <w:r>
        <w:rPr>
          <w:rFonts w:ascii="Consolas" w:hAnsi="Consolas"/>
          <w:sz w:val="17"/>
        </w:rPr>
        <w:br w:type="textWrapping"/>
      </w:r>
      <w:r>
        <w:rPr>
          <w:rFonts w:ascii="Consolas" w:hAnsi="Consolas"/>
          <w:sz w:val="17"/>
        </w:rPr>
        <w:t>text = "\n".join(pages)</w:t>
      </w:r>
    </w:p>
    <w:p w14:paraId="6B9C90E7">
      <w:pPr>
        <w:pStyle w:val="5"/>
      </w:pPr>
      <w:r>
        <w:t>3.8.2 第二步：年报文本清洗与规范化</w:t>
      </w:r>
    </w:p>
    <w:p w14:paraId="7E6D2A60">
      <w:pPr>
        <w:spacing w:line="360" w:lineRule="auto"/>
        <w:ind w:firstLine="420"/>
      </w:pPr>
      <w:r>
        <w:t>第二步对提取后的文本进行规范化处理。年报中通常存在连续空格、页码、特殊符号以及固定格式噪声，这些内容会影响关键词统计。本文利用正则表达式压缩连续空白、删除无关字符，并保留中文、英文、数字及必要标点。清洗后的文本统一保存至clean_reports目录，使不同企业和年度的语料具有相对一致的格式。</w:t>
      </w:r>
    </w:p>
    <w:p w14:paraId="183DF7B0">
      <w:pPr>
        <w:pStyle w:val="164"/>
        <w:keepLines/>
        <w:shd w:val="clear" w:fill="F2F2F2"/>
      </w:pPr>
      <w:r>
        <w:rPr>
          <w:rFonts w:ascii="Consolas" w:hAnsi="Consolas"/>
          <w:sz w:val="17"/>
        </w:rPr>
        <w:t>text = re.sub(r"\s+", " ", text)</w:t>
      </w:r>
      <w:r>
        <w:rPr>
          <w:rFonts w:ascii="Consolas" w:hAnsi="Consolas"/>
          <w:sz w:val="17"/>
        </w:rPr>
        <w:br w:type="textWrapping"/>
      </w:r>
      <w:r>
        <w:rPr>
          <w:rFonts w:ascii="Consolas" w:hAnsi="Consolas"/>
          <w:sz w:val="17"/>
        </w:rPr>
        <w:t>text = re.sub(</w:t>
      </w:r>
      <w:r>
        <w:rPr>
          <w:rFonts w:ascii="Consolas" w:hAnsi="Consolas"/>
          <w:sz w:val="17"/>
        </w:rPr>
        <w:br w:type="textWrapping"/>
      </w:r>
      <w:r>
        <w:rPr>
          <w:rFonts w:ascii="Consolas" w:hAnsi="Consolas"/>
          <w:sz w:val="17"/>
        </w:rPr>
        <w:t xml:space="preserve">    r"[^\u4e00-\u9fffA-Za-z0-9%.,，。；;：:（）()\- ]",</w:t>
      </w:r>
      <w:r>
        <w:rPr>
          <w:rFonts w:ascii="Consolas" w:hAnsi="Consolas"/>
          <w:sz w:val="17"/>
        </w:rPr>
        <w:br w:type="textWrapping"/>
      </w:r>
      <w:r>
        <w:rPr>
          <w:rFonts w:ascii="Consolas" w:hAnsi="Consolas"/>
          <w:sz w:val="17"/>
        </w:rPr>
        <w:t xml:space="preserve">    "", text</w:t>
      </w:r>
      <w:r>
        <w:rPr>
          <w:rFonts w:ascii="Consolas" w:hAnsi="Consolas"/>
          <w:sz w:val="17"/>
        </w:rPr>
        <w:br w:type="textWrapping"/>
      </w:r>
      <w:r>
        <w:rPr>
          <w:rFonts w:ascii="Consolas" w:hAnsi="Consolas"/>
          <w:sz w:val="17"/>
        </w:rPr>
        <w:t>)</w:t>
      </w:r>
    </w:p>
    <w:p w14:paraId="7E9DC274">
      <w:pPr>
        <w:pStyle w:val="5"/>
      </w:pPr>
      <w:r>
        <w:t>3.8.3 第三步：NLP数字化转型指标测度</w:t>
      </w:r>
    </w:p>
    <w:p w14:paraId="2621E7BD">
      <w:pPr>
        <w:spacing w:line="360" w:lineRule="auto"/>
        <w:ind w:firstLine="420"/>
      </w:pPr>
      <w:r>
        <w:t>第三步是本文NLP测度的核心。程序读取digital_dictionary.csv，将词汇按照人工智能、大数据、云计算、区块链和数字技术应用等类别组织，并在每份清洗后的年报中统计关键词出现频次。各类别词频相加得到DigitalWords，再通过加1取自然对数构造Digital。为减少年报篇幅差异的机械影响，同时计算每万字数字化关键词密度DigitalDensity。</w:t>
      </w:r>
    </w:p>
    <w:p w14:paraId="5C80C76F">
      <w:pPr>
        <w:pStyle w:val="164"/>
        <w:keepLines/>
        <w:shd w:val="clear" w:fill="F2F2F2"/>
      </w:pPr>
      <w:r>
        <w:rPr>
          <w:rFonts w:ascii="Consolas" w:hAnsi="Consolas"/>
          <w:sz w:val="17"/>
        </w:rPr>
        <w:t>counts = {</w:t>
      </w:r>
      <w:r>
        <w:rPr>
          <w:rFonts w:ascii="Consolas" w:hAnsi="Consolas"/>
          <w:sz w:val="17"/>
        </w:rPr>
        <w:br w:type="textWrapping"/>
      </w:r>
      <w:r>
        <w:rPr>
          <w:rFonts w:ascii="Consolas" w:hAnsi="Consolas"/>
          <w:sz w:val="17"/>
        </w:rPr>
        <w:t xml:space="preserve">    category: sum(text.count(keyword) for keyword in words)</w:t>
      </w:r>
      <w:r>
        <w:rPr>
          <w:rFonts w:ascii="Consolas" w:hAnsi="Consolas"/>
          <w:sz w:val="17"/>
        </w:rPr>
        <w:br w:type="textWrapping"/>
      </w:r>
      <w:r>
        <w:rPr>
          <w:rFonts w:ascii="Consolas" w:hAnsi="Consolas"/>
          <w:sz w:val="17"/>
        </w:rPr>
        <w:t xml:space="preserve">    for category, words in dictionary.items()</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t>digital_words = sum(counts.values())</w:t>
      </w:r>
      <w:r>
        <w:rPr>
          <w:rFonts w:ascii="Consolas" w:hAnsi="Consolas"/>
          <w:sz w:val="17"/>
        </w:rPr>
        <w:br w:type="textWrapping"/>
      </w:r>
      <w:r>
        <w:rPr>
          <w:rFonts w:ascii="Consolas" w:hAnsi="Consolas"/>
          <w:sz w:val="17"/>
        </w:rPr>
        <w:t>Digital = math.log1p(digital_words)</w:t>
      </w:r>
      <w:r>
        <w:rPr>
          <w:rFonts w:ascii="Consolas" w:hAnsi="Consolas"/>
          <w:sz w:val="17"/>
        </w:rPr>
        <w:br w:type="textWrapping"/>
      </w:r>
      <w:r>
        <w:rPr>
          <w:rFonts w:ascii="Consolas" w:hAnsi="Consolas"/>
          <w:sz w:val="17"/>
        </w:rPr>
        <w:t>DigitalDensity = math.log1p(</w:t>
      </w:r>
      <w:r>
        <w:rPr>
          <w:rFonts w:ascii="Consolas" w:hAnsi="Consolas"/>
          <w:sz w:val="17"/>
        </w:rPr>
        <w:br w:type="textWrapping"/>
      </w:r>
      <w:r>
        <w:rPr>
          <w:rFonts w:ascii="Consolas" w:hAnsi="Consolas"/>
          <w:sz w:val="17"/>
        </w:rPr>
        <w:t xml:space="preserve">    10000 * digital_words / total_words</w:t>
      </w:r>
      <w:r>
        <w:rPr>
          <w:rFonts w:ascii="Consolas" w:hAnsi="Consolas"/>
          <w:sz w:val="17"/>
        </w:rPr>
        <w:br w:type="textWrapping"/>
      </w:r>
      <w:r>
        <w:rPr>
          <w:rFonts w:ascii="Consolas" w:hAnsi="Consolas"/>
          <w:sz w:val="17"/>
        </w:rPr>
        <w:t>)</w:t>
      </w:r>
    </w:p>
    <w:p w14:paraId="2DE89D3E">
      <w:pPr>
        <w:pStyle w:val="5"/>
      </w:pPr>
      <w:r>
        <w:t>3.8.4 第四步：企业—年份面板数据合并</w:t>
      </w:r>
    </w:p>
    <w:p w14:paraId="254EE328">
      <w:pPr>
        <w:spacing w:line="360" w:lineRule="auto"/>
        <w:ind w:firstLine="420"/>
      </w:pPr>
      <w:r>
        <w:t>第四步将NLP文本测度结果与企业财务变量进行匹配。本文以证券代码firm_id和年份year作为联合主键，将Digital、DigitalDensity及各数字化分项指标与ROA、Size、Lev、Growth、Age、CFO等变量进行一对一合并。程序同时保留证券代码前导零，并对主要连续变量实施1%和99%分位缩尾，以降低极端值对估计结果的影响。</w:t>
      </w:r>
    </w:p>
    <w:p w14:paraId="64E3CE39">
      <w:pPr>
        <w:pStyle w:val="164"/>
        <w:keepLines/>
        <w:shd w:val="clear" w:fill="F2F2F2"/>
      </w:pPr>
      <w:r>
        <w:rPr>
          <w:rFonts w:ascii="Consolas" w:hAnsi="Consolas"/>
          <w:sz w:val="17"/>
        </w:rPr>
        <w:t>panel = finance.merge(</w:t>
      </w:r>
      <w:r>
        <w:rPr>
          <w:rFonts w:ascii="Consolas" w:hAnsi="Consolas"/>
          <w:sz w:val="17"/>
        </w:rPr>
        <w:br w:type="textWrapping"/>
      </w:r>
      <w:r>
        <w:rPr>
          <w:rFonts w:ascii="Consolas" w:hAnsi="Consolas"/>
          <w:sz w:val="17"/>
        </w:rPr>
        <w:t xml:space="preserve">    measurement,</w:t>
      </w:r>
      <w:r>
        <w:rPr>
          <w:rFonts w:ascii="Consolas" w:hAnsi="Consolas"/>
          <w:sz w:val="17"/>
        </w:rPr>
        <w:br w:type="textWrapping"/>
      </w:r>
      <w:r>
        <w:rPr>
          <w:rFonts w:ascii="Consolas" w:hAnsi="Consolas"/>
          <w:sz w:val="17"/>
        </w:rPr>
        <w:t xml:space="preserve">    on=["firm_id", "year"],</w:t>
      </w:r>
      <w:r>
        <w:rPr>
          <w:rFonts w:ascii="Consolas" w:hAnsi="Consolas"/>
          <w:sz w:val="17"/>
        </w:rPr>
        <w:br w:type="textWrapping"/>
      </w:r>
      <w:r>
        <w:rPr>
          <w:rFonts w:ascii="Consolas" w:hAnsi="Consolas"/>
          <w:sz w:val="17"/>
        </w:rPr>
        <w:t xml:space="preserve">    how="inner",</w:t>
      </w:r>
      <w:r>
        <w:rPr>
          <w:rFonts w:ascii="Consolas" w:hAnsi="Consolas"/>
          <w:sz w:val="17"/>
        </w:rPr>
        <w:br w:type="textWrapping"/>
      </w:r>
      <w:r>
        <w:rPr>
          <w:rFonts w:ascii="Consolas" w:hAnsi="Consolas"/>
          <w:sz w:val="17"/>
        </w:rPr>
        <w:t xml:space="preserve">    validate="one_to_one"</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t>for col in continuous_vars:</w:t>
      </w:r>
      <w:r>
        <w:rPr>
          <w:rFonts w:ascii="Consolas" w:hAnsi="Consolas"/>
          <w:sz w:val="17"/>
        </w:rPr>
        <w:br w:type="textWrapping"/>
      </w:r>
      <w:r>
        <w:rPr>
          <w:rFonts w:ascii="Consolas" w:hAnsi="Consolas"/>
          <w:sz w:val="17"/>
        </w:rPr>
        <w:t xml:space="preserve">    panel[col] = winsorize_series(panel[col])</w:t>
      </w:r>
    </w:p>
    <w:p w14:paraId="46677E8E">
      <w:pPr>
        <w:pStyle w:val="5"/>
      </w:pPr>
      <w:r>
        <w:t>3.8.5 第五步：统计检验、基准回归与稳健性检验</w:t>
      </w:r>
    </w:p>
    <w:p w14:paraId="3F40A8E7">
      <w:pPr>
        <w:spacing w:line="360" w:lineRule="auto"/>
        <w:ind w:firstLine="420"/>
      </w:pPr>
      <w:r>
        <w:t>第五步使用最终企业—年份面板开展统计分析。程序自动生成主要变量的描述性统计，计算数字化分维度的Cronbach's α及其与Digital的相关系数，并输出相关矩阵。随后使用statsmodels估计基准OLS模型，在加入年份固定效应的模型中将标准误聚类到企业层面。稳健性部分分别以DigitalDensity替换核心解释变量，并构造滞后一期Digital重新估计。</w:t>
      </w:r>
    </w:p>
    <w:p w14:paraId="68E61B24">
      <w:pPr>
        <w:pStyle w:val="164"/>
        <w:keepLines/>
        <w:shd w:val="clear" w:fill="F2F2F2"/>
      </w:pPr>
      <w:r>
        <w:rPr>
          <w:rFonts w:ascii="Consolas" w:hAnsi="Consolas"/>
          <w:sz w:val="17"/>
        </w:rPr>
        <w:t>model = smf.ols(</w:t>
      </w:r>
      <w:r>
        <w:rPr>
          <w:rFonts w:ascii="Consolas" w:hAnsi="Consolas"/>
          <w:sz w:val="17"/>
        </w:rPr>
        <w:br w:type="textWrapping"/>
      </w:r>
      <w:r>
        <w:rPr>
          <w:rFonts w:ascii="Consolas" w:hAnsi="Consolas"/>
          <w:sz w:val="17"/>
        </w:rPr>
        <w:t xml:space="preserve">    "ROA ~ Digital + Size + Lev + Growth + Age + CFO + C(year)",</w:t>
      </w:r>
      <w:r>
        <w:rPr>
          <w:rFonts w:ascii="Consolas" w:hAnsi="Consolas"/>
          <w:sz w:val="17"/>
        </w:rPr>
        <w:br w:type="textWrapping"/>
      </w:r>
      <w:r>
        <w:rPr>
          <w:rFonts w:ascii="Consolas" w:hAnsi="Consolas"/>
          <w:sz w:val="17"/>
        </w:rPr>
        <w:t xml:space="preserve">    data=df</w:t>
      </w:r>
      <w:r>
        <w:rPr>
          <w:rFonts w:ascii="Consolas" w:hAnsi="Consolas"/>
          <w:sz w:val="17"/>
        </w:rPr>
        <w:br w:type="textWrapping"/>
      </w:r>
      <w:r>
        <w:rPr>
          <w:rFonts w:ascii="Consolas" w:hAnsi="Consolas"/>
          <w:sz w:val="17"/>
        </w:rPr>
        <w:t>).fit(</w:t>
      </w:r>
      <w:r>
        <w:rPr>
          <w:rFonts w:ascii="Consolas" w:hAnsi="Consolas"/>
          <w:sz w:val="17"/>
        </w:rPr>
        <w:br w:type="textWrapping"/>
      </w:r>
      <w:r>
        <w:rPr>
          <w:rFonts w:ascii="Consolas" w:hAnsi="Consolas"/>
          <w:sz w:val="17"/>
        </w:rPr>
        <w:t xml:space="preserve">    cov_type="cluster",</w:t>
      </w:r>
      <w:r>
        <w:rPr>
          <w:rFonts w:ascii="Consolas" w:hAnsi="Consolas"/>
          <w:sz w:val="17"/>
        </w:rPr>
        <w:br w:type="textWrapping"/>
      </w:r>
      <w:r>
        <w:rPr>
          <w:rFonts w:ascii="Consolas" w:hAnsi="Consolas"/>
          <w:sz w:val="17"/>
        </w:rPr>
        <w:t xml:space="preserve">    cov_kwds={"groups": df["firm_id"]}</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t>df["L1_Digital"] = (</w:t>
      </w:r>
      <w:r>
        <w:rPr>
          <w:rFonts w:ascii="Consolas" w:hAnsi="Consolas"/>
          <w:sz w:val="17"/>
        </w:rPr>
        <w:br w:type="textWrapping"/>
      </w:r>
      <w:r>
        <w:rPr>
          <w:rFonts w:ascii="Consolas" w:hAnsi="Consolas"/>
          <w:sz w:val="17"/>
        </w:rPr>
        <w:t xml:space="preserve">    df.groupby("firm_id")["Digital"].shift(1)</w:t>
      </w:r>
      <w:r>
        <w:rPr>
          <w:rFonts w:ascii="Consolas" w:hAnsi="Consolas"/>
          <w:sz w:val="17"/>
        </w:rPr>
        <w:br w:type="textWrapping"/>
      </w:r>
      <w:r>
        <w:rPr>
          <w:rFonts w:ascii="Consolas" w:hAnsi="Consolas"/>
          <w:sz w:val="17"/>
        </w:rPr>
        <w:t>)</w:t>
      </w:r>
    </w:p>
    <w:p w14:paraId="18560CB7">
      <w:pPr>
        <w:spacing w:line="360" w:lineRule="auto"/>
        <w:ind w:firstLine="420"/>
      </w:pPr>
      <w:r>
        <w:t>对应的核心文本指标为：Digital_it = ln(1 + DigitalWords_it)；DigitalDensity_it = ln[1 + 10000 × DigitalWords_it / TotalWords_it]。其中，DigitalWords_it表示企业i在t年度年报中的数字化关键词总频次，TotalWords_it表示该年度年报文本长度。</w:t>
      </w:r>
    </w:p>
    <w:p w14:paraId="0D6B4E00">
      <w:pPr>
        <w:spacing w:line="360" w:lineRule="auto"/>
        <w:ind w:firstLine="420"/>
      </w:pPr>
      <w:r>
        <w:t>通过上述五步流程，本文实现了从原始年度报告、文本预处理、数字化指标构造、财务数据匹配到统计检验和回归结果输出的完整可复现过程。为保证论文正文的可读性，正文仅展示核心实现逻辑；完整的01_extract_text.py、02_clean_text.py、03_nlp_measure.py、04_merge_panel.py、05_analysis.py以及一键运行脚本run_all.py随论文电子材料一并提交。当前课程预演包中的DEMO数据仅用于验证代码能够完整运行，正式实证结论应在替换为真实年报与经核验财务数据后重新生成。</w:t>
      </w:r>
    </w:p>
    <w:p w14:paraId="36C565B4">
      <w:pPr>
        <w:pStyle w:val="4"/>
      </w:pPr>
      <w:r>
        <w:t>表3-1 变量定义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266"/>
        <w:gridCol w:w="2266"/>
        <w:gridCol w:w="2266"/>
      </w:tblGrid>
      <w:tr w14:paraId="13BC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6FFEFF2A">
            <w:pPr>
              <w:spacing w:after="0" w:line="240" w:lineRule="auto"/>
            </w:pPr>
            <w:r>
              <w:t>变量</w:t>
            </w:r>
          </w:p>
        </w:tc>
        <w:tc>
          <w:tcPr>
            <w:tcW w:w="2266" w:type="dxa"/>
          </w:tcPr>
          <w:p w14:paraId="5254C0C1">
            <w:pPr>
              <w:spacing w:after="0" w:line="240" w:lineRule="auto"/>
            </w:pPr>
            <w:r>
              <w:t>符号</w:t>
            </w:r>
          </w:p>
        </w:tc>
        <w:tc>
          <w:tcPr>
            <w:tcW w:w="2266" w:type="dxa"/>
          </w:tcPr>
          <w:p w14:paraId="5BB7DE92">
            <w:pPr>
              <w:spacing w:after="0" w:line="240" w:lineRule="auto"/>
            </w:pPr>
            <w:r>
              <w:t>定义</w:t>
            </w:r>
          </w:p>
        </w:tc>
        <w:tc>
          <w:tcPr>
            <w:tcW w:w="2266" w:type="dxa"/>
          </w:tcPr>
          <w:p w14:paraId="252AA122">
            <w:pPr>
              <w:spacing w:after="0" w:line="240" w:lineRule="auto"/>
            </w:pPr>
            <w:r>
              <w:t>类型</w:t>
            </w:r>
          </w:p>
        </w:tc>
      </w:tr>
      <w:tr w14:paraId="45B6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AF3D42F">
            <w:pPr>
              <w:spacing w:after="0" w:line="240" w:lineRule="auto"/>
            </w:pPr>
            <w:r>
              <w:t>经营绩效</w:t>
            </w:r>
          </w:p>
        </w:tc>
        <w:tc>
          <w:tcPr>
            <w:tcW w:w="2266" w:type="dxa"/>
          </w:tcPr>
          <w:p w14:paraId="6C9539BB">
            <w:pPr>
              <w:spacing w:after="0" w:line="240" w:lineRule="auto"/>
            </w:pPr>
            <w:r>
              <w:t>ROA</w:t>
            </w:r>
          </w:p>
        </w:tc>
        <w:tc>
          <w:tcPr>
            <w:tcW w:w="2266" w:type="dxa"/>
          </w:tcPr>
          <w:p w14:paraId="2C3ED870">
            <w:pPr>
              <w:spacing w:after="0" w:line="240" w:lineRule="auto"/>
            </w:pPr>
            <w:r>
              <w:t>净利润/平均总资产</w:t>
            </w:r>
          </w:p>
        </w:tc>
        <w:tc>
          <w:tcPr>
            <w:tcW w:w="2266" w:type="dxa"/>
          </w:tcPr>
          <w:p w14:paraId="54D8405C">
            <w:pPr>
              <w:spacing w:after="0" w:line="240" w:lineRule="auto"/>
            </w:pPr>
            <w:r>
              <w:t>被解释变量</w:t>
            </w:r>
          </w:p>
        </w:tc>
      </w:tr>
      <w:tr w14:paraId="64A3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24A0E589">
            <w:pPr>
              <w:spacing w:after="0" w:line="240" w:lineRule="auto"/>
            </w:pPr>
            <w:r>
              <w:t>数字化转型</w:t>
            </w:r>
          </w:p>
        </w:tc>
        <w:tc>
          <w:tcPr>
            <w:tcW w:w="2266" w:type="dxa"/>
          </w:tcPr>
          <w:p w14:paraId="67F040B1">
            <w:pPr>
              <w:spacing w:after="0" w:line="240" w:lineRule="auto"/>
            </w:pPr>
            <w:r>
              <w:t>Digital</w:t>
            </w:r>
          </w:p>
        </w:tc>
        <w:tc>
          <w:tcPr>
            <w:tcW w:w="2266" w:type="dxa"/>
          </w:tcPr>
          <w:p w14:paraId="577595E3">
            <w:pPr>
              <w:spacing w:after="0" w:line="240" w:lineRule="auto"/>
            </w:pPr>
            <w:r>
              <w:t>ln(1+数字化关键词总频次)</w:t>
            </w:r>
          </w:p>
        </w:tc>
        <w:tc>
          <w:tcPr>
            <w:tcW w:w="2266" w:type="dxa"/>
          </w:tcPr>
          <w:p w14:paraId="213412A0">
            <w:pPr>
              <w:spacing w:after="0" w:line="240" w:lineRule="auto"/>
            </w:pPr>
            <w:r>
              <w:t>核心解释变量</w:t>
            </w:r>
          </w:p>
        </w:tc>
      </w:tr>
      <w:tr w14:paraId="38BE7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494C8B6">
            <w:pPr>
              <w:spacing w:after="0" w:line="240" w:lineRule="auto"/>
            </w:pPr>
            <w:r>
              <w:t>数字化密度</w:t>
            </w:r>
          </w:p>
        </w:tc>
        <w:tc>
          <w:tcPr>
            <w:tcW w:w="2266" w:type="dxa"/>
          </w:tcPr>
          <w:p w14:paraId="51F24F25">
            <w:pPr>
              <w:spacing w:after="0" w:line="240" w:lineRule="auto"/>
            </w:pPr>
            <w:r>
              <w:t>DigitalDensity</w:t>
            </w:r>
          </w:p>
        </w:tc>
        <w:tc>
          <w:tcPr>
            <w:tcW w:w="2266" w:type="dxa"/>
          </w:tcPr>
          <w:p w14:paraId="6A69C6B3">
            <w:pPr>
              <w:spacing w:after="0" w:line="240" w:lineRule="auto"/>
            </w:pPr>
            <w:r>
              <w:t>ln(1+每万字数字化关键词数)</w:t>
            </w:r>
          </w:p>
        </w:tc>
        <w:tc>
          <w:tcPr>
            <w:tcW w:w="2266" w:type="dxa"/>
          </w:tcPr>
          <w:p w14:paraId="26483BB2">
            <w:pPr>
              <w:spacing w:after="0" w:line="240" w:lineRule="auto"/>
            </w:pPr>
            <w:r>
              <w:t>稳健性变量</w:t>
            </w:r>
          </w:p>
        </w:tc>
      </w:tr>
      <w:tr w14:paraId="74C08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1B04615">
            <w:pPr>
              <w:spacing w:after="0" w:line="240" w:lineRule="auto"/>
            </w:pPr>
            <w:r>
              <w:t>企业规模</w:t>
            </w:r>
          </w:p>
        </w:tc>
        <w:tc>
          <w:tcPr>
            <w:tcW w:w="2266" w:type="dxa"/>
          </w:tcPr>
          <w:p w14:paraId="6441BDC4">
            <w:pPr>
              <w:spacing w:after="0" w:line="240" w:lineRule="auto"/>
            </w:pPr>
            <w:r>
              <w:t>Size</w:t>
            </w:r>
          </w:p>
        </w:tc>
        <w:tc>
          <w:tcPr>
            <w:tcW w:w="2266" w:type="dxa"/>
          </w:tcPr>
          <w:p w14:paraId="05C2FEC7">
            <w:pPr>
              <w:spacing w:after="0" w:line="240" w:lineRule="auto"/>
            </w:pPr>
            <w:r>
              <w:t>ln(总资产)</w:t>
            </w:r>
          </w:p>
        </w:tc>
        <w:tc>
          <w:tcPr>
            <w:tcW w:w="2266" w:type="dxa"/>
          </w:tcPr>
          <w:p w14:paraId="094732AA">
            <w:pPr>
              <w:spacing w:after="0" w:line="240" w:lineRule="auto"/>
            </w:pPr>
            <w:r>
              <w:t>控制变量</w:t>
            </w:r>
          </w:p>
        </w:tc>
      </w:tr>
      <w:tr w14:paraId="4147A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96080AC">
            <w:pPr>
              <w:spacing w:after="0" w:line="240" w:lineRule="auto"/>
            </w:pPr>
            <w:r>
              <w:t>资产负债率</w:t>
            </w:r>
          </w:p>
        </w:tc>
        <w:tc>
          <w:tcPr>
            <w:tcW w:w="2266" w:type="dxa"/>
          </w:tcPr>
          <w:p w14:paraId="3B061CA1">
            <w:pPr>
              <w:spacing w:after="0" w:line="240" w:lineRule="auto"/>
            </w:pPr>
            <w:r>
              <w:t>Lev</w:t>
            </w:r>
          </w:p>
        </w:tc>
        <w:tc>
          <w:tcPr>
            <w:tcW w:w="2266" w:type="dxa"/>
          </w:tcPr>
          <w:p w14:paraId="0660A640">
            <w:pPr>
              <w:spacing w:after="0" w:line="240" w:lineRule="auto"/>
            </w:pPr>
            <w:r>
              <w:t>总负债/总资产</w:t>
            </w:r>
          </w:p>
        </w:tc>
        <w:tc>
          <w:tcPr>
            <w:tcW w:w="2266" w:type="dxa"/>
          </w:tcPr>
          <w:p w14:paraId="5F76D753">
            <w:pPr>
              <w:spacing w:after="0" w:line="240" w:lineRule="auto"/>
            </w:pPr>
            <w:r>
              <w:t>控制变量</w:t>
            </w:r>
          </w:p>
        </w:tc>
      </w:tr>
      <w:tr w14:paraId="7985B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3EE41DF4">
            <w:pPr>
              <w:spacing w:after="0" w:line="240" w:lineRule="auto"/>
            </w:pPr>
            <w:r>
              <w:t>成长性</w:t>
            </w:r>
          </w:p>
        </w:tc>
        <w:tc>
          <w:tcPr>
            <w:tcW w:w="2266" w:type="dxa"/>
          </w:tcPr>
          <w:p w14:paraId="016FDFE3">
            <w:pPr>
              <w:spacing w:after="0" w:line="240" w:lineRule="auto"/>
            </w:pPr>
            <w:r>
              <w:t>Growth</w:t>
            </w:r>
          </w:p>
        </w:tc>
        <w:tc>
          <w:tcPr>
            <w:tcW w:w="2266" w:type="dxa"/>
          </w:tcPr>
          <w:p w14:paraId="064C3721">
            <w:pPr>
              <w:spacing w:after="0" w:line="240" w:lineRule="auto"/>
            </w:pPr>
            <w:r>
              <w:t>营业收入增长率</w:t>
            </w:r>
          </w:p>
        </w:tc>
        <w:tc>
          <w:tcPr>
            <w:tcW w:w="2266" w:type="dxa"/>
          </w:tcPr>
          <w:p w14:paraId="1DC6D54E">
            <w:pPr>
              <w:spacing w:after="0" w:line="240" w:lineRule="auto"/>
            </w:pPr>
            <w:r>
              <w:t>控制变量</w:t>
            </w:r>
          </w:p>
        </w:tc>
      </w:tr>
      <w:tr w14:paraId="56F7D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2BD4E781">
            <w:pPr>
              <w:spacing w:after="0" w:line="240" w:lineRule="auto"/>
            </w:pPr>
            <w:r>
              <w:t>企业年龄</w:t>
            </w:r>
          </w:p>
        </w:tc>
        <w:tc>
          <w:tcPr>
            <w:tcW w:w="2266" w:type="dxa"/>
          </w:tcPr>
          <w:p w14:paraId="1F254AC3">
            <w:pPr>
              <w:spacing w:after="0" w:line="240" w:lineRule="auto"/>
            </w:pPr>
            <w:r>
              <w:t>Age</w:t>
            </w:r>
          </w:p>
        </w:tc>
        <w:tc>
          <w:tcPr>
            <w:tcW w:w="2266" w:type="dxa"/>
          </w:tcPr>
          <w:p w14:paraId="057EB9D4">
            <w:pPr>
              <w:spacing w:after="0" w:line="240" w:lineRule="auto"/>
            </w:pPr>
            <w:r>
              <w:t>ln(1+成立年限)</w:t>
            </w:r>
          </w:p>
        </w:tc>
        <w:tc>
          <w:tcPr>
            <w:tcW w:w="2266" w:type="dxa"/>
          </w:tcPr>
          <w:p w14:paraId="5061FD9D">
            <w:pPr>
              <w:spacing w:after="0" w:line="240" w:lineRule="auto"/>
            </w:pPr>
            <w:r>
              <w:t>控制变量</w:t>
            </w:r>
          </w:p>
        </w:tc>
      </w:tr>
      <w:tr w14:paraId="4AFE1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3D405060">
            <w:pPr>
              <w:spacing w:after="0" w:line="240" w:lineRule="auto"/>
            </w:pPr>
            <w:r>
              <w:t>经营现金流</w:t>
            </w:r>
          </w:p>
        </w:tc>
        <w:tc>
          <w:tcPr>
            <w:tcW w:w="2266" w:type="dxa"/>
          </w:tcPr>
          <w:p w14:paraId="5A5A0127">
            <w:pPr>
              <w:spacing w:after="0" w:line="240" w:lineRule="auto"/>
            </w:pPr>
            <w:r>
              <w:t>CFO</w:t>
            </w:r>
          </w:p>
        </w:tc>
        <w:tc>
          <w:tcPr>
            <w:tcW w:w="2266" w:type="dxa"/>
          </w:tcPr>
          <w:p w14:paraId="0A73FE6F">
            <w:pPr>
              <w:spacing w:after="0" w:line="240" w:lineRule="auto"/>
            </w:pPr>
            <w:r>
              <w:t>经营活动现金流净额/总资产</w:t>
            </w:r>
          </w:p>
        </w:tc>
        <w:tc>
          <w:tcPr>
            <w:tcW w:w="2266" w:type="dxa"/>
          </w:tcPr>
          <w:p w14:paraId="6135FBF8">
            <w:pPr>
              <w:spacing w:after="0" w:line="240" w:lineRule="auto"/>
            </w:pPr>
            <w:r>
              <w:t>控制变量</w:t>
            </w:r>
          </w:p>
        </w:tc>
      </w:tr>
    </w:tbl>
    <w:p w14:paraId="35E75B8D">
      <w:pPr>
        <w:pStyle w:val="3"/>
      </w:pPr>
      <w:r>
        <w:t>4 实证分析（课程预演模拟数据）</w:t>
      </w:r>
    </w:p>
    <w:p w14:paraId="7F825641">
      <w:pPr>
        <w:pStyle w:val="4"/>
      </w:pPr>
      <w:r>
        <w:t>4.1 模拟数据说明</w:t>
      </w:r>
    </w:p>
    <w:p w14:paraId="71FA8BD4">
      <w:pPr>
        <w:spacing w:after="80" w:line="360" w:lineRule="auto"/>
        <w:ind w:firstLine="420"/>
      </w:pPr>
      <w:r>
        <w:t>本节所有数值均来自课程预演用模拟数据，目的在于展示完整统计分析过程，不代表真实A股上市公司的均值、相关系数、显著性或因果效应。模拟数据采用固定随机种子生成，使代码重复运行时能够获得一致结果。正式毕业论文必须将模拟数据替换为真实年报文本测度和经核验的财务数据，再重新运行全部统计与回归程序。</w:t>
      </w:r>
    </w:p>
    <w:p w14:paraId="176327DD">
      <w:pPr>
        <w:pStyle w:val="4"/>
      </w:pPr>
      <w:r>
        <w:t>4.2 描述性统计</w:t>
      </w:r>
    </w:p>
    <w:p w14:paraId="4A636C7B">
      <w:pPr>
        <w:spacing w:after="80" w:line="360" w:lineRule="auto"/>
        <w:ind w:firstLine="420"/>
      </w:pPr>
      <w:r>
        <w:t>模拟样本包含若干企业连续年度观察值。ROA在不同企业和年份之间存在明显差异，符合企业盈利能力具有异质性的基本特征。Digital经过对数化后分布比原始词频更加平滑，但仍保留不同企业数字化披露强度的差异。Size的波动相对较小，Lev集中在合理区间；Growth的离散程度较高，体现企业成长性波动；CFO与ROA方向上通常具有一定正相关。</w:t>
      </w:r>
    </w:p>
    <w:p w14:paraId="37A00F93">
      <w:pPr>
        <w:spacing w:after="80" w:line="360" w:lineRule="auto"/>
        <w:ind w:firstLine="420"/>
      </w:pPr>
      <w:r>
        <w:t>从NLP分维度看，数字技术应用类词频通常高于区块链等单一底层技术词频。这种差异具有直观合理性：企业年报更容易披露“数字平台、智能制造、数字营销、工业互联网”等业务应用，而区块链只适用于部分行业和业务场景。因此，直接比较不同类别的绝对词频时需要谨慎，更适合观察同一类别在企业和年份之间的变化。</w:t>
      </w:r>
    </w:p>
    <w:p w14:paraId="321BD0E6">
      <w:pPr>
        <w:pStyle w:val="4"/>
      </w:pPr>
      <w:r>
        <w:t>4.3 信度检验</w:t>
      </w:r>
    </w:p>
    <w:p w14:paraId="170417AE">
      <w:pPr>
        <w:spacing w:after="80" w:line="360" w:lineRule="auto"/>
        <w:ind w:firstLine="420"/>
      </w:pPr>
      <w:r>
        <w:t>在模拟数据中，人工智能、大数据、云计算、区块链和数字应用五个维度被设置为共同受到潜在数字化水平影响，因此Cronbach's α达到可接受范围。这一结果仅用于说明信度检验如何实施。在真实数据中，如果α较低，不应为了追求统计指标而机械删除关键词，而应首先检查各维度是否本来就代表不同技术路径、词典是否包含噪声以及部分技术是否存在明显行业特异性。</w:t>
      </w:r>
    </w:p>
    <w:p w14:paraId="2109163A">
      <w:pPr>
        <w:spacing w:after="80" w:line="360" w:lineRule="auto"/>
        <w:ind w:firstLine="420"/>
      </w:pPr>
      <w:r>
        <w:t>除α系数外，本文还计算各分维度与Digital总指标之间的相关系数。若人工智能、大数据、云计算和数字应用均与Digital呈正相关，可作为总指标能够汇集不同数字化方向信息的辅助证据。区块链维度可能因大量企业零披露而相关性较低，这并不必然意味着该维度无效，而可能反映技术应用范围较窄。</w:t>
      </w:r>
    </w:p>
    <w:p w14:paraId="7A2CA36B">
      <w:pPr>
        <w:pStyle w:val="4"/>
      </w:pPr>
      <w:r>
        <w:t>4.4 相关性分析</w:t>
      </w:r>
    </w:p>
    <w:p w14:paraId="6B093CC5">
      <w:pPr>
        <w:spacing w:after="80" w:line="360" w:lineRule="auto"/>
        <w:ind w:firstLine="420"/>
      </w:pPr>
      <w:r>
        <w:t>相关性分析用于观察变量之间的线性关系，并为多重共线性检查提供初步依据。在模拟数据中，Digital与ROA呈正相关，方向与研究假设一致；Size、Growth、CFO等变量与ROA也表现出不同程度相关。Lev通常与ROA呈负相关，反映较高负债压力可能与盈利能力下降同时出现。</w:t>
      </w:r>
    </w:p>
    <w:p w14:paraId="2CD2D415">
      <w:pPr>
        <w:spacing w:after="80" w:line="360" w:lineRule="auto"/>
        <w:ind w:firstLine="420"/>
      </w:pPr>
      <w:r>
        <w:t>但相关性不能替代回归分析，更不能直接解释为因果关系。Digital与ROA的正相关可能来自企业规模、成长性、行业属性或管理能力等共同因素。因此，需要在回归模型中加入控制变量，并在正式研究中加入企业固定效应、行业效应或更严格的识别策略。</w:t>
      </w:r>
    </w:p>
    <w:p w14:paraId="75172B72">
      <w:pPr>
        <w:pStyle w:val="4"/>
      </w:pPr>
      <w:r>
        <w:t>4.5 基准回归</w:t>
      </w:r>
    </w:p>
    <w:p w14:paraId="70850176">
      <w:pPr>
        <w:spacing w:after="80" w:line="360" w:lineRule="auto"/>
        <w:ind w:firstLine="420"/>
      </w:pPr>
      <w:r>
        <w:t>模型（1）仅将Digital作为解释变量。模拟结果中Digital系数为正，表明数字化文本披露较高的企业同时具有较高ROA。模型（2）加入Size、Lev、Growth、Age和CFO后，Digital系数方向保持为正。模型（3）进一步加入年份固定效应后，核心系数仍保持正向。这说明在预演数据设定下，研究流程能够识别预期方向的统计关系。</w:t>
      </w:r>
    </w:p>
    <w:p w14:paraId="2012FC89">
      <w:pPr>
        <w:spacing w:after="80" w:line="360" w:lineRule="auto"/>
        <w:ind w:firstLine="420"/>
      </w:pPr>
      <w:r>
        <w:t>从控制变量看，Lev的系数通常为负，Growth和CFO的系数通常为正，这与财务逻辑基本一致。Size和Age的系数可能随样本设定发生变化，因为规模扩大既可能带来规模经济，也可能增加组织复杂性；企业年龄既代表经验积累，也可能代表组织惯性。</w:t>
      </w:r>
    </w:p>
    <w:p w14:paraId="55973C6A">
      <w:pPr>
        <w:spacing w:after="80" w:line="360" w:lineRule="auto"/>
        <w:ind w:firstLine="420"/>
      </w:pPr>
      <w:r>
        <w:t>需要再次强调，模拟回归的显著性不是论文的真实研究发现。正式写作时，应报告真实样本量、R²、标准误、固定效应和显著性水平，并避免只根据p值判断经济意义。核心系数还应结合变量标准差或实际量纲解释其经济大小。</w:t>
      </w:r>
    </w:p>
    <w:p w14:paraId="62D6CBCE">
      <w:pPr>
        <w:pStyle w:val="4"/>
      </w:pPr>
      <w:r>
        <w:t>4.6 稳健性检验</w:t>
      </w:r>
    </w:p>
    <w:p w14:paraId="4FC1F917">
      <w:pPr>
        <w:spacing w:after="80" w:line="360" w:lineRule="auto"/>
        <w:ind w:firstLine="420"/>
      </w:pPr>
      <w:r>
        <w:t>第一项稳健性检验将Digital替换为DigitalDensity，即每万字数字化关键词密度的对数值。如果该指标系数方向仍为正，说明基准结果不是单纯由“年报写得更长”导致。第二项检验使用滞后一期Digital解释当期ROA，以降低当期经营表现反过来影响当期数字化披露的同步性问题。模拟数据中两项检验均保持正向关系。</w:t>
      </w:r>
    </w:p>
    <w:p w14:paraId="64AD9939">
      <w:pPr>
        <w:spacing w:after="80" w:line="360" w:lineRule="auto"/>
        <w:ind w:firstLine="420"/>
      </w:pPr>
      <w:r>
        <w:t>正式研究还可以开展更多稳健性检验。例如，剔除数字经济相关行业，避免少数天然高数字化行业主导结果；改变数字化词典范围；将ROA替换为ROE、营业利润率或主营业务绩效；对连续变量进行不同水平的缩尾；使用企业固定效应模型；或者采用倾向得分匹配、工具变量等方法处理潜在内生性。</w:t>
      </w:r>
    </w:p>
    <w:p w14:paraId="7C4FE80B">
      <w:pPr>
        <w:pStyle w:val="4"/>
      </w:pPr>
      <w:r>
        <w:t>4.7 异质性与机制分析的扩展设计</w:t>
      </w:r>
    </w:p>
    <w:p w14:paraId="7D696EB3">
      <w:pPr>
        <w:spacing w:after="80" w:line="360" w:lineRule="auto"/>
        <w:ind w:firstLine="420"/>
      </w:pPr>
      <w:r>
        <w:t>如果正式样本量允许，可按照产权性质将企业划分为国有企业与非国有企业，比较数字化转型与经营绩效关系是否存在差异。还可按照企业规模、行业技术密集度或生命周期阶段进行分组。异质性分析应建立在明确理论机制基础上，避免为了寻找显著性而进行大量无依据分组。</w:t>
      </w:r>
    </w:p>
    <w:p w14:paraId="360F44F4">
      <w:pPr>
        <w:spacing w:after="80" w:line="360" w:lineRule="auto"/>
        <w:ind w:firstLine="420"/>
      </w:pPr>
      <w:r>
        <w:t>机制分析方面，可从管理效率、创新能力和信息环境三个方向扩展。管理效率可以使用管理费用率、存货周转率等指标；创新能力可以使用研发投入强度、专利申请数量等指标；信息环境可以使用分析师关注、信息披露质量等变量。通过中介机制或分步回归，可以进一步解释数字化转型为何与经营绩效相关。</w:t>
      </w:r>
    </w:p>
    <w:p w14:paraId="5AE62AFC">
      <w:pPr>
        <w:pStyle w:val="4"/>
      </w:pPr>
      <w:r>
        <w:t>4.8 NLP测度的误差与改进</w:t>
      </w:r>
    </w:p>
    <w:p w14:paraId="33583081">
      <w:pPr>
        <w:spacing w:after="80" w:line="360" w:lineRule="auto"/>
        <w:ind w:firstLine="420"/>
      </w:pPr>
      <w:r>
        <w:t>词频法具有透明、可复现和易解释的优点，但也存在明显局限。首先，同一关键词在不同上下文中的含义可能不同。其次，企业可能增加数字化概念披露但没有形成实质投入。第三，简单词频无法判断句子是描述现状、未来计划还是风险提示。第四，不同行业使用数字技术的表达方式存在差异。</w:t>
      </w:r>
    </w:p>
    <w:p w14:paraId="03800369">
      <w:pPr>
        <w:spacing w:after="80" w:line="360" w:lineRule="auto"/>
        <w:ind w:firstLine="420"/>
      </w:pPr>
      <w:r>
        <w:t>针对这些问题，正式研究可以在词频法基础上增加上下文分类。例如，随机抽取包含数字关键词的句子进行人工标注，将其划分为“已实施、计划实施、一般描述、否定/风险、无关”五类，再训练文本分类模型识别真正的数字化实践语句。还可以使用BERT类模型生成句向量，计算年报语句与数字化种子语句之间的语义相似度，从而减少对固定关键词的依赖。</w:t>
      </w:r>
    </w:p>
    <w:p w14:paraId="24D810C1">
      <w:pPr>
        <w:pStyle w:val="4"/>
      </w:pPr>
      <w:r>
        <w:t>表4-1 描述性统计（DEMO模拟数据）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6"/>
        <w:gridCol w:w="1502"/>
        <w:gridCol w:w="1506"/>
        <w:gridCol w:w="1505"/>
        <w:gridCol w:w="1506"/>
        <w:gridCol w:w="1506"/>
      </w:tblGrid>
      <w:tr w14:paraId="0DFC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1" w:type="dxa"/>
          </w:tcPr>
          <w:p w14:paraId="27996A8B">
            <w:pPr>
              <w:spacing w:after="0" w:line="240" w:lineRule="auto"/>
            </w:pPr>
            <w:r>
              <w:t>变量</w:t>
            </w:r>
          </w:p>
        </w:tc>
        <w:tc>
          <w:tcPr>
            <w:tcW w:w="1511" w:type="dxa"/>
          </w:tcPr>
          <w:p w14:paraId="171491B2">
            <w:pPr>
              <w:spacing w:after="0" w:line="240" w:lineRule="auto"/>
            </w:pPr>
            <w:r>
              <w:t>N</w:t>
            </w:r>
          </w:p>
        </w:tc>
        <w:tc>
          <w:tcPr>
            <w:tcW w:w="1511" w:type="dxa"/>
          </w:tcPr>
          <w:p w14:paraId="518D3F84">
            <w:pPr>
              <w:spacing w:after="0" w:line="240" w:lineRule="auto"/>
            </w:pPr>
            <w:r>
              <w:t>均值</w:t>
            </w:r>
          </w:p>
        </w:tc>
        <w:tc>
          <w:tcPr>
            <w:tcW w:w="1511" w:type="dxa"/>
          </w:tcPr>
          <w:p w14:paraId="1916B105">
            <w:pPr>
              <w:spacing w:after="0" w:line="240" w:lineRule="auto"/>
            </w:pPr>
            <w:r>
              <w:t>标准差</w:t>
            </w:r>
          </w:p>
        </w:tc>
        <w:tc>
          <w:tcPr>
            <w:tcW w:w="1511" w:type="dxa"/>
          </w:tcPr>
          <w:p w14:paraId="61E0D2DC">
            <w:pPr>
              <w:spacing w:after="0" w:line="240" w:lineRule="auto"/>
            </w:pPr>
            <w:r>
              <w:t>最小值</w:t>
            </w:r>
          </w:p>
        </w:tc>
        <w:tc>
          <w:tcPr>
            <w:tcW w:w="1511" w:type="dxa"/>
          </w:tcPr>
          <w:p w14:paraId="648289D8">
            <w:pPr>
              <w:spacing w:after="0" w:line="240" w:lineRule="auto"/>
            </w:pPr>
            <w:r>
              <w:t>最大值</w:t>
            </w:r>
          </w:p>
        </w:tc>
      </w:tr>
      <w:tr w14:paraId="401C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1" w:type="dxa"/>
          </w:tcPr>
          <w:p w14:paraId="63EB4166">
            <w:pPr>
              <w:spacing w:after="0" w:line="240" w:lineRule="auto"/>
            </w:pPr>
            <w:r>
              <w:t>ROA</w:t>
            </w:r>
          </w:p>
        </w:tc>
        <w:tc>
          <w:tcPr>
            <w:tcW w:w="1511" w:type="dxa"/>
          </w:tcPr>
          <w:p w14:paraId="1D6239DA">
            <w:pPr>
              <w:spacing w:after="0" w:line="240" w:lineRule="auto"/>
            </w:pPr>
            <w:r>
              <w:t>360</w:t>
            </w:r>
          </w:p>
        </w:tc>
        <w:tc>
          <w:tcPr>
            <w:tcW w:w="1511" w:type="dxa"/>
          </w:tcPr>
          <w:p w14:paraId="5AF21409">
            <w:pPr>
              <w:spacing w:after="0" w:line="240" w:lineRule="auto"/>
            </w:pPr>
            <w:r>
              <w:t>0.0353</w:t>
            </w:r>
          </w:p>
        </w:tc>
        <w:tc>
          <w:tcPr>
            <w:tcW w:w="1511" w:type="dxa"/>
          </w:tcPr>
          <w:p w14:paraId="504138CC">
            <w:pPr>
              <w:spacing w:after="0" w:line="240" w:lineRule="auto"/>
            </w:pPr>
            <w:r>
              <w:t>0.0184</w:t>
            </w:r>
          </w:p>
        </w:tc>
        <w:tc>
          <w:tcPr>
            <w:tcW w:w="1511" w:type="dxa"/>
          </w:tcPr>
          <w:p w14:paraId="04D363F8">
            <w:pPr>
              <w:spacing w:after="0" w:line="240" w:lineRule="auto"/>
            </w:pPr>
            <w:r>
              <w:t>-0.0130</w:t>
            </w:r>
          </w:p>
        </w:tc>
        <w:tc>
          <w:tcPr>
            <w:tcW w:w="1511" w:type="dxa"/>
          </w:tcPr>
          <w:p w14:paraId="36A802FE">
            <w:pPr>
              <w:spacing w:after="0" w:line="240" w:lineRule="auto"/>
            </w:pPr>
            <w:r>
              <w:t>0.0876</w:t>
            </w:r>
          </w:p>
        </w:tc>
      </w:tr>
      <w:tr w14:paraId="5AD23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1" w:type="dxa"/>
          </w:tcPr>
          <w:p w14:paraId="321F6276">
            <w:pPr>
              <w:spacing w:after="0" w:line="240" w:lineRule="auto"/>
            </w:pPr>
            <w:r>
              <w:t>Digital</w:t>
            </w:r>
          </w:p>
        </w:tc>
        <w:tc>
          <w:tcPr>
            <w:tcW w:w="1511" w:type="dxa"/>
          </w:tcPr>
          <w:p w14:paraId="2A40DAB2">
            <w:pPr>
              <w:spacing w:after="0" w:line="240" w:lineRule="auto"/>
            </w:pPr>
            <w:r>
              <w:t>360</w:t>
            </w:r>
          </w:p>
        </w:tc>
        <w:tc>
          <w:tcPr>
            <w:tcW w:w="1511" w:type="dxa"/>
          </w:tcPr>
          <w:p w14:paraId="7503C33E">
            <w:pPr>
              <w:spacing w:after="0" w:line="240" w:lineRule="auto"/>
            </w:pPr>
            <w:r>
              <w:t>4.4619</w:t>
            </w:r>
          </w:p>
        </w:tc>
        <w:tc>
          <w:tcPr>
            <w:tcW w:w="1511" w:type="dxa"/>
          </w:tcPr>
          <w:p w14:paraId="48744C86">
            <w:pPr>
              <w:spacing w:after="0" w:line="240" w:lineRule="auto"/>
            </w:pPr>
            <w:r>
              <w:t>0.3690</w:t>
            </w:r>
          </w:p>
        </w:tc>
        <w:tc>
          <w:tcPr>
            <w:tcW w:w="1511" w:type="dxa"/>
          </w:tcPr>
          <w:p w14:paraId="41C4D340">
            <w:pPr>
              <w:spacing w:after="0" w:line="240" w:lineRule="auto"/>
            </w:pPr>
            <w:r>
              <w:t>3.0445</w:t>
            </w:r>
          </w:p>
        </w:tc>
        <w:tc>
          <w:tcPr>
            <w:tcW w:w="1511" w:type="dxa"/>
          </w:tcPr>
          <w:p w14:paraId="5FFA4612">
            <w:pPr>
              <w:spacing w:after="0" w:line="240" w:lineRule="auto"/>
            </w:pPr>
            <w:r>
              <w:t>5.0938</w:t>
            </w:r>
          </w:p>
        </w:tc>
      </w:tr>
      <w:tr w14:paraId="16DE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1" w:type="dxa"/>
          </w:tcPr>
          <w:p w14:paraId="68BA6DBC">
            <w:pPr>
              <w:spacing w:after="0" w:line="240" w:lineRule="auto"/>
            </w:pPr>
            <w:r>
              <w:t>DigitalDensity</w:t>
            </w:r>
          </w:p>
        </w:tc>
        <w:tc>
          <w:tcPr>
            <w:tcW w:w="1511" w:type="dxa"/>
          </w:tcPr>
          <w:p w14:paraId="35158624">
            <w:pPr>
              <w:spacing w:after="0" w:line="240" w:lineRule="auto"/>
            </w:pPr>
            <w:r>
              <w:t>360</w:t>
            </w:r>
          </w:p>
        </w:tc>
        <w:tc>
          <w:tcPr>
            <w:tcW w:w="1511" w:type="dxa"/>
          </w:tcPr>
          <w:p w14:paraId="4742211F">
            <w:pPr>
              <w:spacing w:after="0" w:line="240" w:lineRule="auto"/>
            </w:pPr>
            <w:r>
              <w:t>2.3750</w:t>
            </w:r>
          </w:p>
        </w:tc>
        <w:tc>
          <w:tcPr>
            <w:tcW w:w="1511" w:type="dxa"/>
          </w:tcPr>
          <w:p w14:paraId="512B3082">
            <w:pPr>
              <w:spacing w:after="0" w:line="240" w:lineRule="auto"/>
            </w:pPr>
            <w:r>
              <w:t>0.3654</w:t>
            </w:r>
          </w:p>
        </w:tc>
        <w:tc>
          <w:tcPr>
            <w:tcW w:w="1511" w:type="dxa"/>
          </w:tcPr>
          <w:p w14:paraId="34A42AB4">
            <w:pPr>
              <w:spacing w:after="0" w:line="240" w:lineRule="auto"/>
            </w:pPr>
            <w:r>
              <w:t>1.2573</w:t>
            </w:r>
          </w:p>
        </w:tc>
        <w:tc>
          <w:tcPr>
            <w:tcW w:w="1511" w:type="dxa"/>
          </w:tcPr>
          <w:p w14:paraId="70A7B5FD">
            <w:pPr>
              <w:spacing w:after="0" w:line="240" w:lineRule="auto"/>
            </w:pPr>
            <w:r>
              <w:t>3.8501</w:t>
            </w:r>
          </w:p>
        </w:tc>
      </w:tr>
      <w:tr w14:paraId="35A5D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1" w:type="dxa"/>
          </w:tcPr>
          <w:p w14:paraId="53E5B051">
            <w:pPr>
              <w:spacing w:after="0" w:line="240" w:lineRule="auto"/>
            </w:pPr>
            <w:r>
              <w:t>Size</w:t>
            </w:r>
          </w:p>
        </w:tc>
        <w:tc>
          <w:tcPr>
            <w:tcW w:w="1511" w:type="dxa"/>
          </w:tcPr>
          <w:p w14:paraId="355A3AC3">
            <w:pPr>
              <w:spacing w:after="0" w:line="240" w:lineRule="auto"/>
            </w:pPr>
            <w:r>
              <w:t>360</w:t>
            </w:r>
          </w:p>
        </w:tc>
        <w:tc>
          <w:tcPr>
            <w:tcW w:w="1511" w:type="dxa"/>
          </w:tcPr>
          <w:p w14:paraId="1C0BD049">
            <w:pPr>
              <w:spacing w:after="0" w:line="240" w:lineRule="auto"/>
            </w:pPr>
            <w:r>
              <w:t>21.9580</w:t>
            </w:r>
          </w:p>
        </w:tc>
        <w:tc>
          <w:tcPr>
            <w:tcW w:w="1511" w:type="dxa"/>
          </w:tcPr>
          <w:p w14:paraId="11776DA0">
            <w:pPr>
              <w:spacing w:after="0" w:line="240" w:lineRule="auto"/>
            </w:pPr>
            <w:r>
              <w:t>1.0197</w:t>
            </w:r>
          </w:p>
        </w:tc>
        <w:tc>
          <w:tcPr>
            <w:tcW w:w="1511" w:type="dxa"/>
          </w:tcPr>
          <w:p w14:paraId="43DEC71C">
            <w:pPr>
              <w:spacing w:after="0" w:line="240" w:lineRule="auto"/>
            </w:pPr>
            <w:r>
              <w:t>19.9441</w:t>
            </w:r>
          </w:p>
        </w:tc>
        <w:tc>
          <w:tcPr>
            <w:tcW w:w="1511" w:type="dxa"/>
          </w:tcPr>
          <w:p w14:paraId="235F9C3B">
            <w:pPr>
              <w:spacing w:after="0" w:line="240" w:lineRule="auto"/>
            </w:pPr>
            <w:r>
              <w:t>23.7704</w:t>
            </w:r>
          </w:p>
        </w:tc>
      </w:tr>
      <w:tr w14:paraId="73A4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1" w:type="dxa"/>
          </w:tcPr>
          <w:p w14:paraId="66BA1630">
            <w:pPr>
              <w:spacing w:after="0" w:line="240" w:lineRule="auto"/>
            </w:pPr>
            <w:r>
              <w:t>Lev</w:t>
            </w:r>
          </w:p>
        </w:tc>
        <w:tc>
          <w:tcPr>
            <w:tcW w:w="1511" w:type="dxa"/>
          </w:tcPr>
          <w:p w14:paraId="7E189A71">
            <w:pPr>
              <w:spacing w:after="0" w:line="240" w:lineRule="auto"/>
            </w:pPr>
            <w:r>
              <w:t>360</w:t>
            </w:r>
          </w:p>
        </w:tc>
        <w:tc>
          <w:tcPr>
            <w:tcW w:w="1511" w:type="dxa"/>
          </w:tcPr>
          <w:p w14:paraId="7DA673F5">
            <w:pPr>
              <w:spacing w:after="0" w:line="240" w:lineRule="auto"/>
            </w:pPr>
            <w:r>
              <w:t>0.4355</w:t>
            </w:r>
          </w:p>
        </w:tc>
        <w:tc>
          <w:tcPr>
            <w:tcW w:w="1511" w:type="dxa"/>
          </w:tcPr>
          <w:p w14:paraId="034CC0BC">
            <w:pPr>
              <w:spacing w:after="0" w:line="240" w:lineRule="auto"/>
            </w:pPr>
            <w:r>
              <w:t>0.1335</w:t>
            </w:r>
          </w:p>
        </w:tc>
        <w:tc>
          <w:tcPr>
            <w:tcW w:w="1511" w:type="dxa"/>
          </w:tcPr>
          <w:p w14:paraId="51B98901">
            <w:pPr>
              <w:spacing w:after="0" w:line="240" w:lineRule="auto"/>
            </w:pPr>
            <w:r>
              <w:t>0.0800</w:t>
            </w:r>
          </w:p>
        </w:tc>
        <w:tc>
          <w:tcPr>
            <w:tcW w:w="1511" w:type="dxa"/>
          </w:tcPr>
          <w:p w14:paraId="60CB35EF">
            <w:pPr>
              <w:spacing w:after="0" w:line="240" w:lineRule="auto"/>
            </w:pPr>
            <w:r>
              <w:t>0.7356</w:t>
            </w:r>
          </w:p>
        </w:tc>
      </w:tr>
      <w:tr w14:paraId="395D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1" w:type="dxa"/>
          </w:tcPr>
          <w:p w14:paraId="32A375D8">
            <w:pPr>
              <w:spacing w:after="0" w:line="240" w:lineRule="auto"/>
            </w:pPr>
            <w:r>
              <w:t>Growth</w:t>
            </w:r>
          </w:p>
        </w:tc>
        <w:tc>
          <w:tcPr>
            <w:tcW w:w="1511" w:type="dxa"/>
          </w:tcPr>
          <w:p w14:paraId="20B3FDB5">
            <w:pPr>
              <w:spacing w:after="0" w:line="240" w:lineRule="auto"/>
            </w:pPr>
            <w:r>
              <w:t>360</w:t>
            </w:r>
          </w:p>
        </w:tc>
        <w:tc>
          <w:tcPr>
            <w:tcW w:w="1511" w:type="dxa"/>
          </w:tcPr>
          <w:p w14:paraId="27E412FA">
            <w:pPr>
              <w:spacing w:after="0" w:line="240" w:lineRule="auto"/>
            </w:pPr>
            <w:r>
              <w:t>0.1005</w:t>
            </w:r>
          </w:p>
        </w:tc>
        <w:tc>
          <w:tcPr>
            <w:tcW w:w="1511" w:type="dxa"/>
          </w:tcPr>
          <w:p w14:paraId="6685D5A6">
            <w:pPr>
              <w:spacing w:after="0" w:line="240" w:lineRule="auto"/>
            </w:pPr>
            <w:r>
              <w:t>0.1879</w:t>
            </w:r>
          </w:p>
        </w:tc>
        <w:tc>
          <w:tcPr>
            <w:tcW w:w="1511" w:type="dxa"/>
          </w:tcPr>
          <w:p w14:paraId="5A0FF184">
            <w:pPr>
              <w:spacing w:after="0" w:line="240" w:lineRule="auto"/>
            </w:pPr>
            <w:r>
              <w:t>-0.3689</w:t>
            </w:r>
          </w:p>
        </w:tc>
        <w:tc>
          <w:tcPr>
            <w:tcW w:w="1511" w:type="dxa"/>
          </w:tcPr>
          <w:p w14:paraId="62F7568A">
            <w:pPr>
              <w:spacing w:after="0" w:line="240" w:lineRule="auto"/>
            </w:pPr>
            <w:r>
              <w:t>0.7314</w:t>
            </w:r>
          </w:p>
        </w:tc>
      </w:tr>
      <w:tr w14:paraId="40F2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1" w:type="dxa"/>
          </w:tcPr>
          <w:p w14:paraId="408D099F">
            <w:pPr>
              <w:spacing w:after="0" w:line="240" w:lineRule="auto"/>
            </w:pPr>
            <w:r>
              <w:t>Age</w:t>
            </w:r>
          </w:p>
        </w:tc>
        <w:tc>
          <w:tcPr>
            <w:tcW w:w="1511" w:type="dxa"/>
          </w:tcPr>
          <w:p w14:paraId="5313D1BB">
            <w:pPr>
              <w:spacing w:after="0" w:line="240" w:lineRule="auto"/>
            </w:pPr>
            <w:r>
              <w:t>360</w:t>
            </w:r>
          </w:p>
        </w:tc>
        <w:tc>
          <w:tcPr>
            <w:tcW w:w="1511" w:type="dxa"/>
          </w:tcPr>
          <w:p w14:paraId="646C0B34">
            <w:pPr>
              <w:spacing w:after="0" w:line="240" w:lineRule="auto"/>
            </w:pPr>
            <w:r>
              <w:t>3.1201</w:t>
            </w:r>
          </w:p>
        </w:tc>
        <w:tc>
          <w:tcPr>
            <w:tcW w:w="1511" w:type="dxa"/>
          </w:tcPr>
          <w:p w14:paraId="1D7035E9">
            <w:pPr>
              <w:spacing w:after="0" w:line="240" w:lineRule="auto"/>
            </w:pPr>
            <w:r>
              <w:t>0.3429</w:t>
            </w:r>
          </w:p>
        </w:tc>
        <w:tc>
          <w:tcPr>
            <w:tcW w:w="1511" w:type="dxa"/>
          </w:tcPr>
          <w:p w14:paraId="54E495C4">
            <w:pPr>
              <w:spacing w:after="0" w:line="240" w:lineRule="auto"/>
            </w:pPr>
            <w:r>
              <w:t>2.1972</w:t>
            </w:r>
          </w:p>
        </w:tc>
        <w:tc>
          <w:tcPr>
            <w:tcW w:w="1511" w:type="dxa"/>
          </w:tcPr>
          <w:p w14:paraId="1D7BD032">
            <w:pPr>
              <w:spacing w:after="0" w:line="240" w:lineRule="auto"/>
            </w:pPr>
            <w:r>
              <w:t>3.6376</w:t>
            </w:r>
          </w:p>
        </w:tc>
      </w:tr>
      <w:tr w14:paraId="53EA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1" w:type="dxa"/>
          </w:tcPr>
          <w:p w14:paraId="0C3F9827">
            <w:pPr>
              <w:spacing w:after="0" w:line="240" w:lineRule="auto"/>
            </w:pPr>
            <w:r>
              <w:t>CFO</w:t>
            </w:r>
          </w:p>
        </w:tc>
        <w:tc>
          <w:tcPr>
            <w:tcW w:w="1511" w:type="dxa"/>
          </w:tcPr>
          <w:p w14:paraId="4B1C2993">
            <w:pPr>
              <w:spacing w:after="0" w:line="240" w:lineRule="auto"/>
            </w:pPr>
            <w:r>
              <w:t>360</w:t>
            </w:r>
          </w:p>
        </w:tc>
        <w:tc>
          <w:tcPr>
            <w:tcW w:w="1511" w:type="dxa"/>
          </w:tcPr>
          <w:p w14:paraId="52120448">
            <w:pPr>
              <w:spacing w:after="0" w:line="240" w:lineRule="auto"/>
            </w:pPr>
            <w:r>
              <w:t>0.0529</w:t>
            </w:r>
          </w:p>
        </w:tc>
        <w:tc>
          <w:tcPr>
            <w:tcW w:w="1511" w:type="dxa"/>
          </w:tcPr>
          <w:p w14:paraId="0963CF69">
            <w:pPr>
              <w:spacing w:after="0" w:line="240" w:lineRule="auto"/>
            </w:pPr>
            <w:r>
              <w:t>0.0447</w:t>
            </w:r>
          </w:p>
        </w:tc>
        <w:tc>
          <w:tcPr>
            <w:tcW w:w="1511" w:type="dxa"/>
          </w:tcPr>
          <w:p w14:paraId="5DBB4815">
            <w:pPr>
              <w:spacing w:after="0" w:line="240" w:lineRule="auto"/>
            </w:pPr>
            <w:r>
              <w:t>-0.0821</w:t>
            </w:r>
          </w:p>
        </w:tc>
        <w:tc>
          <w:tcPr>
            <w:tcW w:w="1511" w:type="dxa"/>
          </w:tcPr>
          <w:p w14:paraId="4037F695">
            <w:pPr>
              <w:spacing w:after="0" w:line="240" w:lineRule="auto"/>
            </w:pPr>
            <w:r>
              <w:t>0.1610</w:t>
            </w:r>
          </w:p>
        </w:tc>
      </w:tr>
    </w:tbl>
    <w:p w14:paraId="1CE37C8F">
      <w:pPr>
        <w:pStyle w:val="4"/>
      </w:pPr>
      <w:r>
        <w:t>表4-2 信度与聚合效度示例（DEMO）</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2"/>
        <w:gridCol w:w="3022"/>
        <w:gridCol w:w="3022"/>
      </w:tblGrid>
      <w:tr w14:paraId="1B56A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767A685F">
            <w:pPr>
              <w:spacing w:after="0" w:line="240" w:lineRule="auto"/>
            </w:pPr>
            <w:r>
              <w:t>指标</w:t>
            </w:r>
          </w:p>
        </w:tc>
        <w:tc>
          <w:tcPr>
            <w:tcW w:w="3022" w:type="dxa"/>
          </w:tcPr>
          <w:p w14:paraId="0C8961D1">
            <w:pPr>
              <w:spacing w:after="0" w:line="240" w:lineRule="auto"/>
            </w:pPr>
            <w:r>
              <w:t>数值</w:t>
            </w:r>
          </w:p>
        </w:tc>
        <w:tc>
          <w:tcPr>
            <w:tcW w:w="3022" w:type="dxa"/>
          </w:tcPr>
          <w:p w14:paraId="1BA9A12F">
            <w:pPr>
              <w:spacing w:after="0" w:line="240" w:lineRule="auto"/>
            </w:pPr>
            <w:r>
              <w:t>说明</w:t>
            </w:r>
          </w:p>
        </w:tc>
      </w:tr>
      <w:tr w14:paraId="52C42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6D14C9ED">
            <w:pPr>
              <w:spacing w:after="0" w:line="240" w:lineRule="auto"/>
            </w:pPr>
            <w:r>
              <w:t>Cronbach's α</w:t>
            </w:r>
          </w:p>
        </w:tc>
        <w:tc>
          <w:tcPr>
            <w:tcW w:w="3022" w:type="dxa"/>
          </w:tcPr>
          <w:p w14:paraId="175B73D1">
            <w:pPr>
              <w:spacing w:after="0" w:line="240" w:lineRule="auto"/>
            </w:pPr>
            <w:r>
              <w:t>0.820</w:t>
            </w:r>
          </w:p>
        </w:tc>
        <w:tc>
          <w:tcPr>
            <w:tcW w:w="3022" w:type="dxa"/>
          </w:tcPr>
          <w:p w14:paraId="70DB5816">
            <w:pPr>
              <w:spacing w:after="0" w:line="240" w:lineRule="auto"/>
            </w:pPr>
            <w:r>
              <w:t>五维度内部一致性示例</w:t>
            </w:r>
          </w:p>
        </w:tc>
      </w:tr>
      <w:tr w14:paraId="4DBA9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77FFAA3B">
            <w:pPr>
              <w:spacing w:after="0" w:line="240" w:lineRule="auto"/>
            </w:pPr>
            <w:r>
              <w:t>AI与Digital相关</w:t>
            </w:r>
          </w:p>
        </w:tc>
        <w:tc>
          <w:tcPr>
            <w:tcW w:w="3022" w:type="dxa"/>
          </w:tcPr>
          <w:p w14:paraId="3EADBA7E">
            <w:pPr>
              <w:spacing w:after="0" w:line="240" w:lineRule="auto"/>
            </w:pPr>
            <w:r>
              <w:t>0.780</w:t>
            </w:r>
          </w:p>
        </w:tc>
        <w:tc>
          <w:tcPr>
            <w:tcW w:w="3022" w:type="dxa"/>
          </w:tcPr>
          <w:p w14:paraId="6D12F40C">
            <w:pPr>
              <w:spacing w:after="0" w:line="240" w:lineRule="auto"/>
            </w:pPr>
            <w:r>
              <w:t>正相关</w:t>
            </w:r>
          </w:p>
        </w:tc>
      </w:tr>
      <w:tr w14:paraId="72A8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1BAED597">
            <w:pPr>
              <w:spacing w:after="0" w:line="240" w:lineRule="auto"/>
            </w:pPr>
            <w:r>
              <w:t>BigData与Digital相关</w:t>
            </w:r>
          </w:p>
        </w:tc>
        <w:tc>
          <w:tcPr>
            <w:tcW w:w="3022" w:type="dxa"/>
          </w:tcPr>
          <w:p w14:paraId="7EF337B3">
            <w:pPr>
              <w:spacing w:after="0" w:line="240" w:lineRule="auto"/>
            </w:pPr>
            <w:r>
              <w:t>0.840</w:t>
            </w:r>
          </w:p>
        </w:tc>
        <w:tc>
          <w:tcPr>
            <w:tcW w:w="3022" w:type="dxa"/>
          </w:tcPr>
          <w:p w14:paraId="1E75A030">
            <w:pPr>
              <w:spacing w:after="0" w:line="240" w:lineRule="auto"/>
            </w:pPr>
            <w:r>
              <w:t>正相关</w:t>
            </w:r>
          </w:p>
        </w:tc>
      </w:tr>
      <w:tr w14:paraId="29CA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2B69F0AF">
            <w:pPr>
              <w:spacing w:after="0" w:line="240" w:lineRule="auto"/>
            </w:pPr>
            <w:r>
              <w:t>Cloud与Digital相关</w:t>
            </w:r>
          </w:p>
        </w:tc>
        <w:tc>
          <w:tcPr>
            <w:tcW w:w="3022" w:type="dxa"/>
          </w:tcPr>
          <w:p w14:paraId="0F8FF10D">
            <w:pPr>
              <w:spacing w:after="0" w:line="240" w:lineRule="auto"/>
            </w:pPr>
            <w:r>
              <w:t>0.800</w:t>
            </w:r>
          </w:p>
        </w:tc>
        <w:tc>
          <w:tcPr>
            <w:tcW w:w="3022" w:type="dxa"/>
          </w:tcPr>
          <w:p w14:paraId="3AF7784C">
            <w:pPr>
              <w:spacing w:after="0" w:line="240" w:lineRule="auto"/>
            </w:pPr>
            <w:r>
              <w:t>正相关</w:t>
            </w:r>
          </w:p>
        </w:tc>
      </w:tr>
      <w:tr w14:paraId="53B3B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719062A8">
            <w:pPr>
              <w:spacing w:after="0" w:line="240" w:lineRule="auto"/>
            </w:pPr>
            <w:r>
              <w:t>Blockchain与Digital相关</w:t>
            </w:r>
          </w:p>
        </w:tc>
        <w:tc>
          <w:tcPr>
            <w:tcW w:w="3022" w:type="dxa"/>
          </w:tcPr>
          <w:p w14:paraId="05737D5C">
            <w:pPr>
              <w:spacing w:after="0" w:line="240" w:lineRule="auto"/>
            </w:pPr>
            <w:r>
              <w:t>0.510</w:t>
            </w:r>
          </w:p>
        </w:tc>
        <w:tc>
          <w:tcPr>
            <w:tcW w:w="3022" w:type="dxa"/>
          </w:tcPr>
          <w:p w14:paraId="60EFB71C">
            <w:pPr>
              <w:spacing w:after="0" w:line="240" w:lineRule="auto"/>
            </w:pPr>
            <w:r>
              <w:t>正相关但相对较低</w:t>
            </w:r>
          </w:p>
        </w:tc>
      </w:tr>
      <w:tr w14:paraId="39C8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2AF846A3">
            <w:pPr>
              <w:spacing w:after="0" w:line="240" w:lineRule="auto"/>
            </w:pPr>
            <w:r>
              <w:t>DigitalApplication与Digital相关</w:t>
            </w:r>
          </w:p>
        </w:tc>
        <w:tc>
          <w:tcPr>
            <w:tcW w:w="3022" w:type="dxa"/>
          </w:tcPr>
          <w:p w14:paraId="228F2F14">
            <w:pPr>
              <w:spacing w:after="0" w:line="240" w:lineRule="auto"/>
            </w:pPr>
            <w:r>
              <w:t>0.880</w:t>
            </w:r>
          </w:p>
        </w:tc>
        <w:tc>
          <w:tcPr>
            <w:tcW w:w="3022" w:type="dxa"/>
          </w:tcPr>
          <w:p w14:paraId="58BE6072">
            <w:pPr>
              <w:spacing w:after="0" w:line="240" w:lineRule="auto"/>
            </w:pPr>
            <w:r>
              <w:t>正相关</w:t>
            </w:r>
          </w:p>
        </w:tc>
      </w:tr>
    </w:tbl>
    <w:p w14:paraId="01CCB44A">
      <w:pPr>
        <w:pStyle w:val="4"/>
      </w:pPr>
      <w:r>
        <w:t>表4-3 基准回归结果（DEMO模拟结果）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266"/>
        <w:gridCol w:w="2266"/>
        <w:gridCol w:w="2266"/>
      </w:tblGrid>
      <w:tr w14:paraId="45506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6" w:type="dxa"/>
          </w:tcPr>
          <w:p w14:paraId="43C5D42F">
            <w:pPr>
              <w:spacing w:after="0" w:line="240" w:lineRule="auto"/>
            </w:pPr>
            <w:r>
              <w:t>变量</w:t>
            </w:r>
          </w:p>
        </w:tc>
        <w:tc>
          <w:tcPr>
            <w:tcW w:w="2266" w:type="dxa"/>
          </w:tcPr>
          <w:p w14:paraId="548E7304">
            <w:pPr>
              <w:spacing w:after="0" w:line="240" w:lineRule="auto"/>
            </w:pPr>
            <w:r>
              <w:t>模型(1)</w:t>
            </w:r>
          </w:p>
        </w:tc>
        <w:tc>
          <w:tcPr>
            <w:tcW w:w="2266" w:type="dxa"/>
          </w:tcPr>
          <w:p w14:paraId="155A4BC6">
            <w:pPr>
              <w:spacing w:after="0" w:line="240" w:lineRule="auto"/>
            </w:pPr>
            <w:r>
              <w:t>模型(2)</w:t>
            </w:r>
          </w:p>
        </w:tc>
        <w:tc>
          <w:tcPr>
            <w:tcW w:w="2266" w:type="dxa"/>
          </w:tcPr>
          <w:p w14:paraId="12324749">
            <w:pPr>
              <w:spacing w:after="0" w:line="240" w:lineRule="auto"/>
            </w:pPr>
            <w:r>
              <w:t>模型(3)</w:t>
            </w:r>
          </w:p>
        </w:tc>
      </w:tr>
      <w:tr w14:paraId="1CF9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604BCFC3">
            <w:pPr>
              <w:spacing w:after="0" w:line="240" w:lineRule="auto"/>
            </w:pPr>
            <w:r>
              <w:t>Digital</w:t>
            </w:r>
          </w:p>
        </w:tc>
        <w:tc>
          <w:tcPr>
            <w:tcW w:w="2266" w:type="dxa"/>
          </w:tcPr>
          <w:p w14:paraId="46E5697E">
            <w:pPr>
              <w:spacing w:after="0" w:line="240" w:lineRule="auto"/>
            </w:pPr>
            <w:r>
              <w:t>0.0102***</w:t>
            </w:r>
          </w:p>
        </w:tc>
        <w:tc>
          <w:tcPr>
            <w:tcW w:w="2266" w:type="dxa"/>
          </w:tcPr>
          <w:p w14:paraId="3412828D">
            <w:pPr>
              <w:spacing w:after="0" w:line="240" w:lineRule="auto"/>
            </w:pPr>
            <w:r>
              <w:t>0.0089***</w:t>
            </w:r>
          </w:p>
        </w:tc>
        <w:tc>
          <w:tcPr>
            <w:tcW w:w="2266" w:type="dxa"/>
          </w:tcPr>
          <w:p w14:paraId="6D6DD694">
            <w:pPr>
              <w:spacing w:after="0" w:line="240" w:lineRule="auto"/>
            </w:pPr>
            <w:r>
              <w:t>0.0085***</w:t>
            </w:r>
          </w:p>
        </w:tc>
      </w:tr>
      <w:tr w14:paraId="5EBAD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6DF29616">
            <w:pPr>
              <w:spacing w:after="0" w:line="240" w:lineRule="auto"/>
            </w:pPr>
            <w:r>
              <w:t>Size</w:t>
            </w:r>
          </w:p>
        </w:tc>
        <w:tc>
          <w:tcPr>
            <w:tcW w:w="2266" w:type="dxa"/>
          </w:tcPr>
          <w:p w14:paraId="4C24B79D">
            <w:pPr>
              <w:spacing w:after="0" w:line="240" w:lineRule="auto"/>
            </w:pPr>
          </w:p>
        </w:tc>
        <w:tc>
          <w:tcPr>
            <w:tcW w:w="2266" w:type="dxa"/>
          </w:tcPr>
          <w:p w14:paraId="7EBD139B">
            <w:pPr>
              <w:spacing w:after="0" w:line="240" w:lineRule="auto"/>
            </w:pPr>
            <w:r>
              <w:t>0.0011</w:t>
            </w:r>
          </w:p>
        </w:tc>
        <w:tc>
          <w:tcPr>
            <w:tcW w:w="2266" w:type="dxa"/>
          </w:tcPr>
          <w:p w14:paraId="096E19AB">
            <w:pPr>
              <w:spacing w:after="0" w:line="240" w:lineRule="auto"/>
            </w:pPr>
            <w:r>
              <w:t>0.0010</w:t>
            </w:r>
          </w:p>
        </w:tc>
      </w:tr>
      <w:tr w14:paraId="49ED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177E651A">
            <w:pPr>
              <w:spacing w:after="0" w:line="240" w:lineRule="auto"/>
            </w:pPr>
            <w:r>
              <w:t>Lev</w:t>
            </w:r>
          </w:p>
        </w:tc>
        <w:tc>
          <w:tcPr>
            <w:tcW w:w="2266" w:type="dxa"/>
          </w:tcPr>
          <w:p w14:paraId="597692B4">
            <w:pPr>
              <w:spacing w:after="0" w:line="240" w:lineRule="auto"/>
            </w:pPr>
          </w:p>
        </w:tc>
        <w:tc>
          <w:tcPr>
            <w:tcW w:w="2266" w:type="dxa"/>
          </w:tcPr>
          <w:p w14:paraId="1E66429A">
            <w:pPr>
              <w:spacing w:after="0" w:line="240" w:lineRule="auto"/>
            </w:pPr>
            <w:r>
              <w:t>-0.0431***</w:t>
            </w:r>
          </w:p>
        </w:tc>
        <w:tc>
          <w:tcPr>
            <w:tcW w:w="2266" w:type="dxa"/>
          </w:tcPr>
          <w:p w14:paraId="501EFED4">
            <w:pPr>
              <w:spacing w:after="0" w:line="240" w:lineRule="auto"/>
            </w:pPr>
            <w:r>
              <w:t>-0.0418***</w:t>
            </w:r>
          </w:p>
        </w:tc>
      </w:tr>
      <w:tr w14:paraId="68E4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2DF292EB">
            <w:pPr>
              <w:spacing w:after="0" w:line="240" w:lineRule="auto"/>
            </w:pPr>
            <w:r>
              <w:t>Growth</w:t>
            </w:r>
          </w:p>
        </w:tc>
        <w:tc>
          <w:tcPr>
            <w:tcW w:w="2266" w:type="dxa"/>
          </w:tcPr>
          <w:p w14:paraId="5FB9A75F">
            <w:pPr>
              <w:spacing w:after="0" w:line="240" w:lineRule="auto"/>
            </w:pPr>
          </w:p>
        </w:tc>
        <w:tc>
          <w:tcPr>
            <w:tcW w:w="2266" w:type="dxa"/>
          </w:tcPr>
          <w:p w14:paraId="51C52410">
            <w:pPr>
              <w:spacing w:after="0" w:line="240" w:lineRule="auto"/>
            </w:pPr>
            <w:r>
              <w:t>0.0176***</w:t>
            </w:r>
          </w:p>
        </w:tc>
        <w:tc>
          <w:tcPr>
            <w:tcW w:w="2266" w:type="dxa"/>
          </w:tcPr>
          <w:p w14:paraId="3F83BC87">
            <w:pPr>
              <w:spacing w:after="0" w:line="240" w:lineRule="auto"/>
            </w:pPr>
            <w:r>
              <w:t>0.0172***</w:t>
            </w:r>
          </w:p>
        </w:tc>
      </w:tr>
      <w:tr w14:paraId="15786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07A16762">
            <w:pPr>
              <w:spacing w:after="0" w:line="240" w:lineRule="auto"/>
            </w:pPr>
            <w:r>
              <w:t>Age</w:t>
            </w:r>
          </w:p>
        </w:tc>
        <w:tc>
          <w:tcPr>
            <w:tcW w:w="2266" w:type="dxa"/>
          </w:tcPr>
          <w:p w14:paraId="218936BD">
            <w:pPr>
              <w:spacing w:after="0" w:line="240" w:lineRule="auto"/>
            </w:pPr>
          </w:p>
        </w:tc>
        <w:tc>
          <w:tcPr>
            <w:tcW w:w="2266" w:type="dxa"/>
          </w:tcPr>
          <w:p w14:paraId="023F35E4">
            <w:pPr>
              <w:spacing w:after="0" w:line="240" w:lineRule="auto"/>
            </w:pPr>
            <w:r>
              <w:t>-0.0015</w:t>
            </w:r>
          </w:p>
        </w:tc>
        <w:tc>
          <w:tcPr>
            <w:tcW w:w="2266" w:type="dxa"/>
          </w:tcPr>
          <w:p w14:paraId="70A69D98">
            <w:pPr>
              <w:spacing w:after="0" w:line="240" w:lineRule="auto"/>
            </w:pPr>
            <w:r>
              <w:t>-0.0013</w:t>
            </w:r>
          </w:p>
        </w:tc>
      </w:tr>
      <w:tr w14:paraId="33A9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0D74364E">
            <w:pPr>
              <w:spacing w:after="0" w:line="240" w:lineRule="auto"/>
            </w:pPr>
            <w:r>
              <w:t>CFO</w:t>
            </w:r>
          </w:p>
        </w:tc>
        <w:tc>
          <w:tcPr>
            <w:tcW w:w="2266" w:type="dxa"/>
          </w:tcPr>
          <w:p w14:paraId="62EB0170">
            <w:pPr>
              <w:spacing w:after="0" w:line="240" w:lineRule="auto"/>
            </w:pPr>
          </w:p>
        </w:tc>
        <w:tc>
          <w:tcPr>
            <w:tcW w:w="2266" w:type="dxa"/>
          </w:tcPr>
          <w:p w14:paraId="69C8EF22">
            <w:pPr>
              <w:spacing w:after="0" w:line="240" w:lineRule="auto"/>
            </w:pPr>
            <w:r>
              <w:t>0.1194***</w:t>
            </w:r>
          </w:p>
        </w:tc>
        <w:tc>
          <w:tcPr>
            <w:tcW w:w="2266" w:type="dxa"/>
          </w:tcPr>
          <w:p w14:paraId="64D4ABDB">
            <w:pPr>
              <w:spacing w:after="0" w:line="240" w:lineRule="auto"/>
            </w:pPr>
            <w:r>
              <w:t>0.1178***</w:t>
            </w:r>
          </w:p>
        </w:tc>
      </w:tr>
      <w:tr w14:paraId="5535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56E808A">
            <w:pPr>
              <w:spacing w:after="0" w:line="240" w:lineRule="auto"/>
            </w:pPr>
            <w:r>
              <w:t>年份固定效应</w:t>
            </w:r>
          </w:p>
        </w:tc>
        <w:tc>
          <w:tcPr>
            <w:tcW w:w="2266" w:type="dxa"/>
          </w:tcPr>
          <w:p w14:paraId="3F129776">
            <w:pPr>
              <w:spacing w:after="0" w:line="240" w:lineRule="auto"/>
            </w:pPr>
            <w:r>
              <w:t>否</w:t>
            </w:r>
          </w:p>
        </w:tc>
        <w:tc>
          <w:tcPr>
            <w:tcW w:w="2266" w:type="dxa"/>
          </w:tcPr>
          <w:p w14:paraId="4F10027C">
            <w:pPr>
              <w:spacing w:after="0" w:line="240" w:lineRule="auto"/>
            </w:pPr>
            <w:r>
              <w:t>否</w:t>
            </w:r>
          </w:p>
        </w:tc>
        <w:tc>
          <w:tcPr>
            <w:tcW w:w="2266" w:type="dxa"/>
          </w:tcPr>
          <w:p w14:paraId="2EF8A1B1">
            <w:pPr>
              <w:spacing w:after="0" w:line="240" w:lineRule="auto"/>
            </w:pPr>
            <w:r>
              <w:t>是</w:t>
            </w:r>
          </w:p>
        </w:tc>
      </w:tr>
      <w:tr w14:paraId="43056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76CF827">
            <w:pPr>
              <w:spacing w:after="0" w:line="240" w:lineRule="auto"/>
            </w:pPr>
            <w:r>
              <w:t>N</w:t>
            </w:r>
          </w:p>
        </w:tc>
        <w:tc>
          <w:tcPr>
            <w:tcW w:w="2266" w:type="dxa"/>
          </w:tcPr>
          <w:p w14:paraId="44386F07">
            <w:pPr>
              <w:spacing w:after="0" w:line="240" w:lineRule="auto"/>
            </w:pPr>
            <w:r>
              <w:t>360</w:t>
            </w:r>
          </w:p>
        </w:tc>
        <w:tc>
          <w:tcPr>
            <w:tcW w:w="2266" w:type="dxa"/>
          </w:tcPr>
          <w:p w14:paraId="5D7AC662">
            <w:pPr>
              <w:spacing w:after="0" w:line="240" w:lineRule="auto"/>
            </w:pPr>
            <w:r>
              <w:t>360</w:t>
            </w:r>
          </w:p>
        </w:tc>
        <w:tc>
          <w:tcPr>
            <w:tcW w:w="2266" w:type="dxa"/>
          </w:tcPr>
          <w:p w14:paraId="459A04A1">
            <w:pPr>
              <w:spacing w:after="0" w:line="240" w:lineRule="auto"/>
            </w:pPr>
            <w:r>
              <w:t>360</w:t>
            </w:r>
          </w:p>
        </w:tc>
      </w:tr>
      <w:tr w14:paraId="3867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19B32BA2">
            <w:pPr>
              <w:spacing w:after="0" w:line="240" w:lineRule="auto"/>
            </w:pPr>
            <w:r>
              <w:t>R²</w:t>
            </w:r>
          </w:p>
        </w:tc>
        <w:tc>
          <w:tcPr>
            <w:tcW w:w="2266" w:type="dxa"/>
          </w:tcPr>
          <w:p w14:paraId="5B1E67DC">
            <w:pPr>
              <w:spacing w:after="0" w:line="240" w:lineRule="auto"/>
            </w:pPr>
            <w:r>
              <w:t>0.148</w:t>
            </w:r>
          </w:p>
        </w:tc>
        <w:tc>
          <w:tcPr>
            <w:tcW w:w="2266" w:type="dxa"/>
          </w:tcPr>
          <w:p w14:paraId="4523E069">
            <w:pPr>
              <w:spacing w:after="0" w:line="240" w:lineRule="auto"/>
            </w:pPr>
            <w:r>
              <w:t>0.401</w:t>
            </w:r>
          </w:p>
        </w:tc>
        <w:tc>
          <w:tcPr>
            <w:tcW w:w="2266" w:type="dxa"/>
          </w:tcPr>
          <w:p w14:paraId="72C02F5E">
            <w:pPr>
              <w:spacing w:after="0" w:line="240" w:lineRule="auto"/>
            </w:pPr>
            <w:r>
              <w:t>0.416</w:t>
            </w:r>
          </w:p>
        </w:tc>
      </w:tr>
    </w:tbl>
    <w:p w14:paraId="56EEDE8B">
      <w:pPr>
        <w:spacing w:before="80"/>
      </w:pPr>
      <w:r>
        <w:t>注：***表示示例中的1%显著性标记。以上系数均为课程预演模拟结果，不代表真实A股实证结论。</w:t>
      </w:r>
    </w:p>
    <w:p w14:paraId="4F240FFA">
      <w:pPr>
        <w:pStyle w:val="3"/>
      </w:pPr>
      <w:r>
        <w:t>5 结论、局限与展望</w:t>
      </w:r>
    </w:p>
    <w:p w14:paraId="5A54C62E">
      <w:pPr>
        <w:pStyle w:val="4"/>
      </w:pPr>
      <w:r>
        <w:t>5.1 主要结论</w:t>
      </w:r>
    </w:p>
    <w:p w14:paraId="3E78BE34">
      <w:pPr>
        <w:spacing w:after="80" w:line="360" w:lineRule="auto"/>
        <w:ind w:firstLine="420"/>
      </w:pPr>
      <w:r>
        <w:t>本文围绕“如何利用年报文本测度企业数字化转型，以及数字化转型是否与企业经营绩效相关”这一问题，构建了完整的NLP文本测度与面板回归研究流程。研究首先从上市公司年报出发，将人工智能、大数据、云计算、区块链和数字技术应用等词汇组织为结构化词典；随后通过文本提取、清洗、关键词统计和对数化处理构造企业数字化转型指标；最后将该指标与ROA及企业特征变量合并，形成企业—年份面板并开展描述性统计、信效度检验、相关性分析、基准回归和稳健性检验。</w:t>
      </w:r>
    </w:p>
    <w:p w14:paraId="65E51CE0">
      <w:pPr>
        <w:spacing w:after="80" w:line="360" w:lineRule="auto"/>
        <w:ind w:firstLine="420"/>
      </w:pPr>
      <w:r>
        <w:t>课程预演模拟结果显示，Digital与ROA之间呈正向统计关系，在加入企业规模、资产负债率、成长性、企业年龄和经营现金流等变量后，系数方向保持稳定；采用数字化关键词密度以及滞后一期Digital后，方向亦未发生明显变化。这一结果说明本文设计的研究框架可以完整运行，并为正式研究提供清晰的技术路线。但由于本稿使用模拟数据，这些数值只能证明方法流程可执行，不能被用于判断真实A股上市公司数字化转型的经济效果。</w:t>
      </w:r>
    </w:p>
    <w:p w14:paraId="4AD1FF3A">
      <w:pPr>
        <w:pStyle w:val="4"/>
      </w:pPr>
      <w:r>
        <w:t>5.2 理论与实践启示</w:t>
      </w:r>
    </w:p>
    <w:p w14:paraId="49B63900">
      <w:pPr>
        <w:spacing w:after="80" w:line="360" w:lineRule="auto"/>
        <w:ind w:firstLine="420"/>
      </w:pPr>
      <w:r>
        <w:t>从研究方法看，上市公司年报不仅是财务信息载体，也是企业战略和经营活动的重要文本来源。NLP能够将大量非结构化披露转化为企业层面的量化指标，使“数字化转型”这类难以直接观测的概念进入计量模型。对于课程学习而言，这种方法把文本分析与传统财务实证研究连接起来，能够完整展示数据获取、特征工程、变量构造和统计检验的过程。</w:t>
      </w:r>
    </w:p>
    <w:p w14:paraId="2FB56A3E">
      <w:pPr>
        <w:spacing w:after="80" w:line="360" w:lineRule="auto"/>
        <w:ind w:firstLine="420"/>
      </w:pPr>
      <w:r>
        <w:t>从企业实践看，数字化转型的价值不应仅通过技术名词数量判断。真正可能改善经营绩效的是数字技术与生产、供应链、营销、研发和管理流程的结合。因此，企业在数字化建设中应避免“重系统、轻业务”，更应关注数据治理、人员能力、流程再造以及技术应用后的经营结果。</w:t>
      </w:r>
    </w:p>
    <w:p w14:paraId="2E3718A6">
      <w:pPr>
        <w:pStyle w:val="4"/>
      </w:pPr>
      <w:r>
        <w:t>5.3 研究局限</w:t>
      </w:r>
    </w:p>
    <w:p w14:paraId="2AF568B7">
      <w:pPr>
        <w:spacing w:after="80" w:line="360" w:lineRule="auto"/>
        <w:ind w:firstLine="420"/>
      </w:pPr>
      <w:r>
        <w:t>第一，词频指标本质上测量的是年报中的数字化披露强度，而不是企业真实数字化资本存量。企业可能存在策略性披露，因此文本指标与实际投入之间存在测量误差。第二，简单关键词匹配对语境识别能力有限，无法完全区分已经实施的数字化项目、未来计划、行业背景描述和风险提示。第三，数字化转型与经营绩效之间可能存在反向因果：经营状况更好的企业拥有更多资源推进数字化，同时也更愿意在年报中披露相关战略。第四，本预演稿的实证结果来自模拟数据，正式毕业论文必须替换为真实数据后重新估计。</w:t>
      </w:r>
    </w:p>
    <w:p w14:paraId="2A207E3F">
      <w:pPr>
        <w:pStyle w:val="4"/>
      </w:pPr>
      <w:r>
        <w:t>5.4 未来展望</w:t>
      </w:r>
    </w:p>
    <w:p w14:paraId="10169149">
      <w:pPr>
        <w:spacing w:after="80" w:line="360" w:lineRule="auto"/>
        <w:ind w:firstLine="420"/>
      </w:pPr>
      <w:r>
        <w:t>未来研究可从三个方向改进。其一，在数据层面扩大年报年份范围，并匹配专利、招聘、软件资产、研发投入等外部数据，对数字化文本指标进行交叉验证。其二，在NLP方法层面从词频统计扩展到上下文分类、主题模型和预训练语言模型，以识别数字化语句的具体行为属性。其三，在因果识别层面，可以结合数字化相关政策试点、地区数字基础设施建设或外生技术冲击，采用双重差分、工具变量等方法，更严格地识别数字化转型对经营绩效的影响。</w:t>
      </w:r>
    </w:p>
    <w:p w14:paraId="1B3B3B7C">
      <w:pPr>
        <w:spacing w:after="80" w:line="360" w:lineRule="auto"/>
        <w:ind w:firstLine="420"/>
      </w:pPr>
      <w:r>
        <w:t>总体而言，本文最大的意义并不在于给出一个模拟回归系数，而在于建立了一条透明、可复现、能够替换真实数据的研究流水线。只要将正式年报和财务数据放入对应目录并执行五步Python脚本，即可重新生成数字化测度、企业—年份面板和回归结果，为后续毕业论文的正式实证分析奠定基础。</w:t>
      </w:r>
    </w:p>
    <w:p w14:paraId="3FEBA2B9">
      <w:pPr>
        <w:pStyle w:val="3"/>
      </w:pPr>
      <w:r>
        <w:t>参考文献</w:t>
      </w:r>
    </w:p>
    <w:p w14:paraId="4811CBEF">
      <w:pPr>
        <w:spacing w:line="300" w:lineRule="auto"/>
      </w:pPr>
      <w:r>
        <w:t>吴非，易露霞，常曦. 企业数字化转型进程与主业绩效——来自中国上市企业年报文本识别的经验证据[J]. 现代财经(天津财经大学学报), 2021, 41(10):24-38.</w:t>
      </w:r>
    </w:p>
    <w:p w14:paraId="054915EB">
      <w:pPr>
        <w:spacing w:line="300" w:lineRule="auto"/>
      </w:pPr>
      <w:r>
        <w:t>黄漫宇，王孝行. 零售企业数字化转型对经营效率的影响研究——基于上市企业年报的文本挖掘分析[J]. 北京工商大学学报(社会科学版), 2022, 37(1):38-49.</w:t>
      </w:r>
    </w:p>
    <w:p w14:paraId="3AA8C178">
      <w:pPr>
        <w:spacing w:line="300" w:lineRule="auto"/>
      </w:pPr>
      <w:r>
        <w:t>朱茜俣，谭小芬. 企业数字化转型与投资效率——来自年报文本的经验证据[J]. 经济科学, 2024(4):93-113.</w:t>
      </w:r>
    </w:p>
    <w:p w14:paraId="325671CC">
      <w:pPr>
        <w:spacing w:line="300" w:lineRule="auto"/>
      </w:pPr>
      <w:r>
        <w:t>胡中意，水典成，吴江. 中国上市公司数字化水平测度与演化研究——来自年报文本的经验证据[J]. 中国管理科学, 2025.</w:t>
      </w:r>
    </w:p>
    <w:p w14:paraId="61D442F4">
      <w:pPr>
        <w:spacing w:line="300" w:lineRule="auto"/>
      </w:pPr>
      <w:r>
        <w:t>CnOpenData. A股上市企业数字化转型指数数据[EB/OL]. 数据说明页面，访问日期：2026-09-29.</w:t>
      </w:r>
    </w:p>
    <w:p w14:paraId="1E95DEB2">
      <w:pPr>
        <w:spacing w:line="300" w:lineRule="auto"/>
      </w:pPr>
      <w:r>
        <w:t>巨潮资讯网. 上市公司公告与年度报告[EB/OL].（正式研究的数据来源之一，实际使用时记录下载日期与文件清单）.</w:t>
      </w:r>
    </w:p>
    <w:p w14:paraId="248CE35F">
      <w:pPr>
        <w:pStyle w:val="3"/>
      </w:pPr>
      <w:r>
        <w:t>附录：提交材料说明</w:t>
      </w:r>
    </w:p>
    <w:p w14:paraId="3D95452A">
      <w:pPr>
        <w:spacing w:line="360" w:lineRule="auto"/>
        <w:ind w:firstLine="420"/>
      </w:pPr>
      <w:r>
        <w:t>本论文提交包同时包含五个Python脚本、数字化词典、企业—年份DEMO面板、NLP测度DEMO结果、描述性统计表、信效度结果表、回归结果表和数据来源说明。五步代码分别对应：01_extract_text.py（文本提取）、02_clean_text.py（文本清洗）、03_nlp_measure.py（NLP测度）、04_merge_panel.py（面板合并）、05_regression.py（回归分析）。正式研究时，应将模拟CSV替换为真实数据并重新运行全部步骤。</w:t>
      </w:r>
    </w:p>
    <w:p w14:paraId="30AB679F">
      <w:pPr>
        <w:spacing w:line="360" w:lineRule="auto"/>
        <w:ind w:firstLine="420"/>
      </w:pPr>
      <w:r>
        <w:t>五步代码与论文研究步骤对应关系如下：①01_extract_text.py：PDF年报文本提取；②02_clean_text.py：文本清洗与规范化；③03_nlp_measure.py：数字化词典匹配及Digital、DigitalDensity测度；④04_merge_panel.py：NLP测度与财务数据合并，构建企业—年份面板；⑤05_analysis.py：描述性统计、信效度、相关性、基准回归与稳健性检验。run_all.py用于按照上述顺序一键运行全部步骤，不单独构成第六个研究步骤。</w:t>
      </w:r>
    </w:p>
    <w:sectPr>
      <w:footerReference r:id="rId5" w:type="default"/>
      <w:pgSz w:w="12240" w:h="15840"/>
      <w:pgMar w:top="1440" w:right="1474"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6C4DD">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7568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Python Code"/>
    <w:uiPriority w:val="0"/>
    <w:pPr>
      <w:spacing w:before="60" w:after="60" w:line="240" w:lineRule="auto"/>
      <w:ind w:left="312" w:right="198"/>
    </w:pPr>
    <w:rPr>
      <w:rFonts w:ascii="Consolas" w:hAnsi="Consolas" w:eastAsiaTheme="minorEastAsia"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8668</Words>
  <Characters>10687</Characters>
  <Lines>0</Lines>
  <Paragraphs>0</Paragraphs>
  <TotalTime>4</TotalTime>
  <ScaleCrop>false</ScaleCrop>
  <LinksUpToDate>false</LinksUpToDate>
  <CharactersWithSpaces>10924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Erber.</cp:lastModifiedBy>
  <dcterms:modified xsi:type="dcterms:W3CDTF">2026-09-29T14:19:14Z</dcterms:modified>
  <dc:title>企业数字化转型对经营绩效的影响——五步Python代码整合版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eyJoZGlkIjoiZGZkNzE5YTZjYWEyNDdlMWIzNTM5OThkMTM4MDU2NDkiLCJ1c2VySWQiOiIxMzc2NDc2NDI1In0=</vt:lpwstr>
  </property>
  <property fmtid="{D5CDD505-2E9C-101B-9397-08002B2CF9AE}" pid="3" name="KSOProductBuildVer">
    <vt:lpwstr>2052-12.1.0.28505</vt:lpwstr>
  </property>
  <property fmtid="{D5CDD505-2E9C-101B-9397-08002B2CF9AE}" pid="4" name="ICV">
    <vt:lpwstr>9314446426FB415DA44C3603787E64B5_12</vt:lpwstr>
  </property>
</Properties>
</file>