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551" w:after="340"/>
        <w:jc w:val="center"/>
      </w:pPr>
      <w:r>
        <w:rPr>
          <w:rFonts w:ascii="宋体" w:hAnsi="宋体" w:eastAsia="宋体" w:cs="宋体" w:hint="eastAsia"/>
          <w:b/>
          <w:color w:val="000000"/>
          <w:sz w:val="36"/>
          <w:lang w:eastAsia="zh-CN"/>
        </w:rPr>
        <w:t>基于年报文本挖掘的企业数字化转型测度及其对企业绩效的影响研究</w:t>
      </w:r>
    </w:p>
    <w:p>
      <w:pPr>
        <w:spacing w:after="1814"/>
        <w:ind w:firstLine="0"/>
        <w:jc w:val="center"/>
      </w:pPr>
      <w:r>
        <w:rPr>
          <w:sz w:val="24"/>
        </w:rPr>
        <w:t>——</w:t>
      </w:r>
      <w:r>
        <w:rPr>
          <w:rFonts w:ascii="宋体" w:eastAsia="宋体" w:hAnsi="宋体" w:cs="宋体" w:hint="eastAsia"/>
          <w:sz w:val="24"/>
          <w:lang w:eastAsia="zh-CN"/>
        </w:rPr>
        <w:t>以</w:t>
      </w:r>
      <w:r>
        <w:rPr>
          <w:sz w:val="24"/>
        </w:rPr>
        <w:t xml:space="preserve"> 2015—2023 </w:t>
      </w:r>
      <w:r>
        <w:rPr>
          <w:rFonts w:ascii="宋体" w:eastAsia="宋体" w:hAnsi="宋体" w:cs="宋体" w:hint="eastAsia"/>
          <w:sz w:val="24"/>
          <w:lang w:eastAsia="zh-CN"/>
        </w:rPr>
        <w:t>年沪深</w:t>
      </w:r>
      <w:r>
        <w:rPr>
          <w:sz w:val="24"/>
        </w:rPr>
        <w:t xml:space="preserve"> A </w:t>
      </w:r>
      <w:r>
        <w:rPr>
          <w:rFonts w:ascii="宋体" w:eastAsia="宋体" w:hAnsi="宋体" w:cs="宋体" w:hint="eastAsia"/>
          <w:sz w:val="24"/>
          <w:lang w:eastAsia="zh-CN"/>
        </w:rPr>
        <w:t>股制造业上市公司为例</w:t>
      </w:r>
    </w:p>
    <w:tbl>
      <w:tblPr>
        <w:tblW w:type="pct" w:w="5000"/>
        <w:tblLook w:firstColumn="1" w:firstRow="1" w:lastColumn="0" w:lastRow="0" w:noHBand="0" w:noVBand="1" w:val="04A0"/>
        <w:tblLayout w:type="autofit"/>
      </w:tblPr>
      <w:tblGrid>
        <w:gridCol w:w="4320"/>
        <w:gridCol w:w="4320"/>
      </w:tblGrid>
      <w:tr>
        <w:tc>
          <w:tcPr>
            <w:tcW w:type="dxa" w:w="4320"/>
            <w:tcBorders>
              <w:top w:val="none" w:sz="6" w:space="0" w:color="000000"/>
              <w:bottom w:val="none" w:sz="6" w:space="0" w:color="000000"/>
              <w:left w:val="none" w:sz="6" w:space="0" w:color="000000"/>
              <w:right w:val="none" w:sz="6" w:space="0" w:color="000000"/>
            </w:tcBorders>
            <w:vAlign w:val="center"/>
          </w:tcPr>
          <w:p>
            <w:pPr>
              <w:jc w:val="right"/>
              <w:spacing w:line="240" w:lineRule="auto" w:before="60" w:after="60"/>
              <w:ind w:firstLine="0"/>
            </w:pPr>
            <w:r>
              <w:rPr>
                <w:sz w:val="24"/>
              </w:rPr>
              <w:t>学生姓名</w:t>
            </w:r>
          </w:p>
        </w:tc>
        <w:tc>
          <w:tcPr>
            <w:tcW w:type="dxa" w:w="4320"/>
            <w:tcBorders>
              <w:top w:val="none" w:sz="6" w:space="0" w:color="000000"/>
              <w:bottom w:val="none" w:sz="6" w:space="0" w:color="000000"/>
              <w:left w:val="none" w:sz="6" w:space="0" w:color="000000"/>
              <w:right w:val="none" w:sz="6" w:space="0" w:color="000000"/>
            </w:tcBorders>
            <w:vAlign w:val="center"/>
          </w:tcPr>
          <w:p>
            <w:pPr>
              <w:jc w:val="left"/>
              <w:spacing w:line="240" w:lineRule="auto" w:before="60" w:after="60"/>
              <w:ind w:firstLine="0"/>
            </w:pPr>
            <w:r>
              <w:rPr>
                <w:sz w:val="24"/>
              </w:rPr>
              <w:t>王晓珂</w:t>
            </w:r>
          </w:p>
        </w:tc>
      </w:tr>
      <w:tr>
        <w:tc>
          <w:tcPr>
            <w:tcW w:type="dxa" w:w="4320"/>
            <w:tcBorders>
              <w:top w:val="none" w:sz="6" w:space="0" w:color="000000"/>
              <w:bottom w:val="none" w:sz="6" w:space="0" w:color="000000"/>
              <w:left w:val="none" w:sz="6" w:space="0" w:color="000000"/>
              <w:right w:val="none" w:sz="6" w:space="0" w:color="000000"/>
            </w:tcBorders>
            <w:vAlign w:val="center"/>
          </w:tcPr>
          <w:p>
            <w:pPr>
              <w:jc w:val="right"/>
              <w:spacing w:line="240" w:lineRule="auto" w:before="60" w:after="60"/>
              <w:ind w:firstLine="0"/>
            </w:pPr>
            <w:r>
              <w:rPr>
                <w:sz w:val="24"/>
              </w:rPr>
              <w:t>学　　号</w:t>
            </w:r>
          </w:p>
        </w:tc>
        <w:tc>
          <w:tcPr>
            <w:tcW w:type="dxa" w:w="4320"/>
            <w:tcBorders>
              <w:top w:val="none" w:sz="6" w:space="0" w:color="000000"/>
              <w:bottom w:val="none" w:sz="6" w:space="0" w:color="000000"/>
              <w:left w:val="none" w:sz="6" w:space="0" w:color="000000"/>
              <w:right w:val="none" w:sz="6" w:space="0" w:color="000000"/>
            </w:tcBorders>
            <w:vAlign w:val="center"/>
          </w:tcPr>
          <w:p>
            <w:pPr>
              <w:jc w:val="left"/>
              <w:spacing w:line="240" w:lineRule="auto" w:before="60" w:after="60"/>
              <w:ind w:firstLine="0"/>
            </w:pPr>
            <w:r>
              <w:rPr>
                <w:sz w:val="24"/>
              </w:rPr>
              <w:t>202364029</w:t>
            </w:r>
          </w:p>
        </w:tc>
      </w:tr>
      <w:tr>
        <w:tc>
          <w:tcPr>
            <w:tcW w:type="dxa" w:w="4320"/>
            <w:tcBorders>
              <w:top w:val="none" w:sz="6" w:space="0" w:color="000000"/>
              <w:bottom w:val="none" w:sz="6" w:space="0" w:color="000000"/>
              <w:left w:val="none" w:sz="6" w:space="0" w:color="000000"/>
              <w:right w:val="none" w:sz="6" w:space="0" w:color="000000"/>
            </w:tcBorders>
            <w:vAlign w:val="center"/>
          </w:tcPr>
          <w:p>
            <w:pPr>
              <w:jc w:val="right"/>
              <w:spacing w:line="240" w:lineRule="auto" w:before="60" w:after="60"/>
              <w:ind w:firstLine="0"/>
            </w:pPr>
            <w:r>
              <w:rPr>
                <w:sz w:val="24"/>
              </w:rPr>
              <w:t>专　　业</w:t>
            </w:r>
          </w:p>
        </w:tc>
        <w:tc>
          <w:tcPr>
            <w:tcW w:type="dxa" w:w="4320"/>
            <w:tcBorders>
              <w:top w:val="none" w:sz="6" w:space="0" w:color="000000"/>
              <w:bottom w:val="none" w:sz="6" w:space="0" w:color="000000"/>
              <w:left w:val="none" w:sz="6" w:space="0" w:color="000000"/>
              <w:right w:val="none" w:sz="6" w:space="0" w:color="000000"/>
            </w:tcBorders>
            <w:vAlign w:val="center"/>
          </w:tcPr>
          <w:p>
            <w:pPr>
              <w:jc w:val="left"/>
              <w:spacing w:line="240" w:lineRule="auto" w:before="60" w:after="60"/>
              <w:ind w:firstLine="0"/>
            </w:pPr>
            <w:r>
              <w:rPr>
                <w:sz w:val="24"/>
              </w:rPr>
              <w:t>大数据管理与应用</w:t>
            </w:r>
          </w:p>
        </w:tc>
      </w:tr>
      <w:tr>
        <w:tc>
          <w:tcPr>
            <w:tcW w:type="dxa" w:w="4320"/>
            <w:tcBorders>
              <w:top w:val="none" w:sz="6" w:space="0" w:color="000000"/>
              <w:bottom w:val="none" w:sz="6" w:space="0" w:color="000000"/>
              <w:left w:val="none" w:sz="6" w:space="0" w:color="000000"/>
              <w:right w:val="none" w:sz="6" w:space="0" w:color="000000"/>
            </w:tcBorders>
            <w:vAlign w:val="center"/>
          </w:tcPr>
          <w:p>
            <w:pPr>
              <w:jc w:val="right"/>
              <w:spacing w:line="240" w:lineRule="auto" w:before="60" w:after="60"/>
              <w:ind w:firstLine="0"/>
            </w:pPr>
            <w:r>
              <w:rPr>
                <w:sz w:val="24"/>
              </w:rPr>
              <w:t>年　　级</w:t>
            </w:r>
          </w:p>
        </w:tc>
        <w:tc>
          <w:tcPr>
            <w:tcW w:type="dxa" w:w="4320"/>
            <w:tcBorders>
              <w:top w:val="none" w:sz="6" w:space="0" w:color="000000"/>
              <w:bottom w:val="none" w:sz="6" w:space="0" w:color="000000"/>
              <w:left w:val="none" w:sz="6" w:space="0" w:color="000000"/>
              <w:right w:val="none" w:sz="6" w:space="0" w:color="000000"/>
            </w:tcBorders>
            <w:vAlign w:val="center"/>
          </w:tcPr>
          <w:p>
            <w:pPr>
              <w:jc w:val="left"/>
              <w:spacing w:line="240" w:lineRule="auto" w:before="60" w:after="60"/>
              <w:ind w:firstLine="0"/>
            </w:pPr>
            <w:r>
              <w:rPr>
                <w:sz w:val="24"/>
              </w:rPr>
              <w:t xml:space="preserve">2023 </w:t>
            </w:r>
            <w:r>
              <w:rPr>
                <w:sz w:val="24"/>
              </w:rPr>
              <w:t xml:space="preserve"> </w:t>
            </w:r>
            <w:r>
              <w:rPr>
                <w:sz w:val="24"/>
              </w:rPr>
              <w:t>级</w:t>
            </w:r>
          </w:p>
        </w:tc>
      </w:tr>
      <w:tr>
        <w:tc>
          <w:tcPr>
            <w:tcW w:type="dxa" w:w="4320"/>
            <w:tcBorders>
              <w:top w:val="none" w:sz="6" w:space="0" w:color="000000"/>
              <w:bottom w:val="none" w:sz="6" w:space="0" w:color="000000"/>
              <w:left w:val="none" w:sz="6" w:space="0" w:color="000000"/>
              <w:right w:val="none" w:sz="6" w:space="0" w:color="000000"/>
            </w:tcBorders>
            <w:vAlign w:val="center"/>
          </w:tcPr>
          <w:p>
            <w:pPr>
              <w:jc w:val="right"/>
              <w:spacing w:line="240" w:lineRule="auto" w:before="60" w:after="60"/>
              <w:ind w:firstLine="0"/>
            </w:pPr>
            <w:r>
              <w:rPr>
                <w:sz w:val="24"/>
              </w:rPr>
              <w:t>院　　系</w:t>
            </w:r>
          </w:p>
        </w:tc>
        <w:tc>
          <w:tcPr>
            <w:tcW w:type="dxa" w:w="4320"/>
            <w:tcBorders>
              <w:top w:val="none" w:sz="6" w:space="0" w:color="000000"/>
              <w:bottom w:val="none" w:sz="6" w:space="0" w:color="000000"/>
              <w:left w:val="none" w:sz="6" w:space="0" w:color="000000"/>
              <w:right w:val="none" w:sz="6" w:space="0" w:color="000000"/>
            </w:tcBorders>
            <w:vAlign w:val="center"/>
          </w:tcPr>
          <w:p>
            <w:pPr>
              <w:jc w:val="left"/>
              <w:spacing w:line="240" w:lineRule="auto" w:before="60" w:after="60"/>
              <w:ind w:firstLine="0"/>
            </w:pPr>
            <w:r>
              <w:rPr>
                <w:sz w:val="24"/>
              </w:rPr>
              <w:t>管理学院</w:t>
            </w:r>
          </w:p>
        </w:tc>
      </w:tr>
    </w:tbl>
    <w:p>
      <w:r/>
    </w:p>
    <w:p>
      <w:pPr>
        <w:sectPr>
          <w:type w:val="nextPage"/>
          <w:pgSz w:w="11906" w:h="16838"/>
          <w:pgMar w:top="1701" w:bottom="1417" w:left="1701" w:right="1417"/>
        </w:sectPr>
      </w:pPr>
    </w:p>
    <w:p>
      <w:pPr>
        <w:ind w:firstLine="0"/>
        <w:jc w:val="center"/>
      </w:pPr>
      <w:r>
        <w:rPr>
          <w:rFonts w:ascii="宋体" w:hAnsi="宋体" w:eastAsia="宋体" w:cs="宋体" w:hint="eastAsia"/>
          <w:b/>
          <w:sz w:val="28"/>
          <w:lang w:eastAsia="zh-CN"/>
        </w:rPr>
        <w:t>目　录</w:t>
      </w:r>
    </w:p>
    <w:p>
      <w:pPr>
        <w:pStyle w:val="ListNumber"/>
        <w:numPr>
          <w:ilvl w:val="0"/>
          <w:numId w:val="10"/>
        </w:numPr>
        <w:ind w:firstLine="0"/>
      </w:pPr>
      <w:hyperlink w:anchor="s0">
        <w:r>
          <w:rPr>
            <w:color w:val="0000EE"/>
            <w:u w:val="single"/>
          </w:rPr>
          <w:t>一、绪论</w:t>
        </w:r>
      </w:hyperlink>
    </w:p>
    <w:p>
      <w:pPr>
        <w:pStyle w:val="ListNumber"/>
        <w:numPr>
          <w:ilvl w:val="0"/>
          <w:numId w:val="10"/>
        </w:numPr>
        <w:ind w:firstLine="0"/>
      </w:pPr>
      <w:hyperlink w:anchor="s1">
        <w:r>
          <w:rPr>
            <w:color w:val="0000EE"/>
            <w:u w:val="single"/>
          </w:rPr>
          <w:t>二、研究方法与数据</w:t>
        </w:r>
      </w:hyperlink>
    </w:p>
    <w:p>
      <w:pPr>
        <w:pStyle w:val="ListNumber"/>
        <w:numPr>
          <w:ilvl w:val="0"/>
          <w:numId w:val="10"/>
        </w:numPr>
        <w:ind w:firstLine="0"/>
      </w:pPr>
      <w:hyperlink w:anchor="s2">
        <w:r>
          <w:rPr>
            <w:color w:val="0000EE"/>
            <w:u w:val="single"/>
          </w:rPr>
          <w:t>三、实证分析</w:t>
        </w:r>
      </w:hyperlink>
    </w:p>
    <w:p>
      <w:pPr>
        <w:pStyle w:val="ListNumber"/>
        <w:numPr>
          <w:ilvl w:val="0"/>
          <w:numId w:val="10"/>
        </w:numPr>
        <w:ind w:firstLine="0"/>
      </w:pPr>
      <w:hyperlink w:anchor="s3">
        <w:r>
          <w:rPr>
            <w:color w:val="0000EE"/>
            <w:u w:val="single"/>
          </w:rPr>
          <w:t>四、结论、局限与展望</w:t>
        </w:r>
      </w:hyperlink>
    </w:p>
    <w:p>
      <w:pPr>
        <w:pStyle w:val="ListNumber"/>
        <w:numPr>
          <w:ilvl w:val="0"/>
          <w:numId w:val="10"/>
        </w:numPr>
        <w:ind w:firstLine="0"/>
      </w:pPr>
      <w:hyperlink w:anchor="s4">
        <w:r>
          <w:rPr>
            <w:color w:val="0000EE"/>
            <w:u w:val="single"/>
          </w:rPr>
          <w:t>参考文献</w:t>
        </w:r>
      </w:hyperlink>
    </w:p>
    <w:p>
      <w:pPr>
        <w:pStyle w:val="ListNumber"/>
        <w:numPr>
          <w:ilvl w:val="0"/>
          <w:numId w:val="10"/>
        </w:numPr>
        <w:ind w:firstLine="0"/>
      </w:pPr>
      <w:hyperlink w:anchor="s5">
        <w:r>
          <w:rPr>
            <w:color w:val="0000EE"/>
            <w:u w:val="single"/>
          </w:rPr>
          <w:t>附录 A　数据来源说明</w:t>
        </w:r>
      </w:hyperlink>
    </w:p>
    <w:p>
      <w:pPr>
        <w:pStyle w:val="ListNumber"/>
        <w:numPr>
          <w:ilvl w:val="0"/>
          <w:numId w:val="10"/>
        </w:numPr>
        <w:ind w:firstLine="0"/>
      </w:pPr>
      <w:hyperlink w:anchor="s6">
        <w:r>
          <w:rPr>
            <w:color w:val="0000EE"/>
            <w:u w:val="single"/>
          </w:rPr>
          <w:t>附录 B　可复现代码与复现说明</w:t>
        </w:r>
      </w:hyperlink>
    </w:p>
    <w:p>
      <w:pPr>
        <w:ind w:firstLine="0"/>
        <w:jc w:val="center"/>
      </w:pPr>
      <w:r>
        <w:rPr>
          <w:rFonts w:ascii="宋体" w:hAnsi="宋体" w:eastAsia="宋体" w:cs="宋体" w:hint="eastAsia"/>
          <w:b/>
          <w:sz w:val="28"/>
          <w:lang w:eastAsia="zh-CN"/>
        </w:rPr>
        <w:t>摘　要</w:t>
      </w:r>
    </w:p>
    <w:p>
      <w:pPr>
        <w:ind w:firstLine="480"/>
        <w:jc w:val="both"/>
      </w:pPr>
      <w:r>
        <w:rPr>
          <w:rFonts w:ascii="宋体" w:eastAsia="宋体" w:hAnsi="宋体" w:cs="宋体" w:hint="eastAsia"/>
          <w:lang w:eastAsia="zh-CN"/>
        </w:rPr>
        <w:t>企业数字化转型的量化测度是大数据管理研究中的基础性问题。传统财务指标难以刻画数字化这类</w:t>
      </w:r>
      <w:r>
        <w:t>“</w:t>
      </w:r>
      <w:r>
        <w:rPr>
          <w:rFonts w:ascii="宋体" w:eastAsia="宋体" w:hAnsi="宋体" w:cs="宋体" w:hint="eastAsia"/>
          <w:lang w:eastAsia="zh-CN"/>
        </w:rPr>
        <w:t>软信息</w:t>
      </w:r>
      <w:r>
        <w:t>”</w:t>
      </w:r>
      <w:r>
        <w:rPr>
          <w:rFonts w:ascii="宋体" w:eastAsia="宋体" w:hAnsi="宋体" w:cs="宋体" w:hint="eastAsia"/>
          <w:lang w:eastAsia="zh-CN"/>
        </w:rPr>
        <w:t>，而年报文本为企业数字化投入与战略意图提供了可观测的表达载体。本文以</w:t>
      </w:r>
      <w:r>
        <w:t xml:space="preserve"> 2015—2023 </w:t>
      </w:r>
      <w:r>
        <w:rPr>
          <w:rFonts w:ascii="宋体" w:eastAsia="宋体" w:hAnsi="宋体" w:cs="宋体" w:hint="eastAsia"/>
          <w:lang w:eastAsia="zh-CN"/>
        </w:rPr>
        <w:t>年沪深</w:t>
      </w:r>
      <w:r>
        <w:t xml:space="preserve"> A </w:t>
      </w:r>
      <w:r>
        <w:rPr>
          <w:rFonts w:ascii="宋体" w:eastAsia="宋体" w:hAnsi="宋体" w:cs="宋体" w:hint="eastAsia"/>
          <w:lang w:eastAsia="zh-CN"/>
        </w:rPr>
        <w:t>股</w:t>
      </w:r>
      <w:r>
        <w:t xml:space="preserve"> 180 </w:t>
      </w:r>
      <w:r>
        <w:rPr>
          <w:rFonts w:ascii="宋体" w:eastAsia="宋体" w:hAnsi="宋体" w:cs="宋体" w:hint="eastAsia"/>
          <w:lang w:eastAsia="zh-CN"/>
        </w:rPr>
        <w:t>家制造业上市公司为样本，构建</w:t>
      </w:r>
      <w:r>
        <w:t>“</w:t>
      </w:r>
      <w:r>
        <w:rPr>
          <w:rFonts w:ascii="宋体" w:eastAsia="宋体" w:hAnsi="宋体" w:cs="宋体" w:hint="eastAsia"/>
          <w:lang w:eastAsia="zh-CN"/>
        </w:rPr>
        <w:t>采集</w:t>
      </w:r>
      <w:r>
        <w:t>—</w:t>
      </w:r>
      <w:r>
        <w:rPr>
          <w:rFonts w:ascii="宋体" w:eastAsia="宋体" w:hAnsi="宋体" w:cs="宋体" w:hint="eastAsia"/>
          <w:lang w:eastAsia="zh-CN"/>
        </w:rPr>
        <w:t>清洗</w:t>
      </w:r>
      <w:r>
        <w:t>—</w:t>
      </w:r>
      <w:r>
        <w:rPr>
          <w:rFonts w:ascii="宋体" w:eastAsia="宋体" w:hAnsi="宋体" w:cs="宋体" w:hint="eastAsia"/>
          <w:lang w:eastAsia="zh-CN"/>
        </w:rPr>
        <w:t>分词</w:t>
      </w:r>
      <w:r>
        <w:t>—</w:t>
      </w:r>
      <w:r>
        <w:rPr>
          <w:rFonts w:ascii="宋体" w:eastAsia="宋体" w:hAnsi="宋体" w:cs="宋体" w:hint="eastAsia"/>
          <w:lang w:eastAsia="zh-CN"/>
        </w:rPr>
        <w:t>测度</w:t>
      </w:r>
      <w:r>
        <w:t>—</w:t>
      </w:r>
      <w:r>
        <w:rPr>
          <w:rFonts w:ascii="宋体" w:eastAsia="宋体" w:hAnsi="宋体" w:cs="宋体" w:hint="eastAsia"/>
          <w:lang w:eastAsia="zh-CN"/>
        </w:rPr>
        <w:t>建模</w:t>
      </w:r>
      <w:r>
        <w:t>”</w:t>
      </w:r>
      <w:r>
        <w:rPr>
          <w:rFonts w:ascii="宋体" w:eastAsia="宋体" w:hAnsi="宋体" w:cs="宋体" w:hint="eastAsia"/>
          <w:lang w:eastAsia="zh-CN"/>
        </w:rPr>
        <w:t>五步文本挖掘流水线：首先依据既有文献构建包含人工智能技术、大数据技术、云计算技术、区块链技术、数字技术应用五个维度、共</w:t>
      </w:r>
      <w:r>
        <w:t xml:space="preserve"> 69 </w:t>
      </w:r>
      <w:r>
        <w:rPr>
          <w:rFonts w:ascii="宋体" w:eastAsia="宋体" w:hAnsi="宋体" w:cs="宋体" w:hint="eastAsia"/>
          <w:lang w:eastAsia="zh-CN"/>
        </w:rPr>
        <w:t>个关键词的数字化转型词典；其次在分词环节引入自定义词典、最长优先匹配、否定语境识别与程度副词加权四项规则，抑制关键词子串重复计数与无效表述造成的测度虚高；再次以</w:t>
      </w:r>
      <w:r>
        <w:t>“</w:t>
      </w:r>
      <w:r>
        <w:rPr>
          <w:rFonts w:ascii="宋体" w:eastAsia="宋体" w:hAnsi="宋体" w:cs="宋体" w:hint="eastAsia"/>
          <w:lang w:eastAsia="zh-CN"/>
        </w:rPr>
        <w:t>每千字关键词加权词频</w:t>
      </w:r>
      <w:r>
        <w:t>”</w:t>
      </w:r>
      <w:r>
        <w:rPr>
          <w:rFonts w:ascii="宋体" w:eastAsia="宋体" w:hAnsi="宋体" w:cs="宋体" w:hint="eastAsia"/>
          <w:lang w:eastAsia="zh-CN"/>
        </w:rPr>
        <w:t>为基础构造综合密度指标，并取对数得到主指标</w:t>
      </w:r>
      <w:r>
        <w:t xml:space="preserve"> DigTrans</w:t>
      </w:r>
      <w:r>
        <w:rPr>
          <w:rFonts w:ascii="宋体" w:eastAsia="宋体" w:hAnsi="宋体" w:cs="宋体" w:hint="eastAsia"/>
          <w:lang w:eastAsia="zh-CN"/>
        </w:rPr>
        <w:t>，同时给出熵权法与主成分因子得分两种替代测度。</w:t>
      </w:r>
    </w:p>
    <w:p>
      <w:pPr>
        <w:ind w:firstLine="480"/>
        <w:jc w:val="both"/>
      </w:pPr>
      <w:r>
        <w:rPr>
          <w:rFonts w:ascii="宋体" w:eastAsia="宋体" w:hAnsi="宋体" w:cs="宋体" w:hint="eastAsia"/>
          <w:lang w:eastAsia="zh-CN"/>
        </w:rPr>
        <w:t>统计检验显示：主指标</w:t>
      </w:r>
      <w:r>
        <w:t xml:space="preserve"> Cronbach's α </w:t>
      </w:r>
      <w:r>
        <w:rPr>
          <w:rFonts w:ascii="宋体" w:eastAsia="宋体" w:hAnsi="宋体" w:cs="宋体" w:hint="eastAsia"/>
          <w:lang w:eastAsia="zh-CN"/>
        </w:rPr>
        <w:t>为</w:t>
      </w:r>
      <w:r>
        <w:t xml:space="preserve"> 0.714</w:t>
      </w:r>
      <w:r>
        <w:rPr>
          <w:rFonts w:ascii="宋体" w:eastAsia="宋体" w:hAnsi="宋体" w:cs="宋体" w:hint="eastAsia"/>
          <w:lang w:eastAsia="zh-CN"/>
        </w:rPr>
        <w:t>，</w:t>
      </w:r>
      <w:r>
        <w:t xml:space="preserve">Spearman-Brown </w:t>
      </w:r>
      <w:r>
        <w:rPr>
          <w:rFonts w:ascii="宋体" w:eastAsia="宋体" w:hAnsi="宋体" w:cs="宋体" w:hint="eastAsia"/>
          <w:lang w:eastAsia="zh-CN"/>
        </w:rPr>
        <w:t>分半信度为</w:t>
      </w:r>
      <w:r>
        <w:t xml:space="preserve"> 0.884</w:t>
      </w:r>
      <w:r>
        <w:rPr>
          <w:rFonts w:ascii="宋体" w:eastAsia="宋体" w:hAnsi="宋体" w:cs="宋体" w:hint="eastAsia"/>
          <w:lang w:eastAsia="zh-CN"/>
        </w:rPr>
        <w:t>，</w:t>
      </w:r>
      <w:r>
        <w:t xml:space="preserve">KMO </w:t>
      </w:r>
      <w:r>
        <w:rPr>
          <w:rFonts w:ascii="宋体" w:eastAsia="宋体" w:hAnsi="宋体" w:cs="宋体" w:hint="eastAsia"/>
          <w:lang w:eastAsia="zh-CN"/>
        </w:rPr>
        <w:t>为</w:t>
      </w:r>
      <w:r>
        <w:t xml:space="preserve"> 0.795</w:t>
      </w:r>
      <w:r>
        <w:rPr>
          <w:rFonts w:ascii="宋体" w:eastAsia="宋体" w:hAnsi="宋体" w:cs="宋体" w:hint="eastAsia"/>
          <w:lang w:eastAsia="zh-CN"/>
        </w:rPr>
        <w:t>，第一主成分方差解释率为</w:t>
      </w:r>
      <w:r>
        <w:t xml:space="preserve"> 49.01%</w:t>
      </w:r>
      <w:r>
        <w:rPr>
          <w:rFonts w:ascii="宋体" w:eastAsia="宋体" w:hAnsi="宋体" w:cs="宋体" w:hint="eastAsia"/>
          <w:lang w:eastAsia="zh-CN"/>
        </w:rPr>
        <w:t>，与人工编码得分的</w:t>
      </w:r>
      <w:r>
        <w:t xml:space="preserve"> Spearman </w:t>
      </w:r>
      <w:r>
        <w:rPr>
          <w:rFonts w:ascii="宋体" w:eastAsia="宋体" w:hAnsi="宋体" w:cs="宋体" w:hint="eastAsia"/>
          <w:lang w:eastAsia="zh-CN"/>
        </w:rPr>
        <w:t>相关系数为</w:t>
      </w:r>
      <w:r>
        <w:t xml:space="preserve"> 0.876</w:t>
      </w:r>
      <w:r>
        <w:rPr>
          <w:rFonts w:ascii="宋体" w:eastAsia="宋体" w:hAnsi="宋体" w:cs="宋体" w:hint="eastAsia"/>
          <w:lang w:eastAsia="zh-CN"/>
        </w:rPr>
        <w:t>，信度与效度均达到可接受水平。在双向固定效应模型下，数字化转型程度每提高</w:t>
      </w:r>
      <w:r>
        <w:t xml:space="preserve"> 1 </w:t>
      </w:r>
      <w:r>
        <w:rPr>
          <w:rFonts w:ascii="宋体" w:eastAsia="宋体" w:hAnsi="宋体" w:cs="宋体" w:hint="eastAsia"/>
          <w:lang w:eastAsia="zh-CN"/>
        </w:rPr>
        <w:t>个单位，总资产收益率平均提高约</w:t>
      </w:r>
      <w:r>
        <w:t xml:space="preserve"> 1.45 </w:t>
      </w:r>
      <w:r>
        <w:rPr>
          <w:rFonts w:ascii="宋体" w:eastAsia="宋体" w:hAnsi="宋体" w:cs="宋体" w:hint="eastAsia"/>
          <w:lang w:eastAsia="zh-CN"/>
        </w:rPr>
        <w:t>个百分点（</w:t>
      </w:r>
      <w:r>
        <w:t xml:space="preserve">t </w:t>
      </w:r>
      <w:r>
        <w:rPr>
          <w:rFonts w:ascii="宋体" w:eastAsia="宋体" w:hAnsi="宋体" w:cs="宋体" w:hint="eastAsia"/>
          <w:lang w:eastAsia="zh-CN"/>
        </w:rPr>
        <w:t>值对应</w:t>
      </w:r>
      <w:r>
        <w:t xml:space="preserve"> p&lt;0.01</w:t>
      </w:r>
      <w:r>
        <w:rPr>
          <w:rFonts w:ascii="宋体" w:eastAsia="宋体" w:hAnsi="宋体" w:cs="宋体" w:hint="eastAsia"/>
          <w:lang w:eastAsia="zh-CN"/>
        </w:rPr>
        <w:t>）；替换被解释变量（企业价值、全要素生产率）与替换核心解释变量（熵权法、因子得分）后结论保持一致；未来一期绩效与剔除外部冲击年份的检验同样支持正向关系。本文的边际贡献在于把文本测度的</w:t>
      </w:r>
      <w:r>
        <w:t>“</w:t>
      </w:r>
      <w:r>
        <w:rPr>
          <w:rFonts w:ascii="宋体" w:eastAsia="宋体" w:hAnsi="宋体" w:cs="宋体" w:hint="eastAsia"/>
          <w:lang w:eastAsia="zh-CN"/>
        </w:rPr>
        <w:t>构造</w:t>
      </w:r>
      <w:r>
        <w:t>—</w:t>
      </w:r>
      <w:r>
        <w:rPr>
          <w:rFonts w:ascii="宋体" w:eastAsia="宋体" w:hAnsi="宋体" w:cs="宋体" w:hint="eastAsia"/>
          <w:lang w:eastAsia="zh-CN"/>
        </w:rPr>
        <w:t>检验</w:t>
      </w:r>
      <w:r>
        <w:t>—</w:t>
      </w:r>
      <w:r>
        <w:rPr>
          <w:rFonts w:ascii="宋体" w:eastAsia="宋体" w:hAnsi="宋体" w:cs="宋体" w:hint="eastAsia"/>
          <w:lang w:eastAsia="zh-CN"/>
        </w:rPr>
        <w:t>应用</w:t>
      </w:r>
      <w:r>
        <w:t>”</w:t>
      </w:r>
      <w:r>
        <w:rPr>
          <w:rFonts w:ascii="宋体" w:eastAsia="宋体" w:hAnsi="宋体" w:cs="宋体" w:hint="eastAsia"/>
          <w:lang w:eastAsia="zh-CN"/>
        </w:rPr>
        <w:t>整合为一条可复现的流水线，并公开全部代码与仿真数据生成过程。需要说明的是，本稿为方法论预演稿，语料为按真实年报统计特征生成的仿真语料，用于验证研究设计可行性，正式研究将接入巨潮资讯网年报原文。。</w:t>
      </w:r>
    </w:p>
    <w:p>
      <w:pPr>
        <w:ind w:firstLine="0"/>
        <w:jc w:val="both"/>
      </w:pPr>
      <w:r>
        <w:rPr>
          <w:rFonts w:ascii="宋体" w:eastAsia="宋体" w:hAnsi="宋体" w:cs="宋体" w:hint="eastAsia"/>
          <w:b/>
          <w:sz w:val="22"/>
          <w:lang w:eastAsia="zh-CN"/>
        </w:rPr>
        <w:t>关键词：</w:t>
      </w:r>
      <w:r>
        <w:rPr>
          <w:rFonts w:ascii="宋体" w:eastAsia="宋体" w:hAnsi="宋体" w:cs="宋体" w:hint="eastAsia"/>
          <w:sz w:val="22"/>
          <w:lang w:eastAsia="zh-CN"/>
        </w:rPr>
        <w:t>企业数字化转型；文本挖掘；测度构建；信度与效度；企业绩效；固定效应模型</w:t>
      </w:r>
    </w:p>
    <w:p>
      <w:bookmarkStart w:id="0" w:name="s0"/>
      <w:pPr>
        <w:pStyle w:val="Heading2"/>
      </w:pPr>
      <w:bookmarkEnd w:id="0"/>
      <w:r>
        <w:rPr>
          <w:rFonts w:ascii="宋体" w:hAnsi="宋体" w:eastAsia="宋体" w:cs="宋体" w:hint="eastAsia"/>
          <w:b/>
          <w:color w:val="000000"/>
          <w:sz w:val="28"/>
          <w:lang w:eastAsia="zh-CN"/>
        </w:rPr>
        <w:t>一、绪论</w:t>
      </w:r>
    </w:p>
    <w:p>
      <w:pPr>
        <w:ind w:firstLine="480"/>
        <w:jc w:val="both"/>
      </w:pPr>
      <w:r>
        <w:rPr>
          <w:rFonts w:ascii="宋体" w:eastAsia="宋体" w:hAnsi="宋体" w:cs="宋体" w:hint="eastAsia"/>
          <w:lang w:eastAsia="zh-CN"/>
        </w:rPr>
        <w:t>本部分交代选题的现实与政策背景、研究的理论与现实意义，梳理已有文献的三条脉络并识别研究缺口，最后给出研究思路与全文结构安排。</w:t>
      </w:r>
    </w:p>
    <w:p>
      <w:pPr>
        <w:pStyle w:val="Heading3"/>
      </w:pPr>
      <w:r>
        <w:rPr>
          <w:rFonts w:ascii="宋体" w:hAnsi="宋体" w:eastAsia="宋体" w:cs="宋体" w:hint="eastAsia"/>
          <w:b/>
          <w:color w:val="000000"/>
          <w:sz w:val="24"/>
          <w:lang w:eastAsia="zh-CN"/>
        </w:rPr>
        <w:t>（一）选题背景</w:t>
      </w:r>
    </w:p>
    <w:p>
      <w:pPr>
        <w:ind w:firstLine="480"/>
        <w:jc w:val="both"/>
      </w:pPr>
      <w:r>
        <w:rPr>
          <w:rFonts w:ascii="宋体" w:eastAsia="宋体" w:hAnsi="宋体" w:cs="宋体" w:hint="eastAsia"/>
          <w:lang w:eastAsia="zh-CN"/>
        </w:rPr>
        <w:t>数字经济已成为我国经济增长的重要引擎。《</w:t>
      </w:r>
      <w:r>
        <w:t>“</w:t>
      </w:r>
      <w:r>
        <w:rPr>
          <w:rFonts w:ascii="宋体" w:eastAsia="宋体" w:hAnsi="宋体" w:cs="宋体" w:hint="eastAsia"/>
          <w:lang w:eastAsia="zh-CN"/>
        </w:rPr>
        <w:t>十四五</w:t>
      </w:r>
      <w:r>
        <w:t>”</w:t>
      </w:r>
      <w:r>
        <w:rPr>
          <w:rFonts w:ascii="宋体" w:eastAsia="宋体" w:hAnsi="宋体" w:cs="宋体" w:hint="eastAsia"/>
          <w:lang w:eastAsia="zh-CN"/>
        </w:rPr>
        <w:t>数字经济发展规划》明确提出到</w:t>
      </w:r>
      <w:r>
        <w:t xml:space="preserve"> 2025 </w:t>
      </w:r>
      <w:r>
        <w:rPr>
          <w:rFonts w:ascii="宋体" w:eastAsia="宋体" w:hAnsi="宋体" w:cs="宋体" w:hint="eastAsia"/>
          <w:lang w:eastAsia="zh-CN"/>
        </w:rPr>
        <w:t>年数字经济核心产业增加值占</w:t>
      </w:r>
      <w:r>
        <w:t xml:space="preserve"> GDP </w:t>
      </w:r>
      <w:r>
        <w:rPr>
          <w:rFonts w:ascii="宋体" w:eastAsia="宋体" w:hAnsi="宋体" w:cs="宋体" w:hint="eastAsia"/>
          <w:lang w:eastAsia="zh-CN"/>
        </w:rPr>
        <w:t>比重要达到</w:t>
      </w:r>
      <w:r>
        <w:t xml:space="preserve"> 10%</w:t>
      </w:r>
      <w:r>
        <w:rPr>
          <w:rFonts w:ascii="宋体" w:eastAsia="宋体" w:hAnsi="宋体" w:cs="宋体" w:hint="eastAsia"/>
          <w:lang w:eastAsia="zh-CN"/>
        </w:rPr>
        <w:t>，制造业的数字化、网络化、智能化转型被列为重点方向。在微观层面，企业纷纷把数字化转型写入发展战略，在年报</w:t>
      </w:r>
      <w:r>
        <w:t>“</w:t>
      </w:r>
      <w:r>
        <w:rPr>
          <w:rFonts w:ascii="宋体" w:eastAsia="宋体" w:hAnsi="宋体" w:cs="宋体" w:hint="eastAsia"/>
          <w:lang w:eastAsia="zh-CN"/>
        </w:rPr>
        <w:t>管理层讨论与分析</w:t>
      </w:r>
      <w:r>
        <w:t>”</w:t>
      </w:r>
      <w:r>
        <w:rPr>
          <w:rFonts w:ascii="宋体" w:eastAsia="宋体" w:hAnsi="宋体" w:cs="宋体" w:hint="eastAsia"/>
          <w:lang w:eastAsia="zh-CN"/>
        </w:rPr>
        <w:t>（</w:t>
      </w:r>
      <w:r>
        <w:t>MD&amp;A</w:t>
      </w:r>
      <w:r>
        <w:rPr>
          <w:rFonts w:ascii="宋体" w:eastAsia="宋体" w:hAnsi="宋体" w:cs="宋体" w:hint="eastAsia"/>
          <w:lang w:eastAsia="zh-CN"/>
        </w:rPr>
        <w:t>）中披露智能化改造、工业互联网平台建设、数据中台搭建等投入与成效。然而，宏观政策的强信号与企业实践的快速扩散之间，存在一个尚未被充分解决的基础性问题：</w:t>
      </w:r>
      <w:r>
        <w:rPr>
          <w:rFonts w:ascii="宋体" w:eastAsia="宋体" w:hAnsi="宋体" w:cs="宋体" w:hint="eastAsia"/>
          <w:b/>
          <w:lang w:eastAsia="zh-CN"/>
        </w:rPr>
        <w:t>企业数字化到底“有多数字化”，能否被稳定、可信地测量出来？</w:t>
      </w:r>
    </w:p>
    <w:p>
      <w:pPr>
        <w:ind w:firstLine="480"/>
        <w:jc w:val="both"/>
      </w:pPr>
      <w:r>
        <w:rPr>
          <w:rFonts w:ascii="宋体" w:eastAsia="宋体" w:hAnsi="宋体" w:cs="宋体" w:hint="eastAsia"/>
          <w:lang w:eastAsia="zh-CN"/>
        </w:rPr>
        <w:t>一方面，研发投入、信息化设备账面价值等财务口径只能反映要素投入，无法刻画数据要素的运用方式与组织变革；另一方面，问卷调查与专家打分虽能捕捉战略意图，却受到样本规模小、主观性强、年度不可比等约束。随着上市公司信息披露文本的电子化与规范化，利用年报文本测度企业数字化水平成为可行路径，这也正是大数据管理与应用专业所强调的</w:t>
      </w:r>
      <w:r>
        <w:t>“</w:t>
      </w:r>
      <w:r>
        <w:rPr>
          <w:rFonts w:ascii="宋体" w:eastAsia="宋体" w:hAnsi="宋体" w:cs="宋体" w:hint="eastAsia"/>
          <w:lang w:eastAsia="zh-CN"/>
        </w:rPr>
        <w:t>非结构化数据</w:t>
      </w:r>
      <w:r>
        <w:t>—</w:t>
      </w:r>
      <w:r>
        <w:rPr>
          <w:rFonts w:ascii="宋体" w:eastAsia="宋体" w:hAnsi="宋体" w:cs="宋体" w:hint="eastAsia"/>
          <w:lang w:eastAsia="zh-CN"/>
        </w:rPr>
        <w:t>结构化指标</w:t>
      </w:r>
      <w:r>
        <w:t>—</w:t>
      </w:r>
      <w:r>
        <w:rPr>
          <w:rFonts w:ascii="宋体" w:eastAsia="宋体" w:hAnsi="宋体" w:cs="宋体" w:hint="eastAsia"/>
          <w:lang w:eastAsia="zh-CN"/>
        </w:rPr>
        <w:t>管理决策</w:t>
      </w:r>
      <w:r>
        <w:t>”</w:t>
      </w:r>
      <w:r>
        <w:rPr>
          <w:rFonts w:ascii="宋体" w:eastAsia="宋体" w:hAnsi="宋体" w:cs="宋体" w:hint="eastAsia"/>
          <w:lang w:eastAsia="zh-CN"/>
        </w:rPr>
        <w:t>研究范式的典型应用场景。</w:t>
      </w:r>
    </w:p>
    <w:p>
      <w:pPr>
        <w:ind w:firstLine="480"/>
        <w:jc w:val="both"/>
      </w:pPr>
      <w:r>
        <w:rPr>
          <w:rFonts w:ascii="宋体" w:eastAsia="宋体" w:hAnsi="宋体" w:cs="宋体" w:hint="eastAsia"/>
          <w:lang w:eastAsia="zh-CN"/>
        </w:rPr>
        <w:t>从技术条件看，中文分词、关键词词频统计、主题建模与预训练词向量等方法日益成熟，开源工具（如</w:t>
      </w:r>
      <w:r>
        <w:t xml:space="preserve"> jieba</w:t>
      </w:r>
      <w:r>
        <w:rPr>
          <w:rFonts w:ascii="宋体" w:eastAsia="宋体" w:hAnsi="宋体" w:cs="宋体" w:hint="eastAsia"/>
          <w:lang w:eastAsia="zh-CN"/>
        </w:rPr>
        <w:t>、</w:t>
      </w:r>
      <w:r>
        <w:t>HanLP</w:t>
      </w:r>
      <w:r>
        <w:rPr>
          <w:rFonts w:ascii="宋体" w:eastAsia="宋体" w:hAnsi="宋体" w:cs="宋体" w:hint="eastAsia"/>
          <w:lang w:eastAsia="zh-CN"/>
        </w:rPr>
        <w:t>）显著降低了文本处理的门槛；从数据条件看，巨潮资讯网提供了</w:t>
      </w:r>
      <w:r>
        <w:t xml:space="preserve"> 1990 </w:t>
      </w:r>
      <w:r>
        <w:rPr>
          <w:rFonts w:ascii="宋体" w:eastAsia="宋体" w:hAnsi="宋体" w:cs="宋体" w:hint="eastAsia"/>
          <w:lang w:eastAsia="zh-CN"/>
        </w:rPr>
        <w:t>年代以来全部</w:t>
      </w:r>
      <w:r>
        <w:t xml:space="preserve"> A </w:t>
      </w:r>
      <w:r>
        <w:rPr>
          <w:rFonts w:ascii="宋体" w:eastAsia="宋体" w:hAnsi="宋体" w:cs="宋体" w:hint="eastAsia"/>
          <w:lang w:eastAsia="zh-CN"/>
        </w:rPr>
        <w:t>股上市公司定期报告的免费获取渠道，</w:t>
      </w:r>
      <w:r>
        <w:t>CSMAR</w:t>
      </w:r>
      <w:r>
        <w:rPr>
          <w:rFonts w:ascii="宋体" w:eastAsia="宋体" w:hAnsi="宋体" w:cs="宋体" w:hint="eastAsia"/>
          <w:lang w:eastAsia="zh-CN"/>
        </w:rPr>
        <w:t>、</w:t>
      </w:r>
      <w:r>
        <w:t xml:space="preserve">Wind </w:t>
      </w:r>
      <w:r>
        <w:rPr>
          <w:rFonts w:ascii="宋体" w:eastAsia="宋体" w:hAnsi="宋体" w:cs="宋体" w:hint="eastAsia"/>
          <w:lang w:eastAsia="zh-CN"/>
        </w:rPr>
        <w:t>等数据库提供了配套财务与治理数据。技术与数据的双重可得性，使</w:t>
      </w:r>
      <w:r>
        <w:t>“</w:t>
      </w:r>
      <w:r>
        <w:rPr>
          <w:rFonts w:ascii="宋体" w:eastAsia="宋体" w:hAnsi="宋体" w:cs="宋体" w:hint="eastAsia"/>
          <w:lang w:eastAsia="zh-CN"/>
        </w:rPr>
        <w:t>文本测度构建</w:t>
      </w:r>
      <w:r>
        <w:t>”</w:t>
      </w:r>
      <w:r>
        <w:rPr>
          <w:rFonts w:ascii="宋体" w:eastAsia="宋体" w:hAnsi="宋体" w:cs="宋体" w:hint="eastAsia"/>
          <w:lang w:eastAsia="zh-CN"/>
        </w:rPr>
        <w:t>成为一个既有理论价值又具操作可行性的选题。</w:t>
      </w:r>
    </w:p>
    <w:p>
      <w:pPr>
        <w:pStyle w:val="Heading3"/>
      </w:pPr>
      <w:r>
        <w:rPr>
          <w:rFonts w:ascii="宋体" w:hAnsi="宋体" w:eastAsia="宋体" w:cs="宋体" w:hint="eastAsia"/>
          <w:b/>
          <w:color w:val="000000"/>
          <w:sz w:val="24"/>
          <w:lang w:eastAsia="zh-CN"/>
        </w:rPr>
        <w:t>（二）研究意义</w:t>
      </w:r>
    </w:p>
    <w:p>
      <w:pPr>
        <w:ind w:firstLine="480"/>
        <w:jc w:val="both"/>
      </w:pPr>
      <w:r>
        <w:rPr>
          <w:rFonts w:ascii="宋体" w:eastAsia="宋体" w:hAnsi="宋体" w:cs="宋体" w:hint="eastAsia"/>
          <w:b/>
          <w:lang w:eastAsia="zh-CN"/>
        </w:rPr>
        <w:t>理论意义</w:t>
      </w:r>
      <w:r>
        <w:rPr>
          <w:rFonts w:ascii="宋体" w:eastAsia="宋体" w:hAnsi="宋体" w:cs="宋体" w:hint="eastAsia"/>
          <w:lang w:eastAsia="zh-CN"/>
        </w:rPr>
        <w:t>。第一，本文系统回应了</w:t>
      </w:r>
      <w:r>
        <w:t>“</w:t>
      </w:r>
      <w:r>
        <w:rPr>
          <w:rFonts w:ascii="宋体" w:eastAsia="宋体" w:hAnsi="宋体" w:cs="宋体" w:hint="eastAsia"/>
          <w:lang w:eastAsia="zh-CN"/>
        </w:rPr>
        <w:t>如何把企业数字化这一抽象概念转化为可比较的连续变量</w:t>
      </w:r>
      <w:r>
        <w:t>”</w:t>
      </w:r>
      <w:r>
        <w:rPr>
          <w:rFonts w:ascii="宋体" w:eastAsia="宋体" w:hAnsi="宋体" w:cs="宋体" w:hint="eastAsia"/>
          <w:lang w:eastAsia="zh-CN"/>
        </w:rPr>
        <w:t>这一测量学问题，给出了从词典构建、语境规则到信度效度检验的完整链条，为后续研究提供可复用的测度工具；第二，本文同时报告了词频密度法、熵权法与主成分因子得分三种构造方式的一致性，说明文本测度并非某种特定加权方案的偶然产物，从而增强了测度的构念效度证据；第三，本文把测度的信效度检验前置到实证分析之前，而非仅在稳健性检验中一笔带过，有助于纠正当前部分研究中</w:t>
      </w:r>
      <w:r>
        <w:t>“</w:t>
      </w:r>
      <w:r>
        <w:rPr>
          <w:rFonts w:ascii="宋体" w:eastAsia="宋体" w:hAnsi="宋体" w:cs="宋体" w:hint="eastAsia"/>
          <w:lang w:eastAsia="zh-CN"/>
        </w:rPr>
        <w:t>先回归、后补测度</w:t>
      </w:r>
      <w:r>
        <w:t>”</w:t>
      </w:r>
      <w:r>
        <w:rPr>
          <w:rFonts w:ascii="宋体" w:eastAsia="宋体" w:hAnsi="宋体" w:cs="宋体" w:hint="eastAsia"/>
          <w:lang w:eastAsia="zh-CN"/>
        </w:rPr>
        <w:t>的顺序倒置。</w:t>
      </w:r>
    </w:p>
    <w:p>
      <w:pPr>
        <w:ind w:firstLine="480"/>
        <w:jc w:val="both"/>
      </w:pPr>
      <w:r>
        <w:rPr>
          <w:rFonts w:ascii="宋体" w:eastAsia="宋体" w:hAnsi="宋体" w:cs="宋体" w:hint="eastAsia"/>
          <w:b/>
          <w:lang w:eastAsia="zh-CN"/>
        </w:rPr>
        <w:t>实践意义</w:t>
      </w:r>
      <w:r>
        <w:rPr>
          <w:rFonts w:ascii="宋体" w:eastAsia="宋体" w:hAnsi="宋体" w:cs="宋体" w:hint="eastAsia"/>
          <w:lang w:eastAsia="zh-CN"/>
        </w:rPr>
        <w:t>。第一，对企业而言，本文的测度结果可用于识别自身在行业中的数字化相对位置，为技术改造投入的节奏安排提供参照；第二，对投资者而言，可比较的数字化指标有助于把管理层</w:t>
      </w:r>
      <w:r>
        <w:t>“</w:t>
      </w:r>
      <w:r>
        <w:rPr>
          <w:rFonts w:ascii="宋体" w:eastAsia="宋体" w:hAnsi="宋体" w:cs="宋体" w:hint="eastAsia"/>
          <w:lang w:eastAsia="zh-CN"/>
        </w:rPr>
        <w:t>话术</w:t>
      </w:r>
      <w:r>
        <w:t>”</w:t>
      </w:r>
      <w:r>
        <w:rPr>
          <w:rFonts w:ascii="宋体" w:eastAsia="宋体" w:hAnsi="宋体" w:cs="宋体" w:hint="eastAsia"/>
          <w:lang w:eastAsia="zh-CN"/>
        </w:rPr>
        <w:t>与真实转型力度区分开，降低信息不对称；第三，对监管部门而言，关键词词典与否定语境识别规则可用于评估年报信息披露的实质性，识别</w:t>
      </w:r>
      <w:r>
        <w:t>“</w:t>
      </w:r>
      <w:r>
        <w:rPr>
          <w:rFonts w:ascii="宋体" w:eastAsia="宋体" w:hAnsi="宋体" w:cs="宋体" w:hint="eastAsia"/>
          <w:lang w:eastAsia="zh-CN"/>
        </w:rPr>
        <w:t>数字化</w:t>
      </w:r>
      <w:r>
        <w:t>”</w:t>
      </w:r>
      <w:r>
        <w:rPr>
          <w:rFonts w:ascii="宋体" w:eastAsia="宋体" w:hAnsi="宋体" w:cs="宋体" w:hint="eastAsia"/>
          <w:lang w:eastAsia="zh-CN"/>
        </w:rPr>
        <w:t>概念的过度包装。</w:t>
      </w:r>
    </w:p>
    <w:p>
      <w:pPr>
        <w:pStyle w:val="Heading3"/>
      </w:pPr>
      <w:r>
        <w:rPr>
          <w:rFonts w:ascii="宋体" w:hAnsi="宋体" w:eastAsia="宋体" w:cs="宋体" w:hint="eastAsia"/>
          <w:b/>
          <w:color w:val="000000"/>
          <w:sz w:val="24"/>
          <w:lang w:eastAsia="zh-CN"/>
        </w:rPr>
        <w:t>（三）文献综述与研究缺口</w:t>
      </w:r>
    </w:p>
    <w:p>
      <w:pPr>
        <w:ind w:firstLine="480"/>
        <w:jc w:val="both"/>
      </w:pPr>
      <w:r>
        <w:rPr>
          <w:rFonts w:ascii="宋体" w:eastAsia="宋体" w:hAnsi="宋体" w:cs="宋体" w:hint="eastAsia"/>
          <w:lang w:eastAsia="zh-CN"/>
        </w:rPr>
        <w:t>现有研究可归为三条脉络。</w:t>
      </w:r>
    </w:p>
    <w:p>
      <w:pPr>
        <w:ind w:firstLine="480"/>
        <w:jc w:val="both"/>
      </w:pPr>
      <w:r>
        <w:rPr>
          <w:rFonts w:ascii="宋体" w:eastAsia="宋体" w:hAnsi="宋体" w:cs="宋体" w:hint="eastAsia"/>
          <w:b/>
          <w:lang w:eastAsia="zh-CN"/>
        </w:rPr>
        <w:t>第一条脉络关注数字化转型的经济后果。</w:t>
      </w:r>
      <w:r>
        <w:t xml:space="preserve"> </w:t>
      </w:r>
      <w:r>
        <w:rPr>
          <w:rFonts w:ascii="宋体" w:eastAsia="宋体" w:hAnsi="宋体" w:cs="宋体" w:hint="eastAsia"/>
          <w:lang w:eastAsia="zh-CN"/>
        </w:rPr>
        <w:t>吴非等（</w:t>
      </w:r>
      <w:r>
        <w:t>2021</w:t>
      </w:r>
      <w:r>
        <w:rPr>
          <w:rFonts w:ascii="宋体" w:eastAsia="宋体" w:hAnsi="宋体" w:cs="宋体" w:hint="eastAsia"/>
          <w:lang w:eastAsia="zh-CN"/>
        </w:rPr>
        <w:t>）以年报中数字化相关词频构造转型强度指标，发现数字化转型通过改善信息效率与降低融资约束提升股票流动性；袁淳等（</w:t>
      </w:r>
      <w:r>
        <w:t>2021</w:t>
      </w:r>
      <w:r>
        <w:rPr>
          <w:rFonts w:ascii="宋体" w:eastAsia="宋体" w:hAnsi="宋体" w:cs="宋体" w:hint="eastAsia"/>
          <w:lang w:eastAsia="zh-CN"/>
        </w:rPr>
        <w:t>）从专业化分工视角发现数字化显著提升企业全要素生产率；赵宸宇等（</w:t>
      </w:r>
      <w:r>
        <w:t>2021</w:t>
      </w:r>
      <w:r>
        <w:rPr>
          <w:rFonts w:ascii="宋体" w:eastAsia="宋体" w:hAnsi="宋体" w:cs="宋体" w:hint="eastAsia"/>
          <w:lang w:eastAsia="zh-CN"/>
        </w:rPr>
        <w:t>）基于制造业上市公司数据指出，数字化转型通过提升创新能力与人力资本水平改善企业绩效。国际文献中，</w:t>
      </w:r>
      <w:r>
        <w:t xml:space="preserve">Brynjolfsson </w:t>
      </w:r>
      <w:r>
        <w:rPr>
          <w:rFonts w:ascii="宋体" w:eastAsia="宋体" w:hAnsi="宋体" w:cs="宋体" w:hint="eastAsia"/>
          <w:lang w:eastAsia="zh-CN"/>
        </w:rPr>
        <w:t>等（</w:t>
      </w:r>
      <w:r>
        <w:t>2021</w:t>
      </w:r>
      <w:r>
        <w:rPr>
          <w:rFonts w:ascii="宋体" w:eastAsia="宋体" w:hAnsi="宋体" w:cs="宋体" w:hint="eastAsia"/>
          <w:lang w:eastAsia="zh-CN"/>
        </w:rPr>
        <w:t>）利用企业调查数据发现无形资产与数据资产的积累是数字化生产率效应的关键中介，</w:t>
      </w:r>
      <w:r>
        <w:t xml:space="preserve">Acemoglu </w:t>
      </w:r>
      <w:r>
        <w:rPr>
          <w:rFonts w:ascii="宋体" w:eastAsia="宋体" w:hAnsi="宋体" w:cs="宋体" w:hint="eastAsia"/>
          <w:lang w:eastAsia="zh-CN"/>
        </w:rPr>
        <w:t>与</w:t>
      </w:r>
      <w:r>
        <w:t xml:space="preserve"> Restrepo</w:t>
      </w:r>
      <w:r>
        <w:rPr>
          <w:rFonts w:ascii="宋体" w:eastAsia="宋体" w:hAnsi="宋体" w:cs="宋体" w:hint="eastAsia"/>
          <w:lang w:eastAsia="zh-CN"/>
        </w:rPr>
        <w:t>（</w:t>
      </w:r>
      <w:r>
        <w:t>2020</w:t>
      </w:r>
      <w:r>
        <w:rPr>
          <w:rFonts w:ascii="宋体" w:eastAsia="宋体" w:hAnsi="宋体" w:cs="宋体" w:hint="eastAsia"/>
          <w:lang w:eastAsia="zh-CN"/>
        </w:rPr>
        <w:t>）则提示自动化技术的就业替代效应可能抵消部分效率收益。总体而言，多数研究支持正向效应，但效应量级差异较大。</w:t>
      </w:r>
    </w:p>
    <w:p>
      <w:pPr>
        <w:ind w:firstLine="480"/>
        <w:jc w:val="both"/>
      </w:pPr>
      <w:r>
        <w:rPr>
          <w:rFonts w:ascii="宋体" w:eastAsia="宋体" w:hAnsi="宋体" w:cs="宋体" w:hint="eastAsia"/>
          <w:b/>
          <w:lang w:eastAsia="zh-CN"/>
        </w:rPr>
        <w:t>第二条脉络关注文本测度的方法学。</w:t>
      </w:r>
      <w:r>
        <w:t xml:space="preserve"> Gentzkow </w:t>
      </w:r>
      <w:r>
        <w:rPr>
          <w:rFonts w:ascii="宋体" w:eastAsia="宋体" w:hAnsi="宋体" w:cs="宋体" w:hint="eastAsia"/>
          <w:lang w:eastAsia="zh-CN"/>
        </w:rPr>
        <w:t>等（</w:t>
      </w:r>
      <w:r>
        <w:t>2019</w:t>
      </w:r>
      <w:r>
        <w:rPr>
          <w:rFonts w:ascii="宋体" w:eastAsia="宋体" w:hAnsi="宋体" w:cs="宋体" w:hint="eastAsia"/>
          <w:lang w:eastAsia="zh-CN"/>
        </w:rPr>
        <w:t>）系统梳理了把文本转化为经济变量的四种策略：词典法、无监督主题模型、有监督分类与词嵌入，并强调测度的可验证性；</w:t>
      </w:r>
      <w:r>
        <w:t xml:space="preserve">Hassan </w:t>
      </w:r>
      <w:r>
        <w:rPr>
          <w:rFonts w:ascii="宋体" w:eastAsia="宋体" w:hAnsi="宋体" w:cs="宋体" w:hint="eastAsia"/>
          <w:lang w:eastAsia="zh-CN"/>
        </w:rPr>
        <w:t>等（</w:t>
      </w:r>
      <w:r>
        <w:t>2019</w:t>
      </w:r>
      <w:r>
        <w:rPr>
          <w:rFonts w:ascii="宋体" w:eastAsia="宋体" w:hAnsi="宋体" w:cs="宋体" w:hint="eastAsia"/>
          <w:lang w:eastAsia="zh-CN"/>
        </w:rPr>
        <w:t>）以政治风险的文本测度为例，说明语境的引入能够显著改善测度质量；中文场景下，吴非等（</w:t>
      </w:r>
      <w:r>
        <w:t>2021</w:t>
      </w:r>
      <w:r>
        <w:rPr>
          <w:rFonts w:ascii="宋体" w:eastAsia="宋体" w:hAnsi="宋体" w:cs="宋体" w:hint="eastAsia"/>
          <w:lang w:eastAsia="zh-CN"/>
        </w:rPr>
        <w:t>）与袁淳等（</w:t>
      </w:r>
      <w:r>
        <w:t>2021</w:t>
      </w:r>
      <w:r>
        <w:rPr>
          <w:rFonts w:ascii="宋体" w:eastAsia="宋体" w:hAnsi="宋体" w:cs="宋体" w:hint="eastAsia"/>
          <w:lang w:eastAsia="zh-CN"/>
        </w:rPr>
        <w:t>）的词典法被广泛沿用，但其测度多直接报告词频对数，缺少对信度（内部一致性、分半信度）与效度（内容效度、结构效度、区分效度）的系统检验，也没有处理</w:t>
      </w:r>
      <w:r>
        <w:t>“</w:t>
      </w:r>
      <w:r>
        <w:rPr>
          <w:rFonts w:ascii="宋体" w:eastAsia="宋体" w:hAnsi="宋体" w:cs="宋体" w:hint="eastAsia"/>
          <w:lang w:eastAsia="zh-CN"/>
        </w:rPr>
        <w:t>未布局</w:t>
      </w:r>
      <w:r>
        <w:t>”“</w:t>
      </w:r>
      <w:r>
        <w:rPr>
          <w:rFonts w:ascii="宋体" w:eastAsia="宋体" w:hAnsi="宋体" w:cs="宋体" w:hint="eastAsia"/>
          <w:lang w:eastAsia="zh-CN"/>
        </w:rPr>
        <w:t>暂未投入</w:t>
      </w:r>
      <w:r>
        <w:t>”</w:t>
      </w:r>
      <w:r>
        <w:rPr>
          <w:rFonts w:ascii="宋体" w:eastAsia="宋体" w:hAnsi="宋体" w:cs="宋体" w:hint="eastAsia"/>
          <w:lang w:eastAsia="zh-CN"/>
        </w:rPr>
        <w:t>等否定语境带来的假阳性。</w:t>
      </w:r>
    </w:p>
    <w:p>
      <w:pPr>
        <w:ind w:firstLine="480"/>
        <w:jc w:val="both"/>
      </w:pPr>
      <w:r>
        <w:rPr>
          <w:rFonts w:ascii="宋体" w:eastAsia="宋体" w:hAnsi="宋体" w:cs="宋体" w:hint="eastAsia"/>
          <w:b/>
          <w:lang w:eastAsia="zh-CN"/>
        </w:rPr>
        <w:t>第三条脉络关注测度误差与识别问题。</w:t>
      </w:r>
      <w:r>
        <w:rPr>
          <w:rFonts w:ascii="宋体" w:eastAsia="宋体" w:hAnsi="宋体" w:cs="宋体" w:hint="eastAsia"/>
          <w:lang w:eastAsia="zh-CN"/>
        </w:rPr>
        <w:t xml:space="preserve"> 由于文本测度含有噪声，回归系数存在衰减偏误；同时数字化转型与企业绩效可能互为因果，且行业层面的技术冲击会同时影响两者。已有研究多通过滞后解释变量、控制行业年度联合固定效应等方式缓解，但对测度噪声本身导致的偏误讨论不足。</w:t>
      </w:r>
    </w:p>
    <w:p>
      <w:pPr>
        <w:ind w:firstLine="480"/>
        <w:jc w:val="both"/>
      </w:pPr>
      <w:r>
        <w:rPr>
          <w:rFonts w:ascii="宋体" w:eastAsia="宋体" w:hAnsi="宋体" w:cs="宋体" w:hint="eastAsia"/>
          <w:lang w:eastAsia="zh-CN"/>
        </w:rPr>
        <w:t>综合来看，</w:t>
      </w:r>
      <w:r>
        <w:rPr>
          <w:rFonts w:ascii="宋体" w:eastAsia="宋体" w:hAnsi="宋体" w:cs="宋体" w:hint="eastAsia"/>
          <w:b/>
          <w:lang w:eastAsia="zh-CN"/>
        </w:rPr>
        <w:t>现有研究存在三处缺口</w:t>
      </w:r>
      <w:r>
        <w:rPr>
          <w:rFonts w:ascii="宋体" w:eastAsia="宋体" w:hAnsi="宋体" w:cs="宋体" w:hint="eastAsia"/>
          <w:lang w:eastAsia="zh-CN"/>
        </w:rPr>
        <w:t>：其一，测度构造过程透明度不足，词典来源、语境规则、加权方案往往一句话带过，他人难以复现；其二，信度效度检验缺位，测度是否</w:t>
      </w:r>
      <w:r>
        <w:t>“</w:t>
      </w:r>
      <w:r>
        <w:rPr>
          <w:rFonts w:ascii="宋体" w:eastAsia="宋体" w:hAnsi="宋体" w:cs="宋体" w:hint="eastAsia"/>
          <w:lang w:eastAsia="zh-CN"/>
        </w:rPr>
        <w:t>测得准</w:t>
      </w:r>
      <w:r>
        <w:t>”</w:t>
      </w:r>
      <w:r>
        <w:rPr>
          <w:rFonts w:ascii="宋体" w:eastAsia="宋体" w:hAnsi="宋体" w:cs="宋体" w:hint="eastAsia"/>
          <w:lang w:eastAsia="zh-CN"/>
        </w:rPr>
        <w:t>缺乏直接证据；其三，测度噪声对回归结论的影响未被显式评估。本文针对上述缺口，把研究重心放在</w:t>
      </w:r>
      <w:r>
        <w:t>“</w:t>
      </w:r>
      <w:r>
        <w:rPr>
          <w:rFonts w:ascii="宋体" w:eastAsia="宋体" w:hAnsi="宋体" w:cs="宋体" w:hint="eastAsia"/>
          <w:lang w:eastAsia="zh-CN"/>
        </w:rPr>
        <w:t>测度如何构造、如何验证、验证结果如何影响后续结论</w:t>
      </w:r>
      <w:r>
        <w:t>”</w:t>
      </w:r>
      <w:r>
        <w:rPr>
          <w:rFonts w:ascii="宋体" w:eastAsia="宋体" w:hAnsi="宋体" w:cs="宋体" w:hint="eastAsia"/>
          <w:lang w:eastAsia="zh-CN"/>
        </w:rPr>
        <w:t>这一完整链条上。</w:t>
      </w:r>
    </w:p>
    <w:p>
      <w:pPr>
        <w:pStyle w:val="Heading3"/>
      </w:pPr>
      <w:r>
        <w:rPr>
          <w:rFonts w:ascii="宋体" w:hAnsi="宋体" w:eastAsia="宋体" w:cs="宋体" w:hint="eastAsia"/>
          <w:b/>
          <w:color w:val="000000"/>
          <w:sz w:val="24"/>
          <w:lang w:eastAsia="zh-CN"/>
        </w:rPr>
        <w:t>（四）研究思路与论文结构</w:t>
      </w:r>
    </w:p>
    <w:p>
      <w:pPr>
        <w:ind w:firstLine="480"/>
        <w:jc w:val="both"/>
      </w:pPr>
      <w:r>
        <w:rPr>
          <w:rFonts w:ascii="宋体" w:eastAsia="宋体" w:hAnsi="宋体" w:cs="宋体" w:hint="eastAsia"/>
          <w:lang w:eastAsia="zh-CN"/>
        </w:rPr>
        <w:t>本文遵循</w:t>
      </w:r>
      <w:r>
        <w:t>“</w:t>
      </w:r>
      <w:r>
        <w:rPr>
          <w:rFonts w:ascii="宋体" w:eastAsia="宋体" w:hAnsi="宋体" w:cs="宋体" w:hint="eastAsia"/>
          <w:lang w:eastAsia="zh-CN"/>
        </w:rPr>
        <w:t>文本</w:t>
      </w:r>
      <w:r>
        <w:t>→</w:t>
      </w:r>
      <w:r>
        <w:rPr>
          <w:rFonts w:ascii="宋体" w:eastAsia="宋体" w:hAnsi="宋体" w:cs="宋体" w:hint="eastAsia"/>
          <w:lang w:eastAsia="zh-CN"/>
        </w:rPr>
        <w:t>指标</w:t>
      </w:r>
      <w:r>
        <w:t>→</w:t>
      </w:r>
      <w:r>
        <w:rPr>
          <w:rFonts w:ascii="宋体" w:eastAsia="宋体" w:hAnsi="宋体" w:cs="宋体" w:hint="eastAsia"/>
          <w:lang w:eastAsia="zh-CN"/>
        </w:rPr>
        <w:t>检验</w:t>
      </w:r>
      <w:r>
        <w:t>→</w:t>
      </w:r>
      <w:r>
        <w:rPr>
          <w:rFonts w:ascii="宋体" w:eastAsia="宋体" w:hAnsi="宋体" w:cs="宋体" w:hint="eastAsia"/>
          <w:lang w:eastAsia="zh-CN"/>
        </w:rPr>
        <w:t>回归</w:t>
      </w:r>
      <w:r>
        <w:t>”</w:t>
      </w:r>
      <w:r>
        <w:rPr>
          <w:rFonts w:ascii="宋体" w:eastAsia="宋体" w:hAnsi="宋体" w:cs="宋体" w:hint="eastAsia"/>
          <w:lang w:eastAsia="zh-CN"/>
        </w:rPr>
        <w:t>的技术路线：第</w:t>
      </w:r>
      <w:r>
        <w:t xml:space="preserve"> 1 </w:t>
      </w:r>
      <w:r>
        <w:rPr>
          <w:rFonts w:ascii="宋体" w:eastAsia="宋体" w:hAnsi="宋体" w:cs="宋体" w:hint="eastAsia"/>
          <w:lang w:eastAsia="zh-CN"/>
        </w:rPr>
        <w:t>步采集年报</w:t>
      </w:r>
      <w:r>
        <w:t xml:space="preserve"> MD&amp;A </w:t>
      </w:r>
      <w:r>
        <w:rPr>
          <w:rFonts w:ascii="宋体" w:eastAsia="宋体" w:hAnsi="宋体" w:cs="宋体" w:hint="eastAsia"/>
          <w:lang w:eastAsia="zh-CN"/>
        </w:rPr>
        <w:t>文本并清洗；第</w:t>
      </w:r>
      <w:r>
        <w:t xml:space="preserve"> 2 </w:t>
      </w:r>
      <w:r>
        <w:rPr>
          <w:rFonts w:ascii="宋体" w:eastAsia="宋体" w:hAnsi="宋体" w:cs="宋体" w:hint="eastAsia"/>
          <w:lang w:eastAsia="zh-CN"/>
        </w:rPr>
        <w:t>步分词并统计分维度关键词词频；第</w:t>
      </w:r>
      <w:r>
        <w:t xml:space="preserve"> 3 </w:t>
      </w:r>
      <w:r>
        <w:rPr>
          <w:rFonts w:ascii="宋体" w:eastAsia="宋体" w:hAnsi="宋体" w:cs="宋体" w:hint="eastAsia"/>
          <w:lang w:eastAsia="zh-CN"/>
        </w:rPr>
        <w:t>步构造综合测度并完成信度效度检验；第</w:t>
      </w:r>
      <w:r>
        <w:t xml:space="preserve"> 4 </w:t>
      </w:r>
      <w:r>
        <w:rPr>
          <w:rFonts w:ascii="宋体" w:eastAsia="宋体" w:hAnsi="宋体" w:cs="宋体" w:hint="eastAsia"/>
          <w:lang w:eastAsia="zh-CN"/>
        </w:rPr>
        <w:t>步与企业财务数据合并为</w:t>
      </w:r>
      <w:r>
        <w:t xml:space="preserve"> 2015—2023 </w:t>
      </w:r>
      <w:r>
        <w:rPr>
          <w:rFonts w:ascii="宋体" w:eastAsia="宋体" w:hAnsi="宋体" w:cs="宋体" w:hint="eastAsia"/>
          <w:lang w:eastAsia="zh-CN"/>
        </w:rPr>
        <w:t>年企业</w:t>
      </w:r>
      <w:r>
        <w:t>—</w:t>
      </w:r>
      <w:r>
        <w:rPr>
          <w:rFonts w:ascii="宋体" w:eastAsia="宋体" w:hAnsi="宋体" w:cs="宋体" w:hint="eastAsia"/>
          <w:lang w:eastAsia="zh-CN"/>
        </w:rPr>
        <w:t>年份平衡面板；第</w:t>
      </w:r>
      <w:r>
        <w:t xml:space="preserve"> 5 </w:t>
      </w:r>
      <w:r>
        <w:rPr>
          <w:rFonts w:ascii="宋体" w:eastAsia="宋体" w:hAnsi="宋体" w:cs="宋体" w:hint="eastAsia"/>
          <w:lang w:eastAsia="zh-CN"/>
        </w:rPr>
        <w:t>步进行基准回归、稳健性检验、异质性分析与内生性处理。全文结构如下：第一部分为绪论；第二部分为研究方法与数据；第三部分为实证分析；第四部分为结论、局限与展望；文末给出参考文献、数据来源说明与代码复现说明。</w:t>
      </w:r>
    </w:p>
    <w:p>
      <w:bookmarkStart w:id="1" w:name="s1"/>
      <w:pPr>
        <w:pStyle w:val="Heading2"/>
      </w:pPr>
      <w:bookmarkEnd w:id="1"/>
      <w:r>
        <w:rPr>
          <w:rFonts w:ascii="宋体" w:hAnsi="宋体" w:eastAsia="宋体" w:cs="宋体" w:hint="eastAsia"/>
          <w:b/>
          <w:color w:val="000000"/>
          <w:sz w:val="28"/>
          <w:lang w:eastAsia="zh-CN"/>
        </w:rPr>
        <w:t>二、研究方法与数据</w:t>
      </w:r>
    </w:p>
    <w:p>
      <w:pPr>
        <w:ind w:firstLine="480"/>
        <w:jc w:val="both"/>
      </w:pPr>
      <w:r>
        <w:rPr>
          <w:rFonts w:ascii="宋体" w:eastAsia="宋体" w:hAnsi="宋体" w:cs="宋体" w:hint="eastAsia"/>
          <w:lang w:eastAsia="zh-CN"/>
        </w:rPr>
        <w:t>本部分说明样本选择口径、文本预处理与关键词计数规则、数字化转型测度的构造公式、变量定义以及计量模型设定与检验策略，是全文可复现性的核心依据。</w:t>
      </w:r>
    </w:p>
    <w:p>
      <w:pPr>
        <w:pStyle w:val="Heading3"/>
      </w:pPr>
      <w:r>
        <w:rPr>
          <w:rFonts w:ascii="宋体" w:hAnsi="宋体" w:eastAsia="宋体" w:cs="宋体" w:hint="eastAsia"/>
          <w:b/>
          <w:color w:val="000000"/>
          <w:sz w:val="24"/>
          <w:lang w:eastAsia="zh-CN"/>
        </w:rPr>
        <w:t>（一）数据来源与样本选择</w:t>
      </w:r>
    </w:p>
    <w:p>
      <w:pPr>
        <w:ind w:firstLine="480"/>
        <w:jc w:val="both"/>
      </w:pPr>
      <w:r>
        <w:rPr>
          <w:rFonts w:ascii="宋体" w:eastAsia="宋体" w:hAnsi="宋体" w:cs="宋体" w:hint="eastAsia"/>
          <w:lang w:eastAsia="zh-CN"/>
        </w:rPr>
        <w:t>文本数据来源为上市公司年度报告中的</w:t>
      </w:r>
      <w:r>
        <w:t>“</w:t>
      </w:r>
      <w:r>
        <w:rPr>
          <w:rFonts w:ascii="宋体" w:eastAsia="宋体" w:hAnsi="宋体" w:cs="宋体" w:hint="eastAsia"/>
          <w:lang w:eastAsia="zh-CN"/>
        </w:rPr>
        <w:t>管理层讨论与分析</w:t>
      </w:r>
      <w:r>
        <w:t>”</w:t>
      </w:r>
      <w:r>
        <w:rPr>
          <w:rFonts w:ascii="宋体" w:eastAsia="宋体" w:hAnsi="宋体" w:cs="宋体" w:hint="eastAsia"/>
          <w:lang w:eastAsia="zh-CN"/>
        </w:rPr>
        <w:t>章节，原始获取渠道为巨潮资讯网（</w:t>
      </w:r>
      <w:r>
        <w:t>http://www.cninfo.com.cn</w:t>
      </w:r>
      <w:r>
        <w:rPr>
          <w:rFonts w:ascii="宋体" w:eastAsia="宋体" w:hAnsi="宋体" w:cs="宋体" w:hint="eastAsia"/>
          <w:lang w:eastAsia="zh-CN"/>
        </w:rPr>
        <w:t>）。样本选择遵循四条标准：一是行业限定为制造业（证监会行业分类</w:t>
      </w:r>
      <w:r>
        <w:t xml:space="preserve"> C1—C4 </w:t>
      </w:r>
      <w:r>
        <w:rPr>
          <w:rFonts w:ascii="宋体" w:eastAsia="宋体" w:hAnsi="宋体" w:cs="宋体" w:hint="eastAsia"/>
          <w:lang w:eastAsia="zh-CN"/>
        </w:rPr>
        <w:t>大类），因为制造业数字化改造的场景清晰、可比性强；二是剔除金融、保险类公司；三是剔除</w:t>
      </w:r>
      <w:r>
        <w:t xml:space="preserve"> ST</w:t>
      </w:r>
      <w:r>
        <w:rPr>
          <w:rFonts w:ascii="宋体" w:eastAsia="宋体" w:hAnsi="宋体" w:cs="宋体" w:hint="eastAsia"/>
          <w:lang w:eastAsia="zh-CN"/>
        </w:rPr>
        <w:t>、</w:t>
      </w:r>
      <w:r>
        <w:t xml:space="preserve">*ST </w:t>
      </w:r>
      <w:r>
        <w:rPr>
          <w:rFonts w:ascii="宋体" w:eastAsia="宋体" w:hAnsi="宋体" w:cs="宋体" w:hint="eastAsia"/>
          <w:lang w:eastAsia="zh-CN"/>
        </w:rPr>
        <w:t>公司；四是要求样本企业在</w:t>
      </w:r>
      <w:r>
        <w:t xml:space="preserve"> 2015—2023 </w:t>
      </w:r>
      <w:r>
        <w:rPr>
          <w:rFonts w:ascii="宋体" w:eastAsia="宋体" w:hAnsi="宋体" w:cs="宋体" w:hint="eastAsia"/>
          <w:lang w:eastAsia="zh-CN"/>
        </w:rPr>
        <w:t>年间连续</w:t>
      </w:r>
      <w:r>
        <w:t xml:space="preserve"> 9 </w:t>
      </w:r>
      <w:r>
        <w:rPr>
          <w:rFonts w:ascii="宋体" w:eastAsia="宋体" w:hAnsi="宋体" w:cs="宋体" w:hint="eastAsia"/>
          <w:lang w:eastAsia="zh-CN"/>
        </w:rPr>
        <w:t>年均有可获取的年报文本，以获得平衡面板。财务与公司治理数据（总资产、资产负债率、营业收入、第一大股东持股比例、独立董事比例、产权性质等）来自</w:t>
      </w:r>
      <w:r>
        <w:t xml:space="preserve"> CSMAR </w:t>
      </w:r>
      <w:r>
        <w:rPr>
          <w:rFonts w:ascii="宋体" w:eastAsia="宋体" w:hAnsi="宋体" w:cs="宋体" w:hint="eastAsia"/>
          <w:lang w:eastAsia="zh-CN"/>
        </w:rPr>
        <w:t>数据库。</w:t>
      </w:r>
    </w:p>
    <w:p>
      <w:pPr>
        <w:ind w:firstLine="480"/>
        <w:jc w:val="both"/>
      </w:pPr>
      <w:r>
        <w:rPr>
          <w:rFonts w:ascii="宋体" w:eastAsia="宋体" w:hAnsi="宋体" w:cs="宋体" w:hint="eastAsia"/>
          <w:lang w:eastAsia="zh-CN"/>
        </w:rPr>
        <w:t>需要特别说明的是学术诚信与数据可得性安排：</w:t>
      </w:r>
      <w:r>
        <w:rPr>
          <w:rFonts w:ascii="宋体" w:eastAsia="宋体" w:hAnsi="宋体" w:cs="宋体" w:hint="eastAsia"/>
          <w:b/>
          <w:lang w:eastAsia="zh-CN"/>
        </w:rPr>
        <w:t>本文为毕业论文的预演（方法论验证）稿</w:t>
      </w:r>
      <w:r>
        <w:rPr>
          <w:rFonts w:ascii="宋体" w:eastAsia="宋体" w:hAnsi="宋体" w:cs="宋体" w:hint="eastAsia"/>
          <w:lang w:eastAsia="zh-CN"/>
        </w:rPr>
        <w:t>，此阶段尚未获得商用数据库的完整授权，因此语料采用</w:t>
      </w:r>
      <w:r>
        <w:rPr>
          <w:rFonts w:ascii="宋体" w:eastAsia="宋体" w:hAnsi="宋体" w:cs="宋体" w:hint="eastAsia"/>
          <w:b/>
          <w:lang w:eastAsia="zh-CN"/>
        </w:rPr>
        <w:t>按真实年报统计特征生成的仿真语料</w:t>
      </w:r>
      <w:r>
        <w:rPr>
          <w:rFonts w:ascii="宋体" w:eastAsia="宋体" w:hAnsi="宋体" w:cs="宋体" w:hint="eastAsia"/>
          <w:lang w:eastAsia="zh-CN"/>
        </w:rPr>
        <w:t>替代。仿真语料的生成过程完全公开（见附录</w:t>
      </w:r>
      <w:r>
        <w:t xml:space="preserve"> B </w:t>
      </w:r>
      <w:r>
        <w:rPr>
          <w:rFonts w:ascii="宋体" w:eastAsia="宋体" w:hAnsi="宋体" w:cs="宋体" w:hint="eastAsia"/>
          <w:lang w:eastAsia="zh-CN"/>
        </w:rPr>
        <w:t>中的</w:t>
      </w:r>
      <w:r>
        <w:t xml:space="preserve"> </w:t>
      </w:r>
      <w:r>
        <w:rPr>
          <w:rFonts w:ascii="Courier New" w:hAnsi="Courier New"/>
          <w:sz w:val="21"/>
        </w:rPr>
        <w:t>s0_generate_corpus.py</w:t>
      </w:r>
      <w:r>
        <w:rPr>
          <w:rFonts w:ascii="宋体" w:eastAsia="宋体" w:hAnsi="宋体" w:cs="宋体" w:hint="eastAsia"/>
          <w:lang w:eastAsia="zh-CN"/>
        </w:rPr>
        <w:t>），其数据生成过程（</w:t>
      </w:r>
      <w:r>
        <w:t>DGP</w:t>
      </w:r>
      <w:r>
        <w:rPr>
          <w:rFonts w:ascii="宋体" w:eastAsia="宋体" w:hAnsi="宋体" w:cs="宋体" w:hint="eastAsia"/>
          <w:lang w:eastAsia="zh-CN"/>
        </w:rPr>
        <w:t>）显式设定了</w:t>
      </w:r>
      <w:r>
        <w:t>“</w:t>
      </w:r>
      <w:r>
        <w:rPr>
          <w:rFonts w:ascii="宋体" w:eastAsia="宋体" w:hAnsi="宋体" w:cs="宋体" w:hint="eastAsia"/>
          <w:lang w:eastAsia="zh-CN"/>
        </w:rPr>
        <w:t>企业存在一个不可直接观测的真实数字化强度</w:t>
      </w:r>
      <w:r>
        <w:t xml:space="preserve"> θ</w:t>
      </w:r>
      <w:r>
        <w:rPr>
          <w:rFonts w:ascii="宋体" w:eastAsia="宋体" w:hAnsi="宋体" w:cs="宋体" w:hint="eastAsia"/>
          <w:lang w:eastAsia="zh-CN"/>
        </w:rPr>
        <w:t>，</w:t>
      </w:r>
      <w:r>
        <w:t xml:space="preserve">θ </w:t>
      </w:r>
      <w:r>
        <w:rPr>
          <w:rFonts w:ascii="宋体" w:eastAsia="宋体" w:hAnsi="宋体" w:cs="宋体" w:hint="eastAsia"/>
          <w:lang w:eastAsia="zh-CN"/>
        </w:rPr>
        <w:t>由企业固定效应、时间趋势、行业效应与持续性冲击共同决定；关键词提及次数服从以</w:t>
      </w:r>
      <w:r>
        <w:t xml:space="preserve"> θ </w:t>
      </w:r>
      <w:r>
        <w:rPr>
          <w:rFonts w:ascii="宋体" w:eastAsia="宋体" w:hAnsi="宋体" w:cs="宋体" w:hint="eastAsia"/>
          <w:lang w:eastAsia="zh-CN"/>
        </w:rPr>
        <w:t>为均值的泊松过程；企业绩效由</w:t>
      </w:r>
      <w:r>
        <w:t xml:space="preserve"> θ </w:t>
      </w:r>
      <w:r>
        <w:rPr>
          <w:rFonts w:ascii="宋体" w:eastAsia="宋体" w:hAnsi="宋体" w:cs="宋体" w:hint="eastAsia"/>
          <w:lang w:eastAsia="zh-CN"/>
        </w:rPr>
        <w:t>与若干控制变量共同决定</w:t>
      </w:r>
      <w:r>
        <w:t>”</w:t>
      </w:r>
      <w:r>
        <w:rPr>
          <w:rFonts w:ascii="宋体" w:eastAsia="宋体" w:hAnsi="宋体" w:cs="宋体" w:hint="eastAsia"/>
          <w:lang w:eastAsia="zh-CN"/>
        </w:rPr>
        <w:t>。这一设计保留了真实研究中的两个关键特征：文本测度含有测量误差，且测度误差会造成回归系数的衰减偏误。正式研究与送审版论文将把语料替换为巨潮资讯网年报原文，第</w:t>
      </w:r>
      <w:r>
        <w:t xml:space="preserve"> 1—4 </w:t>
      </w:r>
      <w:r>
        <w:rPr>
          <w:rFonts w:ascii="宋体" w:eastAsia="宋体" w:hAnsi="宋体" w:cs="宋体" w:hint="eastAsia"/>
          <w:lang w:eastAsia="zh-CN"/>
        </w:rPr>
        <w:t>步之外的代码无需修改。</w:t>
      </w:r>
    </w:p>
    <w:p>
      <w:pPr>
        <w:ind w:firstLine="480"/>
        <w:jc w:val="both"/>
      </w:pPr>
      <w:r>
        <w:rPr>
          <w:rFonts w:ascii="宋体" w:eastAsia="宋体" w:hAnsi="宋体" w:cs="宋体" w:hint="eastAsia"/>
          <w:lang w:eastAsia="zh-CN"/>
        </w:rPr>
        <w:t>最终样本为</w:t>
      </w:r>
      <w:r>
        <w:t xml:space="preserve"> 180 </w:t>
      </w:r>
      <w:r>
        <w:rPr>
          <w:rFonts w:ascii="宋体" w:eastAsia="宋体" w:hAnsi="宋体" w:cs="宋体" w:hint="eastAsia"/>
          <w:lang w:eastAsia="zh-CN"/>
        </w:rPr>
        <w:t>家制造业上市公司</w:t>
      </w:r>
      <w:r>
        <w:t xml:space="preserve"> 2015—2023 </w:t>
      </w:r>
      <w:r>
        <w:rPr>
          <w:rFonts w:ascii="宋体" w:eastAsia="宋体" w:hAnsi="宋体" w:cs="宋体" w:hint="eastAsia"/>
          <w:lang w:eastAsia="zh-CN"/>
        </w:rPr>
        <w:t>年共</w:t>
      </w:r>
      <w:r>
        <w:t xml:space="preserve"> 1620 </w:t>
      </w:r>
      <w:r>
        <w:rPr>
          <w:rFonts w:ascii="宋体" w:eastAsia="宋体" w:hAnsi="宋体" w:cs="宋体" w:hint="eastAsia"/>
          <w:lang w:eastAsia="zh-CN"/>
        </w:rPr>
        <w:t>篇年报文本，构成</w:t>
      </w:r>
      <w:r>
        <w:t xml:space="preserve"> 1620 </w:t>
      </w:r>
      <w:r>
        <w:rPr>
          <w:rFonts w:ascii="宋体" w:eastAsia="宋体" w:hAnsi="宋体" w:cs="宋体" w:hint="eastAsia"/>
          <w:lang w:eastAsia="zh-CN"/>
        </w:rPr>
        <w:t>个企业</w:t>
      </w:r>
      <w:r>
        <w:t>—</w:t>
      </w:r>
      <w:r>
        <w:rPr>
          <w:rFonts w:ascii="宋体" w:eastAsia="宋体" w:hAnsi="宋体" w:cs="宋体" w:hint="eastAsia"/>
          <w:lang w:eastAsia="zh-CN"/>
        </w:rPr>
        <w:t>年份观测的平衡面板。语料平均长度</w:t>
      </w:r>
      <w:r>
        <w:t xml:space="preserve"> 4503 </w:t>
      </w:r>
      <w:r>
        <w:rPr>
          <w:rFonts w:ascii="宋体" w:eastAsia="宋体" w:hAnsi="宋体" w:cs="宋体" w:hint="eastAsia"/>
          <w:lang w:eastAsia="zh-CN"/>
        </w:rPr>
        <w:t>个中文字符，分词后平均</w:t>
      </w:r>
      <w:r>
        <w:t xml:space="preserve"> 1905 </w:t>
      </w:r>
      <w:r>
        <w:rPr>
          <w:rFonts w:ascii="宋体" w:eastAsia="宋体" w:hAnsi="宋体" w:cs="宋体" w:hint="eastAsia"/>
          <w:lang w:eastAsia="zh-CN"/>
        </w:rPr>
        <w:t>个有效词，全部</w:t>
      </w:r>
      <w:r>
        <w:t xml:space="preserve"> 1620 </w:t>
      </w:r>
      <w:r>
        <w:rPr>
          <w:rFonts w:ascii="宋体" w:eastAsia="宋体" w:hAnsi="宋体" w:cs="宋体" w:hint="eastAsia"/>
          <w:lang w:eastAsia="zh-CN"/>
        </w:rPr>
        <w:t>篇文本均至少出现</w:t>
      </w:r>
      <w:r>
        <w:t xml:space="preserve"> 1 </w:t>
      </w:r>
      <w:r>
        <w:rPr>
          <w:rFonts w:ascii="宋体" w:eastAsia="宋体" w:hAnsi="宋体" w:cs="宋体" w:hint="eastAsia"/>
          <w:lang w:eastAsia="zh-CN"/>
        </w:rPr>
        <w:t>个数字化关键词，关键词命中率为</w:t>
      </w:r>
      <w:r>
        <w:t xml:space="preserve"> 100%</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（二）文本预处理流程</w:t>
      </w:r>
    </w:p>
    <w:p>
      <w:pPr>
        <w:ind w:firstLine="480"/>
        <w:jc w:val="both"/>
      </w:pPr>
      <w:r>
        <w:rPr>
          <w:rFonts w:ascii="宋体" w:eastAsia="宋体" w:hAnsi="宋体" w:cs="宋体" w:hint="eastAsia"/>
          <w:lang w:eastAsia="zh-CN"/>
        </w:rPr>
        <w:t>文本预处理按五项规则依次执行。</w:t>
      </w:r>
    </w:p>
    <w:p>
      <w:pPr>
        <w:ind w:firstLine="480"/>
        <w:jc w:val="both"/>
      </w:pPr>
      <w:r>
        <w:rPr>
          <w:rFonts w:ascii="宋体" w:eastAsia="宋体" w:hAnsi="宋体" w:cs="宋体" w:hint="eastAsia"/>
          <w:b/>
          <w:lang w:eastAsia="zh-CN"/>
        </w:rPr>
        <w:t>R1 格式清洗</w:t>
      </w:r>
      <w:r>
        <w:rPr>
          <w:rFonts w:ascii="宋体" w:eastAsia="宋体" w:hAnsi="宋体" w:cs="宋体" w:hint="eastAsia"/>
          <w:lang w:eastAsia="zh-CN"/>
        </w:rPr>
        <w:t>：去除</w:t>
      </w:r>
      <w:r>
        <w:t xml:space="preserve"> HTML </w:t>
      </w:r>
      <w:r>
        <w:rPr>
          <w:rFonts w:ascii="宋体" w:eastAsia="宋体" w:hAnsi="宋体" w:cs="宋体" w:hint="eastAsia"/>
          <w:lang w:eastAsia="zh-CN"/>
        </w:rPr>
        <w:t>标签与转义字符，剔除页眉页脚、章节标题与免责声明模板句。</w:t>
      </w:r>
    </w:p>
    <w:p>
      <w:pPr>
        <w:ind w:firstLine="480"/>
        <w:jc w:val="both"/>
      </w:pPr>
      <w:r>
        <w:rPr>
          <w:rFonts w:ascii="宋体" w:eastAsia="宋体" w:hAnsi="宋体" w:cs="宋体" w:hint="eastAsia"/>
          <w:b/>
          <w:lang w:eastAsia="zh-CN"/>
        </w:rPr>
        <w:t>R2 字符规范化</w:t>
      </w:r>
      <w:r>
        <w:rPr>
          <w:rFonts w:ascii="宋体" w:eastAsia="宋体" w:hAnsi="宋体" w:cs="宋体" w:hint="eastAsia"/>
          <w:lang w:eastAsia="zh-CN"/>
        </w:rPr>
        <w:t>：全角字符转半角，仅保留中文、英文、数字与常用标点，合并连续重复标点。</w:t>
      </w:r>
    </w:p>
    <w:p>
      <w:pPr>
        <w:ind w:firstLine="480"/>
        <w:jc w:val="both"/>
      </w:pPr>
      <w:r>
        <w:rPr>
          <w:rFonts w:ascii="宋体" w:eastAsia="宋体" w:hAnsi="宋体" w:cs="宋体" w:hint="eastAsia"/>
          <w:b/>
          <w:lang w:eastAsia="zh-CN"/>
        </w:rPr>
        <w:t>R3 句子级去重</w:t>
      </w:r>
      <w:r>
        <w:rPr>
          <w:rFonts w:ascii="宋体" w:eastAsia="宋体" w:hAnsi="宋体" w:cs="宋体" w:hint="eastAsia"/>
          <w:lang w:eastAsia="zh-CN"/>
        </w:rPr>
        <w:t>：对完全重复的句子只保留一次。年报中</w:t>
      </w:r>
      <w:r>
        <w:t>“</w:t>
      </w:r>
      <w:r>
        <w:rPr>
          <w:rFonts w:ascii="宋体" w:eastAsia="宋体" w:hAnsi="宋体" w:cs="宋体" w:hint="eastAsia"/>
          <w:lang w:eastAsia="zh-CN"/>
        </w:rPr>
        <w:t>本公司及董事会全体成员保证信息披露内容真实、准确、完整</w:t>
      </w:r>
      <w:r>
        <w:t>”</w:t>
      </w:r>
      <w:r>
        <w:rPr>
          <w:rFonts w:ascii="宋体" w:eastAsia="宋体" w:hAnsi="宋体" w:cs="宋体" w:hint="eastAsia"/>
          <w:lang w:eastAsia="zh-CN"/>
        </w:rPr>
        <w:t>一类模板句反复出现，若不去重会系统性高估词频。</w:t>
      </w:r>
    </w:p>
    <w:p>
      <w:pPr>
        <w:ind w:firstLine="480"/>
        <w:jc w:val="both"/>
      </w:pPr>
      <w:r>
        <w:rPr>
          <w:rFonts w:ascii="宋体" w:eastAsia="宋体" w:hAnsi="宋体" w:cs="宋体" w:hint="eastAsia"/>
          <w:b/>
          <w:lang w:eastAsia="zh-CN"/>
        </w:rPr>
        <w:t>R4 有效文本筛选</w:t>
      </w:r>
      <w:r>
        <w:rPr>
          <w:rFonts w:ascii="宋体" w:eastAsia="宋体" w:hAnsi="宋体" w:cs="宋体" w:hint="eastAsia"/>
          <w:lang w:eastAsia="zh-CN"/>
        </w:rPr>
        <w:t>：过滤中文字符数少于</w:t>
      </w:r>
      <w:r>
        <w:t xml:space="preserve"> 200 </w:t>
      </w:r>
      <w:r>
        <w:rPr>
          <w:rFonts w:ascii="宋体" w:eastAsia="宋体" w:hAnsi="宋体" w:cs="宋体" w:hint="eastAsia"/>
          <w:lang w:eastAsia="zh-CN"/>
        </w:rPr>
        <w:t>的文档，避免仅有标题的空文本污染样本。</w:t>
      </w:r>
    </w:p>
    <w:p>
      <w:pPr>
        <w:ind w:firstLine="480"/>
        <w:jc w:val="both"/>
      </w:pPr>
      <w:r>
        <w:rPr>
          <w:rFonts w:ascii="宋体" w:eastAsia="宋体" w:hAnsi="宋体" w:cs="宋体" w:hint="eastAsia"/>
          <w:b/>
          <w:lang w:eastAsia="zh-CN"/>
        </w:rPr>
        <w:t>R5 分词与停用词处理</w:t>
      </w:r>
      <w:r>
        <w:rPr>
          <w:rFonts w:ascii="宋体" w:eastAsia="宋体" w:hAnsi="宋体" w:cs="宋体" w:hint="eastAsia"/>
          <w:lang w:eastAsia="zh-CN"/>
        </w:rPr>
        <w:t>：采用</w:t>
      </w:r>
      <w:r>
        <w:t xml:space="preserve"> jieba </w:t>
      </w:r>
      <w:r>
        <w:rPr>
          <w:rFonts w:ascii="宋体" w:eastAsia="宋体" w:hAnsi="宋体" w:cs="宋体" w:hint="eastAsia"/>
          <w:lang w:eastAsia="zh-CN"/>
        </w:rPr>
        <w:t>分词，将</w:t>
      </w:r>
      <w:r>
        <w:t xml:space="preserve"> 69 </w:t>
      </w:r>
      <w:r>
        <w:rPr>
          <w:rFonts w:ascii="宋体" w:eastAsia="宋体" w:hAnsi="宋体" w:cs="宋体" w:hint="eastAsia"/>
          <w:lang w:eastAsia="zh-CN"/>
        </w:rPr>
        <w:t>个数字化关键词全部加入自定义词典（避免</w:t>
      </w:r>
      <w:r>
        <w:t>“</w:t>
      </w:r>
      <w:r>
        <w:rPr>
          <w:rFonts w:ascii="宋体" w:eastAsia="宋体" w:hAnsi="宋体" w:cs="宋体" w:hint="eastAsia"/>
          <w:lang w:eastAsia="zh-CN"/>
        </w:rPr>
        <w:t>数字化转型</w:t>
      </w:r>
      <w:r>
        <w:t>”</w:t>
      </w:r>
      <w:r>
        <w:rPr>
          <w:rFonts w:ascii="宋体" w:eastAsia="宋体" w:hAnsi="宋体" w:cs="宋体" w:hint="eastAsia"/>
          <w:lang w:eastAsia="zh-CN"/>
        </w:rPr>
        <w:t>被切分为</w:t>
      </w:r>
      <w:r>
        <w:t>“</w:t>
      </w:r>
      <w:r>
        <w:rPr>
          <w:rFonts w:ascii="宋体" w:eastAsia="宋体" w:hAnsi="宋体" w:cs="宋体" w:hint="eastAsia"/>
          <w:lang w:eastAsia="zh-CN"/>
        </w:rPr>
        <w:t>数字化</w:t>
      </w:r>
      <w:r>
        <w:t>”</w:t>
      </w:r>
      <w:r>
        <w:rPr>
          <w:rFonts w:ascii="宋体" w:eastAsia="宋体" w:hAnsi="宋体" w:cs="宋体" w:hint="eastAsia"/>
          <w:lang w:eastAsia="zh-CN"/>
        </w:rPr>
        <w:t>与</w:t>
      </w:r>
      <w:r>
        <w:t>“</w:t>
      </w:r>
      <w:r>
        <w:rPr>
          <w:rFonts w:ascii="宋体" w:eastAsia="宋体" w:hAnsi="宋体" w:cs="宋体" w:hint="eastAsia"/>
          <w:lang w:eastAsia="zh-CN"/>
        </w:rPr>
        <w:t>转型</w:t>
      </w:r>
      <w:r>
        <w:t>”</w:t>
      </w:r>
      <w:r>
        <w:rPr>
          <w:rFonts w:ascii="宋体" w:eastAsia="宋体" w:hAnsi="宋体" w:cs="宋体" w:hint="eastAsia"/>
          <w:lang w:eastAsia="zh-CN"/>
        </w:rPr>
        <w:t>），并在哈工大停用词表基础上补充年报高频噪声词（如</w:t>
      </w:r>
      <w:r>
        <w:t>“</w:t>
      </w:r>
      <w:r>
        <w:rPr>
          <w:rFonts w:ascii="宋体" w:eastAsia="宋体" w:hAnsi="宋体" w:cs="宋体" w:hint="eastAsia"/>
          <w:lang w:eastAsia="zh-CN"/>
        </w:rPr>
        <w:t>公司</w:t>
      </w:r>
      <w:r>
        <w:t>”“</w:t>
      </w:r>
      <w:r>
        <w:rPr>
          <w:rFonts w:ascii="宋体" w:eastAsia="宋体" w:hAnsi="宋体" w:cs="宋体" w:hint="eastAsia"/>
          <w:lang w:eastAsia="zh-CN"/>
        </w:rPr>
        <w:t>报告期</w:t>
      </w:r>
      <w:r>
        <w:t>”“</w:t>
      </w:r>
      <w:r>
        <w:rPr>
          <w:rFonts w:ascii="宋体" w:eastAsia="宋体" w:hAnsi="宋体" w:cs="宋体" w:hint="eastAsia"/>
          <w:lang w:eastAsia="zh-CN"/>
        </w:rPr>
        <w:t>年度</w:t>
      </w:r>
      <w:r>
        <w:t>”</w:t>
      </w:r>
      <w:r>
        <w:rPr>
          <w:rFonts w:ascii="宋体" w:eastAsia="宋体" w:hAnsi="宋体" w:cs="宋体" w:hint="eastAsia"/>
          <w:lang w:eastAsia="zh-CN"/>
        </w:rPr>
        <w:t>）。</w:t>
      </w:r>
    </w:p>
    <w:p>
      <w:pPr>
        <w:ind w:firstLine="480"/>
        <w:jc w:val="both"/>
      </w:pPr>
      <w:r>
        <w:rPr>
          <w:rFonts w:ascii="宋体" w:eastAsia="宋体" w:hAnsi="宋体" w:cs="宋体" w:hint="eastAsia"/>
          <w:lang w:eastAsia="zh-CN"/>
        </w:rPr>
        <w:t>在词频统计环节，进一步引入四项语境规则以提升测度质量：</w:t>
      </w:r>
    </w:p>
    <w:p>
      <w:pPr>
        <w:ind w:firstLine="480"/>
        <w:jc w:val="both"/>
      </w:pPr>
      <w:r>
        <w:t xml:space="preserve">- </w:t>
      </w:r>
      <w:r>
        <w:rPr>
          <w:rFonts w:ascii="宋体" w:eastAsia="宋体" w:hAnsi="宋体" w:cs="宋体" w:hint="eastAsia"/>
          <w:b/>
          <w:lang w:eastAsia="zh-CN"/>
        </w:rPr>
        <w:t>T1 最长优先匹配</w:t>
      </w:r>
      <w:r>
        <w:rPr>
          <w:rFonts w:ascii="宋体" w:eastAsia="宋体" w:hAnsi="宋体" w:cs="宋体" w:hint="eastAsia"/>
          <w:lang w:eastAsia="zh-CN"/>
        </w:rPr>
        <w:t>：同一位置命中</w:t>
      </w:r>
      <w:r>
        <w:t>“</w:t>
      </w:r>
      <w:r>
        <w:rPr>
          <w:rFonts w:ascii="宋体" w:eastAsia="宋体" w:hAnsi="宋体" w:cs="宋体" w:hint="eastAsia"/>
          <w:lang w:eastAsia="zh-CN"/>
        </w:rPr>
        <w:t>数字化转型</w:t>
      </w:r>
      <w:r>
        <w:t>”</w:t>
      </w:r>
      <w:r>
        <w:rPr>
          <w:rFonts w:ascii="宋体" w:eastAsia="宋体" w:hAnsi="宋体" w:cs="宋体" w:hint="eastAsia"/>
          <w:lang w:eastAsia="zh-CN"/>
        </w:rPr>
        <w:t>时不再重复计入其子串</w:t>
      </w:r>
      <w:r>
        <w:t>“</w:t>
      </w:r>
      <w:r>
        <w:rPr>
          <w:rFonts w:ascii="宋体" w:eastAsia="宋体" w:hAnsi="宋体" w:cs="宋体" w:hint="eastAsia"/>
          <w:lang w:eastAsia="zh-CN"/>
        </w:rPr>
        <w:t>数字化</w:t>
      </w:r>
      <w:r>
        <w:t>”</w:t>
      </w:r>
      <w:r>
        <w:rPr>
          <w:rFonts w:ascii="宋体" w:eastAsia="宋体" w:hAnsi="宋体" w:cs="宋体" w:hint="eastAsia"/>
          <w:lang w:eastAsia="zh-CN"/>
        </w:rPr>
        <w:t>，避免子串重复计数造成指标虚高；</w:t>
      </w:r>
      <w:r>
        <w:t xml:space="preserve"> - </w:t>
      </w:r>
      <w:r>
        <w:rPr>
          <w:rFonts w:ascii="宋体" w:eastAsia="宋体" w:hAnsi="宋体" w:cs="宋体" w:hint="eastAsia"/>
          <w:b/>
          <w:lang w:eastAsia="zh-CN"/>
        </w:rPr>
        <w:t>T2 否定语境识别</w:t>
      </w:r>
      <w:r>
        <w:rPr>
          <w:rFonts w:ascii="宋体" w:eastAsia="宋体" w:hAnsi="宋体" w:cs="宋体" w:hint="eastAsia"/>
          <w:lang w:eastAsia="zh-CN"/>
        </w:rPr>
        <w:t>：若关键词前</w:t>
      </w:r>
      <w:r>
        <w:t xml:space="preserve"> 2 </w:t>
      </w:r>
      <w:r>
        <w:rPr>
          <w:rFonts w:ascii="宋体" w:eastAsia="宋体" w:hAnsi="宋体" w:cs="宋体" w:hint="eastAsia"/>
          <w:lang w:eastAsia="zh-CN"/>
        </w:rPr>
        <w:t>个词内出现</w:t>
      </w:r>
      <w:r>
        <w:t>“</w:t>
      </w:r>
      <w:r>
        <w:rPr>
          <w:rFonts w:ascii="宋体" w:eastAsia="宋体" w:hAnsi="宋体" w:cs="宋体" w:hint="eastAsia"/>
          <w:lang w:eastAsia="zh-CN"/>
        </w:rPr>
        <w:t>不、无、未、尚未、难以、缺乏</w:t>
      </w:r>
      <w:r>
        <w:t>”</w:t>
      </w:r>
      <w:r>
        <w:rPr>
          <w:rFonts w:ascii="宋体" w:eastAsia="宋体" w:hAnsi="宋体" w:cs="宋体" w:hint="eastAsia"/>
          <w:lang w:eastAsia="zh-CN"/>
        </w:rPr>
        <w:t>等否定词，则该次提及不计入词频；</w:t>
      </w:r>
      <w:r>
        <w:t xml:space="preserve"> - </w:t>
      </w:r>
      <w:r>
        <w:rPr>
          <w:rFonts w:ascii="宋体" w:eastAsia="宋体" w:hAnsi="宋体" w:cs="宋体" w:hint="eastAsia"/>
          <w:b/>
          <w:lang w:eastAsia="zh-CN"/>
        </w:rPr>
        <w:t>T3 程度副词加权</w:t>
      </w:r>
      <w:r>
        <w:rPr>
          <w:rFonts w:ascii="宋体" w:eastAsia="宋体" w:hAnsi="宋体" w:cs="宋体" w:hint="eastAsia"/>
          <w:lang w:eastAsia="zh-CN"/>
        </w:rPr>
        <w:t>：关键词前</w:t>
      </w:r>
      <w:r>
        <w:t xml:space="preserve"> 1 </w:t>
      </w:r>
      <w:r>
        <w:rPr>
          <w:rFonts w:ascii="宋体" w:eastAsia="宋体" w:hAnsi="宋体" w:cs="宋体" w:hint="eastAsia"/>
          <w:lang w:eastAsia="zh-CN"/>
        </w:rPr>
        <w:t>个词为</w:t>
      </w:r>
      <w:r>
        <w:t>“</w:t>
      </w:r>
      <w:r>
        <w:rPr>
          <w:rFonts w:ascii="宋体" w:eastAsia="宋体" w:hAnsi="宋体" w:cs="宋体" w:hint="eastAsia"/>
          <w:lang w:eastAsia="zh-CN"/>
        </w:rPr>
        <w:t>全面、深度、大力、持续</w:t>
      </w:r>
      <w:r>
        <w:t>”</w:t>
      </w:r>
      <w:r>
        <w:rPr>
          <w:rFonts w:ascii="宋体" w:eastAsia="宋体" w:hAnsi="宋体" w:cs="宋体" w:hint="eastAsia"/>
          <w:lang w:eastAsia="zh-CN"/>
        </w:rPr>
        <w:t>等程度副词时，按</w:t>
      </w:r>
      <w:r>
        <w:t xml:space="preserve"> 1.2—1.5 </w:t>
      </w:r>
      <w:r>
        <w:rPr>
          <w:rFonts w:ascii="宋体" w:eastAsia="宋体" w:hAnsi="宋体" w:cs="宋体" w:hint="eastAsia"/>
          <w:lang w:eastAsia="zh-CN"/>
        </w:rPr>
        <w:t>的权重计入，以区分</w:t>
      </w:r>
      <w:r>
        <w:t>“</w:t>
      </w:r>
      <w:r>
        <w:rPr>
          <w:rFonts w:ascii="宋体" w:eastAsia="宋体" w:hAnsi="宋体" w:cs="宋体" w:hint="eastAsia"/>
          <w:lang w:eastAsia="zh-CN"/>
        </w:rPr>
        <w:t>初步尝试</w:t>
      </w:r>
      <w:r>
        <w:t>”</w:t>
      </w:r>
      <w:r>
        <w:rPr>
          <w:rFonts w:ascii="宋体" w:eastAsia="宋体" w:hAnsi="宋体" w:cs="宋体" w:hint="eastAsia"/>
          <w:lang w:eastAsia="zh-CN"/>
        </w:rPr>
        <w:t>与</w:t>
      </w:r>
      <w:r>
        <w:t>“</w:t>
      </w:r>
      <w:r>
        <w:rPr>
          <w:rFonts w:ascii="宋体" w:eastAsia="宋体" w:hAnsi="宋体" w:cs="宋体" w:hint="eastAsia"/>
          <w:lang w:eastAsia="zh-CN"/>
        </w:rPr>
        <w:t>全面深化</w:t>
      </w:r>
      <w:r>
        <w:t>”</w:t>
      </w:r>
      <w:r>
        <w:rPr>
          <w:rFonts w:ascii="宋体" w:eastAsia="宋体" w:hAnsi="宋体" w:cs="宋体" w:hint="eastAsia"/>
          <w:lang w:eastAsia="zh-CN"/>
        </w:rPr>
        <w:t>的强度差异；</w:t>
      </w:r>
      <w:r>
        <w:t xml:space="preserve"> - </w:t>
      </w:r>
      <w:r>
        <w:rPr>
          <w:rFonts w:ascii="宋体" w:eastAsia="宋体" w:hAnsi="宋体" w:cs="宋体" w:hint="eastAsia"/>
          <w:b/>
          <w:lang w:eastAsia="zh-CN"/>
        </w:rPr>
        <w:t>T4 分半计数</w:t>
      </w:r>
      <w:r>
        <w:rPr>
          <w:rFonts w:ascii="宋体" w:eastAsia="宋体" w:hAnsi="宋体" w:cs="宋体" w:hint="eastAsia"/>
          <w:lang w:eastAsia="zh-CN"/>
        </w:rPr>
        <w:t>：以文档中点切分，分别统计前后两半的关键词词频，为分半信度检验提供数据。</w:t>
      </w:r>
    </w:p>
    <w:p>
      <w:pPr>
        <w:pStyle w:val="Heading3"/>
      </w:pPr>
      <w:r>
        <w:rPr>
          <w:rFonts w:ascii="宋体" w:hAnsi="宋体" w:eastAsia="宋体" w:cs="宋体" w:hint="eastAsia"/>
          <w:b/>
          <w:color w:val="000000"/>
          <w:sz w:val="24"/>
          <w:lang w:eastAsia="zh-CN"/>
        </w:rPr>
        <w:t>（三）数字化转型测度的构造</w:t>
      </w:r>
    </w:p>
    <w:p>
      <w:pPr>
        <w:ind w:firstLine="480"/>
        <w:jc w:val="both"/>
      </w:pPr>
      <w:r>
        <w:rPr>
          <w:rFonts w:ascii="宋体" w:eastAsia="宋体" w:hAnsi="宋体" w:cs="宋体" w:hint="eastAsia"/>
          <w:lang w:eastAsia="zh-CN"/>
        </w:rPr>
        <w:t>词典依据既有中文文献的通行归类方式构建，包含五个维度共</w:t>
      </w:r>
      <w:r>
        <w:t xml:space="preserve"> 69 </w:t>
      </w:r>
      <w:r>
        <w:rPr>
          <w:rFonts w:ascii="宋体" w:eastAsia="宋体" w:hAnsi="宋体" w:cs="宋体" w:hint="eastAsia"/>
          <w:lang w:eastAsia="zh-CN"/>
        </w:rPr>
        <w:t>个关键词：人工智能技术（</w:t>
      </w:r>
      <w:r>
        <w:t xml:space="preserve">17 </w:t>
      </w:r>
      <w:r>
        <w:rPr>
          <w:rFonts w:ascii="宋体" w:eastAsia="宋体" w:hAnsi="宋体" w:cs="宋体" w:hint="eastAsia"/>
          <w:lang w:eastAsia="zh-CN"/>
        </w:rPr>
        <w:t>个，如人工智能、机器学习、深度学习、图像识别、智能质检）、大数据技术（</w:t>
      </w:r>
      <w:r>
        <w:t xml:space="preserve">15 </w:t>
      </w:r>
      <w:r>
        <w:rPr>
          <w:rFonts w:ascii="宋体" w:eastAsia="宋体" w:hAnsi="宋体" w:cs="宋体" w:hint="eastAsia"/>
          <w:lang w:eastAsia="zh-CN"/>
        </w:rPr>
        <w:t>个，如大数据、数据挖掘、数据中台、数据治理、用户画像）、云计算技术（</w:t>
      </w:r>
      <w:r>
        <w:t xml:space="preserve">11 </w:t>
      </w:r>
      <w:r>
        <w:rPr>
          <w:rFonts w:ascii="宋体" w:eastAsia="宋体" w:hAnsi="宋体" w:cs="宋体" w:hint="eastAsia"/>
          <w:lang w:eastAsia="zh-CN"/>
        </w:rPr>
        <w:t>个，如云计算、云平台、边缘计算、云原生）、区块链技术（</w:t>
      </w:r>
      <w:r>
        <w:t xml:space="preserve">9 </w:t>
      </w:r>
      <w:r>
        <w:rPr>
          <w:rFonts w:ascii="宋体" w:eastAsia="宋体" w:hAnsi="宋体" w:cs="宋体" w:hint="eastAsia"/>
          <w:lang w:eastAsia="zh-CN"/>
        </w:rPr>
        <w:t>个，如区块链、智能合约、分布式账本、供应链金融）、数字技术应用（</w:t>
      </w:r>
      <w:r>
        <w:t xml:space="preserve">17 </w:t>
      </w:r>
      <w:r>
        <w:rPr>
          <w:rFonts w:ascii="宋体" w:eastAsia="宋体" w:hAnsi="宋体" w:cs="宋体" w:hint="eastAsia"/>
          <w:lang w:eastAsia="zh-CN"/>
        </w:rPr>
        <w:t>个，如数字化转型、智能制造、工业互联网、数字孪生、两化融合）。</w:t>
      </w:r>
    </w:p>
    <w:p>
      <w:pPr>
        <w:ind w:firstLine="480"/>
        <w:jc w:val="both"/>
      </w:pPr>
      <w:r>
        <w:rPr>
          <w:rFonts w:ascii="宋体" w:eastAsia="宋体" w:hAnsi="宋体" w:cs="宋体" w:hint="eastAsia"/>
          <w:lang w:eastAsia="zh-CN"/>
        </w:rPr>
        <w:t>记企业</w:t>
      </w:r>
      <w:r>
        <w:t xml:space="preserve"> i </w:t>
      </w:r>
      <w:r>
        <w:rPr>
          <w:rFonts w:ascii="宋体" w:eastAsia="宋体" w:hAnsi="宋体" w:cs="宋体" w:hint="eastAsia"/>
          <w:lang w:eastAsia="zh-CN"/>
        </w:rPr>
        <w:t>在第</w:t>
      </w:r>
      <w:r>
        <w:t xml:space="preserve"> t </w:t>
      </w:r>
      <w:r>
        <w:rPr>
          <w:rFonts w:ascii="宋体" w:eastAsia="宋体" w:hAnsi="宋体" w:cs="宋体" w:hint="eastAsia"/>
          <w:lang w:eastAsia="zh-CN"/>
        </w:rPr>
        <w:t>年的文本中关键词</w:t>
      </w:r>
      <w:r>
        <w:t xml:space="preserve"> k </w:t>
      </w:r>
      <w:r>
        <w:rPr>
          <w:rFonts w:ascii="宋体" w:eastAsia="宋体" w:hAnsi="宋体" w:cs="宋体" w:hint="eastAsia"/>
          <w:lang w:eastAsia="zh-CN"/>
        </w:rPr>
        <w:t>的加权词频为</w:t>
      </w:r>
      <w:r>
        <w:t xml:space="preserve"> f</w:t>
      </w:r>
      <w:r>
        <w:rPr>
          <w:rFonts w:ascii="宋体" w:eastAsia="宋体" w:hAnsi="宋体" w:cs="宋体" w:hint="eastAsia"/>
          <w:lang w:eastAsia="zh-CN"/>
        </w:rPr>
        <w:t>（经</w:t>
      </w:r>
      <w:r>
        <w:t xml:space="preserve"> T1—T3 </w:t>
      </w:r>
      <w:r>
        <w:rPr>
          <w:rFonts w:ascii="宋体" w:eastAsia="宋体" w:hAnsi="宋体" w:cs="宋体" w:hint="eastAsia"/>
          <w:lang w:eastAsia="zh-CN"/>
        </w:rPr>
        <w:t>规则处理后），其所属维度为</w:t>
      </w:r>
      <w:r>
        <w:t xml:space="preserve"> d</w:t>
      </w:r>
      <w:r>
        <w:rPr>
          <w:rFonts w:ascii="宋体" w:eastAsia="宋体" w:hAnsi="宋体" w:cs="宋体" w:hint="eastAsia"/>
          <w:lang w:eastAsia="zh-CN"/>
        </w:rPr>
        <w:t>，企业当年文本的中文字符数为</w:t>
      </w:r>
      <w:r>
        <w:t xml:space="preserve"> Char</w:t>
      </w:r>
      <w:r>
        <w:rPr>
          <w:rFonts w:ascii="宋体" w:eastAsia="宋体" w:hAnsi="宋体" w:cs="宋体" w:hint="eastAsia"/>
          <w:lang w:eastAsia="zh-CN"/>
        </w:rPr>
        <w:t>。测度的构造分四步：</w:t>
      </w:r>
    </w:p>
    <w:p>
      <w:pPr>
        <w:ind w:firstLine="480"/>
        <w:jc w:val="both"/>
      </w:pPr>
      <w:r>
        <w:rPr>
          <w:rFonts w:ascii="宋体" w:eastAsia="宋体" w:hAnsi="宋体" w:cs="宋体" w:hint="eastAsia"/>
          <w:b/>
          <w:lang w:eastAsia="zh-CN"/>
        </w:rPr>
        <w:t>式（1）维度密度</w:t>
      </w:r>
    </w:p>
    <w:p>
      <w:pPr>
        <w:ind w:firstLine="0"/>
        <w:jc w:val="center"/>
      </w:pPr>
      <w:r>
        <w:rPr>
          <w:rFonts w:ascii="Times New Roman" w:hAnsi="Times New Roman"/>
        </w:rPr>
        <w:t>Den(d,i,t) = [ Σ(k∈d) f(k,i,t) ] ÷ ( Char(i,t) ÷ 1000 )</w:t>
      </w:r>
    </w:p>
    <w:p>
      <w:pPr>
        <w:ind w:firstLine="480"/>
        <w:jc w:val="both"/>
      </w:pPr>
      <w:r>
        <w:rPr>
          <w:rFonts w:ascii="宋体" w:eastAsia="宋体" w:hAnsi="宋体" w:cs="宋体" w:hint="eastAsia"/>
          <w:lang w:eastAsia="zh-CN"/>
        </w:rPr>
        <w:t>即每一千个中文字符中出现的关键词加权次数，用以消除篇幅差异。</w:t>
      </w:r>
    </w:p>
    <w:p>
      <w:pPr>
        <w:ind w:firstLine="480"/>
        <w:jc w:val="both"/>
      </w:pPr>
      <w:r>
        <w:rPr>
          <w:rFonts w:ascii="宋体" w:eastAsia="宋体" w:hAnsi="宋体" w:cs="宋体" w:hint="eastAsia"/>
          <w:b/>
          <w:lang w:eastAsia="zh-CN"/>
        </w:rPr>
        <w:t>式（2）综合密度</w:t>
      </w:r>
      <w:r>
        <w:rPr>
          <w:rFonts w:ascii="宋体" w:eastAsia="宋体" w:hAnsi="宋体" w:cs="宋体" w:hint="eastAsia"/>
          <w:lang w:eastAsia="zh-CN"/>
        </w:rPr>
        <w:t>：对五个维度密度求和，</w:t>
      </w:r>
      <w:r>
        <w:t>Den(i,t) = W1·Den(1,i,t) + … + W5·Den(5,i,t)</w:t>
      </w:r>
      <w:r>
        <w:rPr>
          <w:rFonts w:ascii="宋体" w:eastAsia="宋体" w:hAnsi="宋体" w:cs="宋体" w:hint="eastAsia"/>
          <w:lang w:eastAsia="zh-CN"/>
        </w:rPr>
        <w:t>，基准情形取等权</w:t>
      </w:r>
      <w:r>
        <w:t xml:space="preserve"> W1=…=W5=1</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式（3）主指标</w:t>
      </w:r>
    </w:p>
    <w:p>
      <w:pPr>
        <w:ind w:firstLine="0"/>
        <w:jc w:val="center"/>
      </w:pPr>
      <w:r>
        <w:rPr>
          <w:rFonts w:ascii="Times New Roman" w:hAnsi="Times New Roman"/>
        </w:rPr>
        <w:t>DigTrans(i,t) = ln[ 1 + Den(i,t) ]</w:t>
      </w:r>
    </w:p>
    <w:p>
      <w:pPr>
        <w:ind w:firstLine="480"/>
        <w:jc w:val="both"/>
      </w:pPr>
      <w:r>
        <w:rPr>
          <w:rFonts w:ascii="宋体" w:eastAsia="宋体" w:hAnsi="宋体" w:cs="宋体" w:hint="eastAsia"/>
          <w:lang w:eastAsia="zh-CN"/>
        </w:rPr>
        <w:t>取自然对数以压缩右偏分布、降低极端值影响。</w:t>
      </w:r>
    </w:p>
    <w:p>
      <w:pPr>
        <w:ind w:firstLine="480"/>
        <w:jc w:val="both"/>
      </w:pPr>
      <w:r>
        <w:rPr>
          <w:rFonts w:ascii="宋体" w:eastAsia="宋体" w:hAnsi="宋体" w:cs="宋体" w:hint="eastAsia"/>
          <w:b/>
          <w:lang w:eastAsia="zh-CN"/>
        </w:rPr>
        <w:t>式（4）熵权法替代测度</w:t>
      </w:r>
      <w:r>
        <w:rPr>
          <w:rFonts w:ascii="宋体" w:eastAsia="宋体" w:hAnsi="宋体" w:cs="宋体" w:hint="eastAsia"/>
          <w:lang w:eastAsia="zh-CN"/>
        </w:rPr>
        <w:t>：先对五维密度做极差标准化，按标准熵权法计算各维度信息熵</w:t>
      </w:r>
      <w:r>
        <w:t xml:space="preserve"> e(d) </w:t>
      </w:r>
      <w:r>
        <w:rPr>
          <w:rFonts w:ascii="宋体" w:eastAsia="宋体" w:hAnsi="宋体" w:cs="宋体" w:hint="eastAsia"/>
          <w:lang w:eastAsia="zh-CN"/>
        </w:rPr>
        <w:t>与权重</w:t>
      </w:r>
      <w:r>
        <w:t xml:space="preserve"> w(d) = [1-e(d)] ÷ Σ[1-e(d)]</w:t>
      </w:r>
      <w:r>
        <w:rPr>
          <w:rFonts w:ascii="宋体" w:eastAsia="宋体" w:hAnsi="宋体" w:cs="宋体" w:hint="eastAsia"/>
          <w:lang w:eastAsia="zh-CN"/>
        </w:rPr>
        <w:t>，再取</w:t>
      </w:r>
      <w:r>
        <w:t xml:space="preserve"> DigTrans_ew = ln[1 + Σ w(d)·Den(d)]</w:t>
      </w:r>
      <w:r>
        <w:rPr>
          <w:rFonts w:ascii="宋体" w:eastAsia="宋体" w:hAnsi="宋体" w:cs="宋体" w:hint="eastAsia"/>
          <w:lang w:eastAsia="zh-CN"/>
        </w:rPr>
        <w:t>。</w:t>
      </w:r>
    </w:p>
    <w:p>
      <w:pPr>
        <w:ind w:firstLine="480"/>
        <w:jc w:val="both"/>
      </w:pPr>
      <w:r>
        <w:rPr>
          <w:rFonts w:ascii="宋体" w:eastAsia="宋体" w:hAnsi="宋体" w:cs="宋体" w:hint="eastAsia"/>
          <w:b/>
          <w:lang w:eastAsia="zh-CN"/>
        </w:rPr>
        <w:t>式（5）因子得分替代测度</w:t>
      </w:r>
      <w:r>
        <w:rPr>
          <w:rFonts w:ascii="宋体" w:eastAsia="宋体" w:hAnsi="宋体" w:cs="宋体" w:hint="eastAsia"/>
          <w:lang w:eastAsia="zh-CN"/>
        </w:rPr>
        <w:t>：将五维密度标准化后做主成分分析，取第一主成分得分作为</w:t>
      </w:r>
      <w:r>
        <w:t xml:space="preserve"> DigTrans_pca</w:t>
      </w:r>
      <w:r>
        <w:rPr>
          <w:rFonts w:ascii="宋体" w:eastAsia="宋体" w:hAnsi="宋体" w:cs="宋体" w:hint="eastAsia"/>
          <w:lang w:eastAsia="zh-CN"/>
        </w:rPr>
        <w:t>。</w:t>
      </w:r>
    </w:p>
    <w:p>
      <w:pPr>
        <w:ind w:firstLine="480"/>
        <w:jc w:val="both"/>
      </w:pPr>
      <w:r>
        <w:rPr>
          <w:rFonts w:ascii="宋体" w:eastAsia="宋体" w:hAnsi="宋体" w:cs="宋体" w:hint="eastAsia"/>
          <w:lang w:eastAsia="zh-CN"/>
        </w:rPr>
        <w:t>按熵权法计算，五个维度的权重分别为人工智能技术</w:t>
      </w:r>
      <w:r>
        <w:t xml:space="preserve"> 0.198</w:t>
      </w:r>
      <w:r>
        <w:rPr>
          <w:rFonts w:ascii="宋体" w:eastAsia="宋体" w:hAnsi="宋体" w:cs="宋体" w:hint="eastAsia"/>
          <w:lang w:eastAsia="zh-CN"/>
        </w:rPr>
        <w:t>、大数据技术</w:t>
      </w:r>
      <w:r>
        <w:t xml:space="preserve"> 0.164</w:t>
      </w:r>
      <w:r>
        <w:rPr>
          <w:rFonts w:ascii="宋体" w:eastAsia="宋体" w:hAnsi="宋体" w:cs="宋体" w:hint="eastAsia"/>
          <w:lang w:eastAsia="zh-CN"/>
        </w:rPr>
        <w:t>、云计算技术</w:t>
      </w:r>
      <w:r>
        <w:t xml:space="preserve"> 0.218</w:t>
      </w:r>
      <w:r>
        <w:rPr>
          <w:rFonts w:ascii="宋体" w:eastAsia="宋体" w:hAnsi="宋体" w:cs="宋体" w:hint="eastAsia"/>
          <w:lang w:eastAsia="zh-CN"/>
        </w:rPr>
        <w:t>、区块链技术</w:t>
      </w:r>
      <w:r>
        <w:t xml:space="preserve"> 0.228</w:t>
      </w:r>
      <w:r>
        <w:rPr>
          <w:rFonts w:ascii="宋体" w:eastAsia="宋体" w:hAnsi="宋体" w:cs="宋体" w:hint="eastAsia"/>
          <w:lang w:eastAsia="zh-CN"/>
        </w:rPr>
        <w:t>、数字技术应用</w:t>
      </w:r>
      <w:r>
        <w:t xml:space="preserve"> 0.193</w:t>
      </w:r>
      <w:r>
        <w:rPr>
          <w:rFonts w:ascii="宋体" w:eastAsia="宋体" w:hAnsi="宋体" w:cs="宋体" w:hint="eastAsia"/>
          <w:lang w:eastAsia="zh-CN"/>
        </w:rPr>
        <w:t>，各维度贡献较为均衡，说明词典未过度依赖单一维度。</w:t>
      </w:r>
    </w:p>
    <w:p>
      <w:pPr>
        <w:pStyle w:val="Heading3"/>
      </w:pPr>
      <w:r>
        <w:rPr>
          <w:rFonts w:ascii="宋体" w:hAnsi="宋体" w:eastAsia="宋体" w:cs="宋体" w:hint="eastAsia"/>
          <w:b/>
          <w:color w:val="000000"/>
          <w:sz w:val="24"/>
          <w:lang w:eastAsia="zh-CN"/>
        </w:rPr>
        <w:t>（四）变量定义</w:t>
      </w:r>
    </w:p>
    <w:p>
      <w:pPr>
        <w:ind w:firstLine="480"/>
        <w:jc w:val="both"/>
      </w:pPr>
      <w:r>
        <w:rPr>
          <w:rFonts w:ascii="宋体" w:eastAsia="宋体" w:hAnsi="宋体" w:cs="宋体" w:hint="eastAsia"/>
          <w:lang w:eastAsia="zh-CN"/>
        </w:rPr>
        <w:t>被解释变量为总资产收益率</w:t>
      </w:r>
      <w:r>
        <w:t xml:space="preserve"> ROA</w:t>
      </w:r>
      <w:r>
        <w:rPr>
          <w:rFonts w:ascii="宋体" w:eastAsia="宋体" w:hAnsi="宋体" w:cs="宋体" w:hint="eastAsia"/>
          <w:lang w:eastAsia="zh-CN"/>
        </w:rPr>
        <w:t>（</w:t>
      </w:r>
      <w:r>
        <w:t>%</w:t>
      </w:r>
      <w:r>
        <w:rPr>
          <w:rFonts w:ascii="宋体" w:eastAsia="宋体" w:hAnsi="宋体" w:cs="宋体" w:hint="eastAsia"/>
          <w:lang w:eastAsia="zh-CN"/>
        </w:rPr>
        <w:t>），稳健性检验中使用企业价值</w:t>
      </w:r>
      <w:r>
        <w:t xml:space="preserve"> TobinQ </w:t>
      </w:r>
      <w:r>
        <w:rPr>
          <w:rFonts w:ascii="宋体" w:eastAsia="宋体" w:hAnsi="宋体" w:cs="宋体" w:hint="eastAsia"/>
          <w:lang w:eastAsia="zh-CN"/>
        </w:rPr>
        <w:t>与全要素生产率</w:t>
      </w:r>
      <w:r>
        <w:t xml:space="preserve"> TFP_LP</w:t>
      </w:r>
      <w:r>
        <w:rPr>
          <w:rFonts w:ascii="宋体" w:eastAsia="宋体" w:hAnsi="宋体" w:cs="宋体" w:hint="eastAsia"/>
          <w:lang w:eastAsia="zh-CN"/>
        </w:rPr>
        <w:t>。核心解释变量为</w:t>
      </w:r>
      <w:r>
        <w:t xml:space="preserve"> DigTrans</w:t>
      </w:r>
      <w:r>
        <w:rPr>
          <w:rFonts w:ascii="宋体" w:eastAsia="宋体" w:hAnsi="宋体" w:cs="宋体" w:hint="eastAsia"/>
          <w:lang w:eastAsia="zh-CN"/>
        </w:rPr>
        <w:t>。控制变量参照已有研究的通行做法，包含企业规模、资产负债率、成长性、上市年限、股权集中度、独立董事比例、资本密集度。全部连续变量在上下</w:t>
      </w:r>
      <w:r>
        <w:t xml:space="preserve"> 1% </w:t>
      </w:r>
      <w:r>
        <w:rPr>
          <w:rFonts w:ascii="宋体" w:eastAsia="宋体" w:hAnsi="宋体" w:cs="宋体" w:hint="eastAsia"/>
          <w:lang w:eastAsia="zh-CN"/>
        </w:rPr>
        <w:t>分位做缩尾处理。变量定义见表</w:t>
      </w:r>
      <w:r>
        <w:t xml:space="preserve"> 1</w:t>
      </w:r>
      <w:r>
        <w:rPr>
          <w:rFonts w:ascii="宋体" w:eastAsia="宋体" w:hAnsi="宋体" w:cs="宋体" w:hint="eastAsia"/>
          <w:lang w:eastAsia="zh-CN"/>
        </w:rPr>
        <w:t>。</w:t>
      </w:r>
    </w:p>
    <w:p>
      <w:pPr>
        <w:ind w:firstLine="0"/>
        <w:jc w:val="center"/>
      </w:pPr>
      <w:r>
        <w:rPr>
          <w:rFonts w:ascii="宋体" w:hAnsi="宋体" w:eastAsia="宋体" w:cs="宋体" w:hint="eastAsia"/>
          <w:b/>
          <w:sz w:val="21"/>
          <w:lang w:eastAsia="zh-CN"/>
        </w:rPr>
        <w:t>表</w:t>
      </w:r>
      <w:r>
        <w:rPr>
          <w:rFonts w:ascii="黑体" w:hAnsi="黑体"/>
          <w:b/>
          <w:sz w:val="21"/>
        </w:rPr>
        <w:t xml:space="preserve"> 1</w:t>
      </w:r>
      <w:r>
        <w:rPr>
          <w:rFonts w:ascii="宋体" w:hAnsi="宋体" w:eastAsia="宋体" w:cs="宋体" w:hint="eastAsia"/>
          <w:b/>
          <w:sz w:val="21"/>
          <w:lang w:eastAsia="zh-CN"/>
        </w:rPr>
        <w:t xml:space="preserve">　变量定义表</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变量符号</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变量名称</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度量方式</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数据来源</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企业数字化转型程度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ln(1+</w:t>
            </w:r>
            <w:r>
              <w:rPr>
                <w:sz w:val="21"/>
              </w:rPr>
              <w:t xml:space="preserve"> </w:t>
            </w:r>
            <w:r>
              <w:rPr>
                <w:sz w:val="21"/>
              </w:rPr>
              <w:t>五维关键词加权密度</w:t>
            </w:r>
            <w:r>
              <w:rPr>
                <w:sz w:val="21"/>
              </w:rPr>
              <w:t xml:space="preserve"> </w:t>
            </w:r>
            <w:r>
              <w:rPr>
                <w:sz w:val="21"/>
              </w:rPr>
              <w:t>)</w:t>
            </w:r>
            <w:r>
              <w:rPr>
                <w:sz w:val="21"/>
              </w:rPr>
              <w:t xml:space="preserve"> </w:t>
            </w:r>
            <w:r>
              <w:rPr>
                <w:sz w:val="21"/>
              </w:rPr>
              <w:t>，文本挖掘主指标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年报</w:t>
            </w:r>
            <w:r>
              <w:rPr>
                <w:sz w:val="21"/>
              </w:rPr>
              <w:t xml:space="preserve"> </w:t>
            </w:r>
            <w:r>
              <w:rPr>
                <w:sz w:val="21"/>
              </w:rPr>
              <w:t xml:space="preserve"> MD&amp;A</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DigTrans_raw</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关键词词频（原值）</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五维关键词加权计数（个）</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年报</w:t>
            </w:r>
            <w:r>
              <w:rPr>
                <w:sz w:val="21"/>
              </w:rPr>
              <w:t xml:space="preserve"> </w:t>
            </w:r>
            <w:r>
              <w:rPr>
                <w:sz w:val="21"/>
              </w:rPr>
              <w:t xml:space="preserve"> MD&amp;A</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DigUnion</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数字化转型倾向</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DigTrans </w:t>
            </w:r>
            <w:r>
              <w:rPr>
                <w:sz w:val="21"/>
              </w:rPr>
              <w:t xml:space="preserve"> </w:t>
            </w:r>
            <w:r>
              <w:rPr>
                <w:sz w:val="21"/>
              </w:rPr>
              <w:t>高于当年行业中位数取</w:t>
            </w:r>
            <w:r>
              <w:rPr>
                <w:sz w:val="21"/>
              </w:rPr>
              <w:t xml:space="preserve"> </w:t>
            </w:r>
            <w:r>
              <w:rPr>
                <w:sz w:val="21"/>
              </w:rPr>
              <w:t xml:space="preserve"> 1</w:t>
            </w:r>
            <w:r>
              <w:rPr>
                <w:sz w:val="21"/>
              </w:rPr>
              <w:t xml:space="preserve"> </w:t>
            </w:r>
            <w:r>
              <w:rPr>
                <w:sz w:val="21"/>
              </w:rPr>
              <w:t>，否则</w:t>
            </w:r>
            <w:r>
              <w:rPr>
                <w:sz w:val="21"/>
              </w:rPr>
              <w:t xml:space="preserve"> </w:t>
            </w:r>
            <w:r>
              <w:rPr>
                <w:sz w:val="21"/>
              </w:rPr>
              <w:t xml:space="preserve"> 0</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作者计算</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ROA</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总资产收益率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净利润</w:t>
            </w:r>
            <w:r>
              <w:rPr>
                <w:sz w:val="21"/>
              </w:rPr>
              <w:t xml:space="preserve"> </w:t>
            </w:r>
            <w:r>
              <w:rPr>
                <w:sz w:val="21"/>
              </w:rPr>
              <w:t xml:space="preserve"> / </w:t>
            </w:r>
            <w:r>
              <w:rPr>
                <w:sz w:val="21"/>
              </w:rPr>
              <w:t xml:space="preserve"> </w:t>
            </w:r>
            <w:r>
              <w:rPr>
                <w:sz w:val="21"/>
              </w:rPr>
              <w:t>总资产</w:t>
            </w:r>
            <w:r>
              <w:rPr>
                <w:sz w:val="21"/>
              </w:rPr>
              <w:t xml:space="preserve"> </w:t>
            </w:r>
            <w:r>
              <w:rPr>
                <w:sz w:val="21"/>
              </w:rPr>
              <w:t xml:space="preserve"> × 100</w:t>
            </w:r>
            <w:r>
              <w:rPr>
                <w:sz w:val="21"/>
              </w:rPr>
              <w:t xml:space="preserve"> </w:t>
            </w:r>
            <w:r>
              <w:rPr>
                <w:sz w:val="21"/>
              </w:rPr>
              <w:t>（</w:t>
            </w:r>
            <w:r>
              <w:rPr>
                <w:sz w:val="21"/>
              </w:rPr>
              <w:t xml:space="preserve"> </w:t>
            </w:r>
            <w:r>
              <w:rPr>
                <w:sz w:val="21"/>
              </w:rPr>
              <w:t>%</w:t>
            </w:r>
            <w:r>
              <w:rPr>
                <w:sz w:val="21"/>
              </w:rPr>
              <w:t xml:space="preserve"> </w:t>
            </w:r>
            <w:r>
              <w:rPr>
                <w:sz w:val="21"/>
              </w:rPr>
              <w:t>）</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TobinQ</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企业价值</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市值</w:t>
            </w:r>
            <w:r>
              <w:rPr>
                <w:sz w:val="21"/>
              </w:rPr>
              <w:t xml:space="preserve"> </w:t>
            </w:r>
            <w:r>
              <w:rPr>
                <w:sz w:val="21"/>
              </w:rPr>
              <w:t xml:space="preserve"> / </w:t>
            </w:r>
            <w:r>
              <w:rPr>
                <w:sz w:val="21"/>
              </w:rPr>
              <w:t xml:space="preserve"> </w:t>
            </w:r>
            <w:r>
              <w:rPr>
                <w:sz w:val="21"/>
              </w:rPr>
              <w:t>总资产</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TFP_LP</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全要素生产率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LP </w:t>
            </w:r>
            <w:r>
              <w:rPr>
                <w:sz w:val="21"/>
              </w:rPr>
              <w:t xml:space="preserve"> </w:t>
            </w:r>
            <w:r>
              <w:rPr>
                <w:sz w:val="21"/>
              </w:rPr>
              <w:t>法估计（替代被解释变量）</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作者计算</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Size</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企业规模</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ln(</w:t>
            </w:r>
            <w:r>
              <w:rPr>
                <w:sz w:val="21"/>
              </w:rPr>
              <w:t xml:space="preserve"> </w:t>
            </w:r>
            <w:r>
              <w:rPr>
                <w:sz w:val="21"/>
              </w:rPr>
              <w:t>总资产</w:t>
            </w:r>
            <w:r>
              <w:rPr>
                <w:sz w:val="21"/>
              </w:rPr>
              <w:t xml:space="preserve"> </w:t>
            </w:r>
            <w:r>
              <w:rPr>
                <w:sz w:val="21"/>
              </w:rPr>
              <w:t>+1)</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Lev</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资产负债率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总负债</w:t>
            </w:r>
            <w:r>
              <w:rPr>
                <w:sz w:val="21"/>
              </w:rPr>
              <w:t xml:space="preserve"> </w:t>
            </w:r>
            <w:r>
              <w:rPr>
                <w:sz w:val="21"/>
              </w:rPr>
              <w:t xml:space="preserve"> / </w:t>
            </w:r>
            <w:r>
              <w:rPr>
                <w:sz w:val="21"/>
              </w:rPr>
              <w:t xml:space="preserve"> </w:t>
            </w:r>
            <w:r>
              <w:rPr>
                <w:sz w:val="21"/>
              </w:rPr>
              <w:t>总资产</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Growth</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成长性</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营业收入增长率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Age</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上市年限</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ln(</w:t>
            </w:r>
            <w:r>
              <w:rPr>
                <w:sz w:val="21"/>
              </w:rPr>
              <w:t xml:space="preserve"> </w:t>
            </w:r>
            <w:r>
              <w:rPr>
                <w:sz w:val="21"/>
              </w:rPr>
              <w:t>当年年份</w:t>
            </w:r>
            <w:r>
              <w:rPr>
                <w:sz w:val="21"/>
              </w:rPr>
              <w:t xml:space="preserve"> </w:t>
            </w:r>
            <w:r>
              <w:rPr>
                <w:sz w:val="21"/>
              </w:rPr>
              <w:t>−</w:t>
            </w:r>
            <w:r>
              <w:rPr>
                <w:sz w:val="21"/>
              </w:rPr>
              <w:t xml:space="preserve"> </w:t>
            </w:r>
            <w:r>
              <w:rPr>
                <w:sz w:val="21"/>
              </w:rPr>
              <w:t>上市年份</w:t>
            </w:r>
            <w:r>
              <w:rPr>
                <w:sz w:val="21"/>
              </w:rPr>
              <w:t xml:space="preserve"> </w:t>
            </w:r>
            <w:r>
              <w:rPr>
                <w:sz w:val="21"/>
              </w:rPr>
              <w:t>+1)</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First</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股权集中度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第一大股东持股比例</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Indep</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独立董事比例</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独立董事人数</w:t>
            </w:r>
            <w:r>
              <w:rPr>
                <w:sz w:val="21"/>
              </w:rPr>
              <w:t xml:space="preserve"> </w:t>
            </w:r>
            <w:r>
              <w:rPr>
                <w:sz w:val="21"/>
              </w:rPr>
              <w:t xml:space="preserve"> / </w:t>
            </w:r>
            <w:r>
              <w:rPr>
                <w:sz w:val="21"/>
              </w:rPr>
              <w:t xml:space="preserve"> </w:t>
            </w:r>
            <w:r>
              <w:rPr>
                <w:sz w:val="21"/>
              </w:rPr>
              <w:t>董事会人数</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SOE</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产权性质</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国有控股取</w:t>
            </w:r>
            <w:r>
              <w:rPr>
                <w:sz w:val="21"/>
              </w:rPr>
              <w:t xml:space="preserve"> </w:t>
            </w:r>
            <w:r>
              <w:rPr>
                <w:sz w:val="21"/>
              </w:rPr>
              <w:t xml:space="preserve"> 1</w:t>
            </w:r>
            <w:r>
              <w:rPr>
                <w:sz w:val="21"/>
              </w:rPr>
              <w:t xml:space="preserve"> </w:t>
            </w:r>
            <w:r>
              <w:rPr>
                <w:sz w:val="21"/>
              </w:rPr>
              <w:t>，否则</w:t>
            </w:r>
            <w:r>
              <w:rPr>
                <w:sz w:val="21"/>
              </w:rPr>
              <w:t xml:space="preserve"> </w:t>
            </w:r>
            <w:r>
              <w:rPr>
                <w:sz w:val="21"/>
              </w:rPr>
              <w:t xml:space="preserve"> 0</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r>
        <w:tc>
          <w:tcPr>
            <w:tcW w:type="dxa" w:w="216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Capital</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资本密集度</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总资产</w:t>
            </w:r>
            <w:r>
              <w:rPr>
                <w:sz w:val="21"/>
              </w:rPr>
              <w:t xml:space="preserve"> </w:t>
            </w:r>
            <w:r>
              <w:rPr>
                <w:sz w:val="21"/>
              </w:rPr>
              <w:t xml:space="preserve"> / </w:t>
            </w:r>
            <w:r>
              <w:rPr>
                <w:sz w:val="21"/>
              </w:rPr>
              <w:t xml:space="preserve"> </w:t>
            </w:r>
            <w:r>
              <w:rPr>
                <w:sz w:val="21"/>
              </w:rPr>
              <w:t>营业收入</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r>
    </w:tbl>
    <w:p>
      <w:pPr>
        <w:pStyle w:val="Heading3"/>
      </w:pPr>
      <w:r>
        <w:rPr>
          <w:rFonts w:ascii="宋体" w:hAnsi="宋体" w:eastAsia="宋体" w:cs="宋体" w:hint="eastAsia"/>
          <w:b/>
          <w:color w:val="000000"/>
          <w:sz w:val="24"/>
          <w:lang w:eastAsia="zh-CN"/>
        </w:rPr>
        <w:t>（五）计量模型设定与检验策略</w:t>
      </w:r>
    </w:p>
    <w:p>
      <w:pPr>
        <w:ind w:firstLine="480"/>
        <w:jc w:val="both"/>
      </w:pPr>
      <w:r>
        <w:rPr>
          <w:rFonts w:ascii="宋体" w:eastAsia="宋体" w:hAnsi="宋体" w:cs="宋体" w:hint="eastAsia"/>
          <w:lang w:eastAsia="zh-CN"/>
        </w:rPr>
        <w:t>基准模型采用双向固定效应设定：</w:t>
      </w:r>
    </w:p>
    <w:p>
      <w:pPr>
        <w:ind w:firstLine="0"/>
        <w:jc w:val="center"/>
      </w:pPr>
      <w:r>
        <w:rPr>
          <w:rFonts w:ascii="Times New Roman" w:hAnsi="Times New Roman"/>
        </w:rPr>
        <w:t>ROA(i,t) = α + β·DigTrans(i,t) + γ′·Controls(i,t) + μ(i) + λ(t) + ε(i,t)</w:t>
      </w:r>
      <w:r>
        <w:rPr>
          <w:rFonts w:ascii="宋体" w:hAnsi="宋体" w:eastAsia="宋体" w:cs="宋体" w:hint="eastAsia"/>
          <w:lang w:eastAsia="zh-CN"/>
        </w:rPr>
        <w:t xml:space="preserve">　　（式</w:t>
      </w:r>
      <w:r>
        <w:rPr>
          <w:rFonts w:ascii="Times New Roman" w:hAnsi="Times New Roman"/>
        </w:rPr>
        <w:t xml:space="preserve"> 6</w:t>
      </w:r>
      <w:r>
        <w:rPr>
          <w:rFonts w:ascii="宋体" w:hAnsi="宋体" w:eastAsia="宋体" w:cs="宋体" w:hint="eastAsia"/>
          <w:lang w:eastAsia="zh-CN"/>
        </w:rPr>
        <w:t>）</w:t>
      </w:r>
    </w:p>
    <w:p>
      <w:pPr>
        <w:ind w:firstLine="480"/>
        <w:jc w:val="both"/>
      </w:pPr>
      <w:r>
        <w:rPr>
          <w:rFonts w:ascii="宋体" w:eastAsia="宋体" w:hAnsi="宋体" w:cs="宋体" w:hint="eastAsia"/>
          <w:lang w:eastAsia="zh-CN"/>
        </w:rPr>
        <w:t>其中</w:t>
      </w:r>
      <w:r>
        <w:t xml:space="preserve"> μ(i) </w:t>
      </w:r>
      <w:r>
        <w:rPr>
          <w:rFonts w:ascii="宋体" w:eastAsia="宋体" w:hAnsi="宋体" w:cs="宋体" w:hint="eastAsia"/>
          <w:lang w:eastAsia="zh-CN"/>
        </w:rPr>
        <w:t>为企业固定效应，</w:t>
      </w:r>
      <w:r>
        <w:t xml:space="preserve">λ(t) </w:t>
      </w:r>
      <w:r>
        <w:rPr>
          <w:rFonts w:ascii="宋体" w:eastAsia="宋体" w:hAnsi="宋体" w:cs="宋体" w:hint="eastAsia"/>
          <w:lang w:eastAsia="zh-CN"/>
        </w:rPr>
        <w:t>为年份固定效应，标准误按企业层面聚类，以缓解同一企业跨年度观测的序列相关与异方差。系数</w:t>
      </w:r>
      <w:r>
        <w:t xml:space="preserve"> β </w:t>
      </w:r>
      <w:r>
        <w:rPr>
          <w:rFonts w:ascii="宋体" w:eastAsia="宋体" w:hAnsi="宋体" w:cs="宋体" w:hint="eastAsia"/>
          <w:lang w:eastAsia="zh-CN"/>
        </w:rPr>
        <w:t>表示企业数字化转型程度提高</w:t>
      </w:r>
      <w:r>
        <w:t xml:space="preserve"> 1 </w:t>
      </w:r>
      <w:r>
        <w:rPr>
          <w:rFonts w:ascii="宋体" w:eastAsia="宋体" w:hAnsi="宋体" w:cs="宋体" w:hint="eastAsia"/>
          <w:lang w:eastAsia="zh-CN"/>
        </w:rPr>
        <w:t>个单位所带来的总资产收益率变化（百分点）。</w:t>
      </w:r>
    </w:p>
    <w:p>
      <w:pPr>
        <w:ind w:firstLine="480"/>
        <w:jc w:val="both"/>
      </w:pPr>
      <w:r>
        <w:rPr>
          <w:rFonts w:ascii="宋体" w:eastAsia="宋体" w:hAnsi="宋体" w:cs="宋体" w:hint="eastAsia"/>
          <w:lang w:eastAsia="zh-CN"/>
        </w:rPr>
        <w:t>检验策略按四层展开：第一层为测度质量检验，包括内部一致性信度、分半信度、结构效度、效标效度与区分效度；第二层为基准回归与稳健性检验（替换被解释变量、替换核心解释变量）；第三层为异质性分析（产权性质、行业技术属性）并辅以交互项检验；第四层为内生性与共同冲击处理（行业</w:t>
      </w:r>
      <w:r>
        <w:t>×</w:t>
      </w:r>
      <w:r>
        <w:rPr>
          <w:rFonts w:ascii="宋体" w:eastAsia="宋体" w:hAnsi="宋体" w:cs="宋体" w:hint="eastAsia"/>
          <w:lang w:eastAsia="zh-CN"/>
        </w:rPr>
        <w:t>年度联合固定效应、未来一期因变量、剔除外部冲击年份）。</w:t>
      </w:r>
    </w:p>
    <w:p>
      <w:bookmarkStart w:id="2" w:name="s2"/>
      <w:pPr>
        <w:pStyle w:val="Heading2"/>
      </w:pPr>
      <w:bookmarkEnd w:id="2"/>
      <w:r>
        <w:rPr>
          <w:rFonts w:ascii="宋体" w:hAnsi="宋体" w:eastAsia="宋体" w:cs="宋体" w:hint="eastAsia"/>
          <w:b/>
          <w:color w:val="000000"/>
          <w:sz w:val="28"/>
          <w:lang w:eastAsia="zh-CN"/>
        </w:rPr>
        <w:t>三、实证分析</w:t>
      </w:r>
    </w:p>
    <w:p>
      <w:pPr>
        <w:ind w:firstLine="480"/>
        <w:jc w:val="both"/>
      </w:pPr>
      <w:r>
        <w:rPr>
          <w:rFonts w:ascii="宋体" w:eastAsia="宋体" w:hAnsi="宋体" w:cs="宋体" w:hint="eastAsia"/>
          <w:lang w:eastAsia="zh-CN"/>
        </w:rPr>
        <w:t>本部分依次报告描述性统计、信度与效度检验、相关性分析、基准回归、稳健性检验、异质性分析、内生性处理与补充的分类任务，并讨论各项结果的经济含义。</w:t>
      </w:r>
    </w:p>
    <w:p>
      <w:pPr>
        <w:pStyle w:val="Heading3"/>
      </w:pPr>
      <w:r>
        <w:rPr>
          <w:rFonts w:ascii="宋体" w:hAnsi="宋体" w:eastAsia="宋体" w:cs="宋体" w:hint="eastAsia"/>
          <w:b/>
          <w:color w:val="000000"/>
          <w:sz w:val="24"/>
          <w:lang w:eastAsia="zh-CN"/>
        </w:rPr>
        <w:t>（一）描述性统计</w:t>
      </w:r>
    </w:p>
    <w:p>
      <w:pPr>
        <w:ind w:firstLine="480"/>
        <w:jc w:val="both"/>
      </w:pPr>
      <w:r>
        <w:rPr>
          <w:rFonts w:ascii="宋体" w:eastAsia="宋体" w:hAnsi="宋体" w:cs="宋体" w:hint="eastAsia"/>
          <w:lang w:eastAsia="zh-CN"/>
        </w:rPr>
        <w:t>表</w:t>
      </w:r>
      <w:r>
        <w:t xml:space="preserve"> 2 </w:t>
      </w:r>
      <w:r>
        <w:rPr>
          <w:rFonts w:ascii="宋体" w:eastAsia="宋体" w:hAnsi="宋体" w:cs="宋体" w:hint="eastAsia"/>
          <w:lang w:eastAsia="zh-CN"/>
        </w:rPr>
        <w:t>报告主要变量的描述性统计结果。</w:t>
      </w:r>
      <w:r>
        <w:t xml:space="preserve">DigTrans </w:t>
      </w:r>
      <w:r>
        <w:rPr>
          <w:rFonts w:ascii="宋体" w:eastAsia="宋体" w:hAnsi="宋体" w:cs="宋体" w:hint="eastAsia"/>
          <w:lang w:eastAsia="zh-CN"/>
        </w:rPr>
        <w:t>的均值为</w:t>
      </w:r>
      <w:r>
        <w:t xml:space="preserve"> 2.918</w:t>
      </w:r>
      <w:r>
        <w:rPr>
          <w:rFonts w:ascii="宋体" w:eastAsia="宋体" w:hAnsi="宋体" w:cs="宋体" w:hint="eastAsia"/>
          <w:lang w:eastAsia="zh-CN"/>
        </w:rPr>
        <w:t>、标准差为</w:t>
      </w:r>
      <w:r>
        <w:t xml:space="preserve"> 0.264</w:t>
      </w:r>
      <w:r>
        <w:rPr>
          <w:rFonts w:ascii="宋体" w:eastAsia="宋体" w:hAnsi="宋体" w:cs="宋体" w:hint="eastAsia"/>
          <w:lang w:eastAsia="zh-CN"/>
        </w:rPr>
        <w:t>、取值范围为</w:t>
      </w:r>
      <w:r>
        <w:t xml:space="preserve"> 2.238—3.278</w:t>
      </w:r>
      <w:r>
        <w:rPr>
          <w:rFonts w:ascii="宋体" w:eastAsia="宋体" w:hAnsi="宋体" w:cs="宋体" w:hint="eastAsia"/>
          <w:lang w:eastAsia="zh-CN"/>
        </w:rPr>
        <w:t>、偏度为</w:t>
      </w:r>
      <w:r>
        <w:t xml:space="preserve"> −0.431</w:t>
      </w:r>
      <w:r>
        <w:rPr>
          <w:rFonts w:ascii="宋体" w:eastAsia="宋体" w:hAnsi="宋体" w:cs="宋体" w:hint="eastAsia"/>
          <w:lang w:eastAsia="zh-CN"/>
        </w:rPr>
        <w:t>，分布近似对称，说明对数变换有效压缩了词频的长尾。关键词原始词频均值为</w:t>
      </w:r>
      <w:r>
        <w:t xml:space="preserve"> 81.24 </w:t>
      </w:r>
      <w:r>
        <w:rPr>
          <w:rFonts w:ascii="宋体" w:eastAsia="宋体" w:hAnsi="宋体" w:cs="宋体" w:hint="eastAsia"/>
          <w:lang w:eastAsia="zh-CN"/>
        </w:rPr>
        <w:t>个、标准差为</w:t>
      </w:r>
      <w:r>
        <w:t xml:space="preserve"> 22.14</w:t>
      </w:r>
      <w:r>
        <w:rPr>
          <w:rFonts w:ascii="宋体" w:eastAsia="宋体" w:hAnsi="宋体" w:cs="宋体" w:hint="eastAsia"/>
          <w:lang w:eastAsia="zh-CN"/>
        </w:rPr>
        <w:t>，企业间差异明显，说明数字化转型在制造业内部并不均衡。</w:t>
      </w:r>
      <w:r>
        <w:t xml:space="preserve">ROA </w:t>
      </w:r>
      <w:r>
        <w:rPr>
          <w:rFonts w:ascii="宋体" w:eastAsia="宋体" w:hAnsi="宋体" w:cs="宋体" w:hint="eastAsia"/>
          <w:lang w:eastAsia="zh-CN"/>
        </w:rPr>
        <w:t>均值为</w:t>
      </w:r>
      <w:r>
        <w:t xml:space="preserve"> 6.898%</w:t>
      </w:r>
      <w:r>
        <w:rPr>
          <w:rFonts w:ascii="宋体" w:eastAsia="宋体" w:hAnsi="宋体" w:cs="宋体" w:hint="eastAsia"/>
          <w:lang w:eastAsia="zh-CN"/>
        </w:rPr>
        <w:t>、标准差为</w:t>
      </w:r>
      <w:r>
        <w:t xml:space="preserve"> 3.341 </w:t>
      </w:r>
      <w:r>
        <w:rPr>
          <w:rFonts w:ascii="宋体" w:eastAsia="宋体" w:hAnsi="宋体" w:cs="宋体" w:hint="eastAsia"/>
          <w:lang w:eastAsia="zh-CN"/>
        </w:rPr>
        <w:t>个百分点；</w:t>
      </w:r>
      <w:r>
        <w:t xml:space="preserve">TobinQ </w:t>
      </w:r>
      <w:r>
        <w:rPr>
          <w:rFonts w:ascii="宋体" w:eastAsia="宋体" w:hAnsi="宋体" w:cs="宋体" w:hint="eastAsia"/>
          <w:lang w:eastAsia="zh-CN"/>
        </w:rPr>
        <w:t>均值为</w:t>
      </w:r>
      <w:r>
        <w:t xml:space="preserve"> 3.171</w:t>
      </w:r>
      <w:r>
        <w:rPr>
          <w:rFonts w:ascii="宋体" w:eastAsia="宋体" w:hAnsi="宋体" w:cs="宋体" w:hint="eastAsia"/>
          <w:lang w:eastAsia="zh-CN"/>
        </w:rPr>
        <w:t>；控制变量中，资产负债率均值为</w:t>
      </w:r>
      <w:r>
        <w:t xml:space="preserve"> 0.413</w:t>
      </w:r>
      <w:r>
        <w:rPr>
          <w:rFonts w:ascii="宋体" w:eastAsia="宋体" w:hAnsi="宋体" w:cs="宋体" w:hint="eastAsia"/>
          <w:lang w:eastAsia="zh-CN"/>
        </w:rPr>
        <w:t>，营业收入增长率均值为</w:t>
      </w:r>
      <w:r>
        <w:t xml:space="preserve"> 0.086</w:t>
      </w:r>
      <w:r>
        <w:rPr>
          <w:rFonts w:ascii="宋体" w:eastAsia="宋体" w:hAnsi="宋体" w:cs="宋体" w:hint="eastAsia"/>
          <w:lang w:eastAsia="zh-CN"/>
        </w:rPr>
        <w:t>，第一大股东持股比例均值为</w:t>
      </w:r>
      <w:r>
        <w:t xml:space="preserve"> 0.326</w:t>
      </w:r>
      <w:r>
        <w:rPr>
          <w:rFonts w:ascii="宋体" w:eastAsia="宋体" w:hAnsi="宋体" w:cs="宋体" w:hint="eastAsia"/>
          <w:lang w:eastAsia="zh-CN"/>
        </w:rPr>
        <w:t>，独立董事比例均值为</w:t>
      </w:r>
      <w:r>
        <w:t xml:space="preserve"> 0.375</w:t>
      </w:r>
      <w:r>
        <w:rPr>
          <w:rFonts w:ascii="宋体" w:eastAsia="宋体" w:hAnsi="宋体" w:cs="宋体" w:hint="eastAsia"/>
          <w:lang w:eastAsia="zh-CN"/>
        </w:rPr>
        <w:t>，与制造业上市公司的总体特征基本一致。</w:t>
      </w:r>
    </w:p>
    <w:p>
      <w:pPr>
        <w:ind w:firstLine="0"/>
        <w:jc w:val="center"/>
      </w:pPr>
      <w:r>
        <w:rPr>
          <w:rFonts w:ascii="宋体" w:hAnsi="宋体" w:eastAsia="宋体" w:cs="宋体" w:hint="eastAsia"/>
          <w:b/>
          <w:sz w:val="21"/>
          <w:lang w:eastAsia="zh-CN"/>
        </w:rPr>
        <w:t>表</w:t>
      </w:r>
      <w:r>
        <w:rPr>
          <w:rFonts w:ascii="黑体" w:hAnsi="黑体"/>
          <w:b/>
          <w:sz w:val="21"/>
        </w:rPr>
        <w:t xml:space="preserve"> 2</w:t>
      </w:r>
      <w:r>
        <w:rPr>
          <w:rFonts w:ascii="宋体" w:hAnsi="宋体" w:eastAsia="宋体" w:cs="宋体" w:hint="eastAsia"/>
          <w:b/>
          <w:sz w:val="21"/>
          <w:lang w:eastAsia="zh-CN"/>
        </w:rPr>
        <w:t xml:space="preserve">　主要变量描述性统计</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观测数</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均值</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标准差</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最小值</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中位数</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最大值</w:t>
            </w:r>
          </w:p>
        </w:tc>
        <w:tc>
          <w:tcPr>
            <w:tcW w:type="dxa" w:w="10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偏度</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2.918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0.264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2.238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2.929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3.278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−0.431</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DigTrans_raw</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81.24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22.14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26.0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79.6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138.0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0.184</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DigUnion</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0.489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0.500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0.045</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ROA</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6.898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3.341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−0.765</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6.922</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14.816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0.022</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TobinQ</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3.171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1.126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0.621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3.184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5.741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0.024</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TFP_LP</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6.654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0.160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5.904</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6.653</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7.178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0.010</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Size</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22.358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1.080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18.218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22.329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26.419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0.084</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Lev</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0.413</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0.157</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0.052</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0.416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0.771</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−0.062</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Growth</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0.086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−0.449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0.088</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0.600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−0.050</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Age</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2.550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0.582</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2.639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3.367</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−1.235</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First</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0.326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0.126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0.050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0.329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0.616</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−0.004</w:t>
            </w:r>
          </w:p>
        </w:tc>
      </w:tr>
      <w:tr>
        <w:tc>
          <w:tcPr>
            <w:tcW w:type="dxa" w:w="10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Indep</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0.375</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0.049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0.250</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0.375</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0.559</w:t>
            </w:r>
          </w:p>
        </w:tc>
        <w:tc>
          <w:tcPr>
            <w:tcW w:type="dxa" w:w="10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0.077</w:t>
            </w:r>
          </w:p>
        </w:tc>
      </w:tr>
      <w:tr>
        <w:tc>
          <w:tcPr>
            <w:tcW w:type="dxa" w:w="108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Capital</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1.893</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0.669</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0.500</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1.875</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3.524</w:t>
            </w:r>
          </w:p>
        </w:tc>
        <w:tc>
          <w:tcPr>
            <w:tcW w:type="dxa" w:w="10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0.097</w:t>
            </w:r>
          </w:p>
        </w:tc>
      </w:tr>
    </w:tbl>
    <w:p>
      <w:pPr>
        <w:ind w:firstLine="480"/>
        <w:jc w:val="both"/>
      </w:pPr>
      <w:r>
        <w:rPr>
          <w:rFonts w:ascii="宋体" w:eastAsia="宋体" w:hAnsi="宋体" w:cs="宋体" w:hint="eastAsia"/>
          <w:lang w:eastAsia="zh-CN"/>
        </w:rPr>
        <w:t>分年度看，数字化转型程度均值由</w:t>
      </w:r>
      <w:r>
        <w:t xml:space="preserve"> 2015 </w:t>
      </w:r>
      <w:r>
        <w:rPr>
          <w:rFonts w:ascii="宋体" w:eastAsia="宋体" w:hAnsi="宋体" w:cs="宋体" w:hint="eastAsia"/>
          <w:lang w:eastAsia="zh-CN"/>
        </w:rPr>
        <w:t>年的</w:t>
      </w:r>
      <w:r>
        <w:t xml:space="preserve"> 2.816 </w:t>
      </w:r>
      <w:r>
        <w:rPr>
          <w:rFonts w:ascii="宋体" w:eastAsia="宋体" w:hAnsi="宋体" w:cs="宋体" w:hint="eastAsia"/>
          <w:lang w:eastAsia="zh-CN"/>
        </w:rPr>
        <w:t>单调上升至</w:t>
      </w:r>
      <w:r>
        <w:t xml:space="preserve"> 2023 </w:t>
      </w:r>
      <w:r>
        <w:rPr>
          <w:rFonts w:ascii="宋体" w:eastAsia="宋体" w:hAnsi="宋体" w:cs="宋体" w:hint="eastAsia"/>
          <w:lang w:eastAsia="zh-CN"/>
        </w:rPr>
        <w:t>年的</w:t>
      </w:r>
      <w:r>
        <w:t xml:space="preserve"> 3.030</w:t>
      </w:r>
      <w:r>
        <w:rPr>
          <w:rFonts w:ascii="宋体" w:eastAsia="宋体" w:hAnsi="宋体" w:cs="宋体" w:hint="eastAsia"/>
          <w:lang w:eastAsia="zh-CN"/>
        </w:rPr>
        <w:t>，</w:t>
      </w:r>
      <w:r>
        <w:t xml:space="preserve">9 </w:t>
      </w:r>
      <w:r>
        <w:rPr>
          <w:rFonts w:ascii="宋体" w:eastAsia="宋体" w:hAnsi="宋体" w:cs="宋体" w:hint="eastAsia"/>
          <w:lang w:eastAsia="zh-CN"/>
        </w:rPr>
        <w:t>年累计提高</w:t>
      </w:r>
      <w:r>
        <w:t xml:space="preserve"> 7.6%</w:t>
      </w:r>
      <w:r>
        <w:rPr>
          <w:rFonts w:ascii="宋体" w:eastAsia="宋体" w:hAnsi="宋体" w:cs="宋体" w:hint="eastAsia"/>
          <w:lang w:eastAsia="zh-CN"/>
        </w:rPr>
        <w:t>，年均提高约</w:t>
      </w:r>
      <w:r>
        <w:t xml:space="preserve"> 0.027 </w:t>
      </w:r>
      <w:r>
        <w:rPr>
          <w:rFonts w:ascii="宋体" w:eastAsia="宋体" w:hAnsi="宋体" w:cs="宋体" w:hint="eastAsia"/>
          <w:lang w:eastAsia="zh-CN"/>
        </w:rPr>
        <w:t>个对数单位，与近年来制造业智能化改造持续推进的现实相符；同期</w:t>
      </w:r>
      <w:r>
        <w:t xml:space="preserve"> ROA </w:t>
      </w:r>
      <w:r>
        <w:rPr>
          <w:rFonts w:ascii="宋体" w:eastAsia="宋体" w:hAnsi="宋体" w:cs="宋体" w:hint="eastAsia"/>
          <w:lang w:eastAsia="zh-CN"/>
        </w:rPr>
        <w:t>均值在</w:t>
      </w:r>
      <w:r>
        <w:t xml:space="preserve"> 6.57%—7.23% </w:t>
      </w:r>
      <w:r>
        <w:rPr>
          <w:rFonts w:ascii="宋体" w:eastAsia="宋体" w:hAnsi="宋体" w:cs="宋体" w:hint="eastAsia"/>
          <w:lang w:eastAsia="zh-CN"/>
        </w:rPr>
        <w:t>区间波动，未呈现与数字化同步上升的简单趋势，这也提示数字化转型的绩效效应需要在控制企业异质性与年度共同冲击后才能被识别。</w:t>
      </w:r>
    </w:p>
    <w:p>
      <w:pPr>
        <w:pStyle w:val="Heading3"/>
      </w:pPr>
      <w:r>
        <w:rPr>
          <w:rFonts w:ascii="宋体" w:hAnsi="宋体" w:eastAsia="宋体" w:cs="宋体" w:hint="eastAsia"/>
          <w:b/>
          <w:color w:val="000000"/>
          <w:sz w:val="24"/>
          <w:lang w:eastAsia="zh-CN"/>
        </w:rPr>
        <w:t>（二）信度检验</w:t>
      </w:r>
    </w:p>
    <w:p>
      <w:pPr>
        <w:ind w:firstLine="480"/>
        <w:jc w:val="both"/>
      </w:pPr>
      <w:r>
        <w:rPr>
          <w:rFonts w:ascii="宋体" w:eastAsia="宋体" w:hAnsi="宋体" w:cs="宋体" w:hint="eastAsia"/>
          <w:lang w:eastAsia="zh-CN"/>
        </w:rPr>
        <w:t>信度反映测度的稳定性与内部一致性。本文将五个维度密度视为五个</w:t>
      </w:r>
      <w:r>
        <w:t>“</w:t>
      </w:r>
      <w:r>
        <w:rPr>
          <w:rFonts w:ascii="宋体" w:eastAsia="宋体" w:hAnsi="宋体" w:cs="宋体" w:hint="eastAsia"/>
          <w:lang w:eastAsia="zh-CN"/>
        </w:rPr>
        <w:t>题项</w:t>
      </w:r>
      <w:r>
        <w:t>”</w:t>
      </w:r>
      <w:r>
        <w:rPr>
          <w:rFonts w:ascii="宋体" w:eastAsia="宋体" w:hAnsi="宋体" w:cs="宋体" w:hint="eastAsia"/>
          <w:lang w:eastAsia="zh-CN"/>
        </w:rPr>
        <w:t>，检验结果见表</w:t>
      </w:r>
      <w:r>
        <w:t xml:space="preserve"> 3</w:t>
      </w:r>
      <w:r>
        <w:rPr>
          <w:rFonts w:ascii="宋体" w:eastAsia="宋体" w:hAnsi="宋体" w:cs="宋体" w:hint="eastAsia"/>
          <w:lang w:eastAsia="zh-CN"/>
        </w:rPr>
        <w:t>。</w:t>
      </w:r>
      <w:r>
        <w:t xml:space="preserve">Cronbach's α </w:t>
      </w:r>
      <w:r>
        <w:rPr>
          <w:rFonts w:ascii="宋体" w:eastAsia="宋体" w:hAnsi="宋体" w:cs="宋体" w:hint="eastAsia"/>
          <w:lang w:eastAsia="zh-CN"/>
        </w:rPr>
        <w:t>为</w:t>
      </w:r>
      <w:r>
        <w:t xml:space="preserve"> 0.714</w:t>
      </w:r>
      <w:r>
        <w:rPr>
          <w:rFonts w:ascii="宋体" w:eastAsia="宋体" w:hAnsi="宋体" w:cs="宋体" w:hint="eastAsia"/>
          <w:lang w:eastAsia="zh-CN"/>
        </w:rPr>
        <w:t>，标准化后为</w:t>
      </w:r>
      <w:r>
        <w:t xml:space="preserve"> 0.739</w:t>
      </w:r>
      <w:r>
        <w:rPr>
          <w:rFonts w:ascii="宋体" w:eastAsia="宋体" w:hAnsi="宋体" w:cs="宋体" w:hint="eastAsia"/>
          <w:lang w:eastAsia="zh-CN"/>
        </w:rPr>
        <w:t>，均达到</w:t>
      </w:r>
      <w:r>
        <w:t xml:space="preserve"> 0.7 </w:t>
      </w:r>
      <w:r>
        <w:rPr>
          <w:rFonts w:ascii="宋体" w:eastAsia="宋体" w:hAnsi="宋体" w:cs="宋体" w:hint="eastAsia"/>
          <w:lang w:eastAsia="zh-CN"/>
        </w:rPr>
        <w:t>的常用经验标准；以文档中点分半，前后两半词频密度的相关系数为</w:t>
      </w:r>
      <w:r>
        <w:t xml:space="preserve"> 0.793</w:t>
      </w:r>
      <w:r>
        <w:rPr>
          <w:rFonts w:ascii="宋体" w:eastAsia="宋体" w:hAnsi="宋体" w:cs="宋体" w:hint="eastAsia"/>
          <w:lang w:eastAsia="zh-CN"/>
        </w:rPr>
        <w:t>，经</w:t>
      </w:r>
      <w:r>
        <w:t xml:space="preserve"> Spearman-Brown </w:t>
      </w:r>
      <w:r>
        <w:rPr>
          <w:rFonts w:ascii="宋体" w:eastAsia="宋体" w:hAnsi="宋体" w:cs="宋体" w:hint="eastAsia"/>
          <w:lang w:eastAsia="zh-CN"/>
        </w:rPr>
        <w:t>校正后的分半信度为</w:t>
      </w:r>
      <w:r>
        <w:t xml:space="preserve"> 0.884</w:t>
      </w:r>
      <w:r>
        <w:rPr>
          <w:rFonts w:ascii="宋体" w:eastAsia="宋体" w:hAnsi="宋体" w:cs="宋体" w:hint="eastAsia"/>
          <w:lang w:eastAsia="zh-CN"/>
        </w:rPr>
        <w:t>，说明测度的随机测量误差较小；各维度密度与总指标的相关系数介于</w:t>
      </w:r>
      <w:r>
        <w:t xml:space="preserve"> 0.550—0.779 </w:t>
      </w:r>
      <w:r>
        <w:rPr>
          <w:rFonts w:ascii="宋体" w:eastAsia="宋体" w:hAnsi="宋体" w:cs="宋体" w:hint="eastAsia"/>
          <w:lang w:eastAsia="zh-CN"/>
        </w:rPr>
        <w:t>之间，均高于</w:t>
      </w:r>
      <w:r>
        <w:t xml:space="preserve"> 0.5 </w:t>
      </w:r>
      <w:r>
        <w:rPr>
          <w:rFonts w:ascii="宋体" w:eastAsia="宋体" w:hAnsi="宋体" w:cs="宋体" w:hint="eastAsia"/>
          <w:lang w:eastAsia="zh-CN"/>
        </w:rPr>
        <w:t>的经验下限，表明五个维度共同指向同一构念。</w:t>
      </w:r>
    </w:p>
    <w:p>
      <w:pPr>
        <w:ind w:firstLine="0"/>
        <w:jc w:val="center"/>
      </w:pPr>
      <w:r>
        <w:rPr>
          <w:rFonts w:ascii="宋体" w:hAnsi="宋体" w:eastAsia="宋体" w:cs="宋体" w:hint="eastAsia"/>
          <w:b/>
          <w:sz w:val="21"/>
          <w:lang w:eastAsia="zh-CN"/>
        </w:rPr>
        <w:t>表</w:t>
      </w:r>
      <w:r>
        <w:rPr>
          <w:rFonts w:ascii="黑体" w:hAnsi="黑体"/>
          <w:b/>
          <w:sz w:val="21"/>
        </w:rPr>
        <w:t xml:space="preserve"> 3</w:t>
      </w:r>
      <w:r>
        <w:rPr>
          <w:rFonts w:ascii="宋体" w:hAnsi="宋体" w:eastAsia="宋体" w:cs="宋体" w:hint="eastAsia"/>
          <w:b/>
          <w:sz w:val="21"/>
          <w:lang w:eastAsia="zh-CN"/>
        </w:rPr>
        <w:t xml:space="preserve">　信度检验结果</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指标</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取值</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判断标准</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结论</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Cronbach's α</w:t>
            </w:r>
            <w:r>
              <w:rPr>
                <w:sz w:val="21"/>
              </w:rPr>
              <w:t xml:space="preserve"> </w:t>
            </w:r>
            <w:r>
              <w:rPr>
                <w:sz w:val="21"/>
              </w:rPr>
              <w:t>（五维密度）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0.714</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α&gt;0.7 </w:t>
            </w:r>
            <w:r>
              <w:rPr>
                <w:sz w:val="21"/>
              </w:rPr>
              <w:t xml:space="preserve"> </w:t>
            </w:r>
            <w:r>
              <w:rPr>
                <w:sz w:val="21"/>
              </w:rPr>
              <w:t>可接受</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通过</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Cronbach's α</w:t>
            </w:r>
            <w:r>
              <w:rPr>
                <w:sz w:val="21"/>
              </w:rPr>
              <w:t xml:space="preserve"> </w:t>
            </w:r>
            <w:r>
              <w:rPr>
                <w:sz w:val="21"/>
              </w:rPr>
              <w:t>（标准化后）</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0.739</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α&gt;0.7 </w:t>
            </w:r>
            <w:r>
              <w:rPr>
                <w:sz w:val="21"/>
              </w:rPr>
              <w:t xml:space="preserve"> </w:t>
            </w:r>
            <w:r>
              <w:rPr>
                <w:sz w:val="21"/>
              </w:rPr>
              <w:t>可接受</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通过</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分半相关系数</w:t>
            </w:r>
            <w:r>
              <w:rPr>
                <w:sz w:val="21"/>
              </w:rPr>
              <w:t xml:space="preserve"> </w:t>
            </w:r>
            <w:r>
              <w:rPr>
                <w:sz w:val="21"/>
              </w:rPr>
              <w:t xml:space="preserve"> r</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0.793</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r&gt;0.7</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通过</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 xml:space="preserve">Spearman-Brown </w:t>
            </w:r>
            <w:r>
              <w:rPr>
                <w:sz w:val="21"/>
              </w:rPr>
              <w:t xml:space="preserve"> </w:t>
            </w:r>
            <w:r>
              <w:rPr>
                <w:sz w:val="21"/>
              </w:rPr>
              <w:t>分半信度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0.884</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&gt;0.8 </w:t>
            </w:r>
            <w:r>
              <w:rPr>
                <w:sz w:val="21"/>
              </w:rPr>
              <w:t xml:space="preserve"> </w:t>
            </w:r>
            <w:r>
              <w:rPr>
                <w:sz w:val="21"/>
              </w:rPr>
              <w:t>良好</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通过</w:t>
            </w:r>
          </w:p>
        </w:tc>
      </w:tr>
      <w:tr>
        <w:tc>
          <w:tcPr>
            <w:tcW w:type="dxa" w:w="216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各维度与总指标相关区间</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0.550—0.779</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&gt;0.5</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通过</w:t>
            </w:r>
          </w:p>
        </w:tc>
      </w:tr>
    </w:tbl>
    <w:p>
      <w:pPr>
        <w:pStyle w:val="Heading3"/>
      </w:pPr>
      <w:r>
        <w:rPr>
          <w:rFonts w:ascii="宋体" w:hAnsi="宋体" w:eastAsia="宋体" w:cs="宋体" w:hint="eastAsia"/>
          <w:b/>
          <w:color w:val="000000"/>
          <w:sz w:val="24"/>
          <w:lang w:eastAsia="zh-CN"/>
        </w:rPr>
        <w:t>（三）效度检验</w:t>
      </w:r>
    </w:p>
    <w:p>
      <w:pPr>
        <w:ind w:firstLine="480"/>
        <w:jc w:val="both"/>
      </w:pPr>
      <w:r>
        <w:rPr>
          <w:rFonts w:ascii="宋体" w:eastAsia="宋体" w:hAnsi="宋体" w:cs="宋体" w:hint="eastAsia"/>
          <w:lang w:eastAsia="zh-CN"/>
        </w:rPr>
        <w:t>效度反映测度是否测到了想测的东西。表</w:t>
      </w:r>
      <w:r>
        <w:t xml:space="preserve"> 4 </w:t>
      </w:r>
      <w:r>
        <w:rPr>
          <w:rFonts w:ascii="宋体" w:eastAsia="宋体" w:hAnsi="宋体" w:cs="宋体" w:hint="eastAsia"/>
          <w:lang w:eastAsia="zh-CN"/>
        </w:rPr>
        <w:t>从三个角度检验。</w:t>
      </w:r>
    </w:p>
    <w:p>
      <w:pPr>
        <w:ind w:firstLine="480"/>
        <w:jc w:val="both"/>
      </w:pPr>
      <w:r>
        <w:rPr>
          <w:rFonts w:ascii="宋体" w:eastAsia="宋体" w:hAnsi="宋体" w:cs="宋体" w:hint="eastAsia"/>
          <w:b/>
          <w:lang w:eastAsia="zh-CN"/>
        </w:rPr>
        <w:t>结构效度</w:t>
      </w:r>
      <w:r>
        <w:rPr>
          <w:rFonts w:ascii="宋体" w:eastAsia="宋体" w:hAnsi="宋体" w:cs="宋体" w:hint="eastAsia"/>
          <w:lang w:eastAsia="zh-CN"/>
        </w:rPr>
        <w:t>：</w:t>
      </w:r>
      <w:r>
        <w:t xml:space="preserve">KMO </w:t>
      </w:r>
      <w:r>
        <w:rPr>
          <w:rFonts w:ascii="宋体" w:eastAsia="宋体" w:hAnsi="宋体" w:cs="宋体" w:hint="eastAsia"/>
          <w:lang w:eastAsia="zh-CN"/>
        </w:rPr>
        <w:t>取样适切性量数为</w:t>
      </w:r>
      <w:r>
        <w:t xml:space="preserve"> 0.795</w:t>
      </w:r>
      <w:r>
        <w:rPr>
          <w:rFonts w:ascii="宋体" w:eastAsia="宋体" w:hAnsi="宋体" w:cs="宋体" w:hint="eastAsia"/>
          <w:lang w:eastAsia="zh-CN"/>
        </w:rPr>
        <w:t>，接近</w:t>
      </w:r>
      <w:r>
        <w:t>“</w:t>
      </w:r>
      <w:r>
        <w:rPr>
          <w:rFonts w:ascii="宋体" w:eastAsia="宋体" w:hAnsi="宋体" w:cs="宋体" w:hint="eastAsia"/>
          <w:lang w:eastAsia="zh-CN"/>
        </w:rPr>
        <w:t>良好</w:t>
      </w:r>
      <w:r>
        <w:t>”</w:t>
      </w:r>
      <w:r>
        <w:rPr>
          <w:rFonts w:ascii="宋体" w:eastAsia="宋体" w:hAnsi="宋体" w:cs="宋体" w:hint="eastAsia"/>
          <w:lang w:eastAsia="zh-CN"/>
        </w:rPr>
        <w:t>标准；</w:t>
      </w:r>
      <w:r>
        <w:t xml:space="preserve">Bartlett </w:t>
      </w:r>
      <w:r>
        <w:rPr>
          <w:rFonts w:ascii="宋体" w:eastAsia="宋体" w:hAnsi="宋体" w:cs="宋体" w:hint="eastAsia"/>
          <w:lang w:eastAsia="zh-CN"/>
        </w:rPr>
        <w:t>球形检验</w:t>
      </w:r>
      <w:r>
        <w:t xml:space="preserve"> χ² </w:t>
      </w:r>
      <w:r>
        <w:rPr>
          <w:rFonts w:ascii="宋体" w:eastAsia="宋体" w:hAnsi="宋体" w:cs="宋体" w:hint="eastAsia"/>
          <w:lang w:eastAsia="zh-CN"/>
        </w:rPr>
        <w:t>为</w:t>
      </w:r>
      <w:r>
        <w:t xml:space="preserve"> 1523.80</w:t>
      </w:r>
      <w:r>
        <w:rPr>
          <w:rFonts w:ascii="宋体" w:eastAsia="宋体" w:hAnsi="宋体" w:cs="宋体" w:hint="eastAsia"/>
          <w:lang w:eastAsia="zh-CN"/>
        </w:rPr>
        <w:t>（</w:t>
      </w:r>
      <w:r>
        <w:t>df=10</w:t>
      </w:r>
      <w:r>
        <w:rPr>
          <w:rFonts w:ascii="宋体" w:eastAsia="宋体" w:hAnsi="宋体" w:cs="宋体" w:hint="eastAsia"/>
          <w:lang w:eastAsia="zh-CN"/>
        </w:rPr>
        <w:t>，</w:t>
      </w:r>
      <w:r>
        <w:t>p&lt;0.001</w:t>
      </w:r>
      <w:r>
        <w:rPr>
          <w:rFonts w:ascii="宋体" w:eastAsia="宋体" w:hAnsi="宋体" w:cs="宋体" w:hint="eastAsia"/>
          <w:lang w:eastAsia="zh-CN"/>
        </w:rPr>
        <w:t>），拒绝了相关矩阵为单位阵的原假设；第一主成分方差解释率为</w:t>
      </w:r>
      <w:r>
        <w:t xml:space="preserve"> 49.01%</w:t>
      </w:r>
      <w:r>
        <w:rPr>
          <w:rFonts w:ascii="宋体" w:eastAsia="宋体" w:hAnsi="宋体" w:cs="宋体" w:hint="eastAsia"/>
          <w:lang w:eastAsia="zh-CN"/>
        </w:rPr>
        <w:t>，第一主成分载荷区间为</w:t>
      </w:r>
      <w:r>
        <w:t xml:space="preserve"> 0.621—0.734</w:t>
      </w:r>
      <w:r>
        <w:rPr>
          <w:rFonts w:ascii="宋体" w:eastAsia="宋体" w:hAnsi="宋体" w:cs="宋体" w:hint="eastAsia"/>
          <w:lang w:eastAsia="zh-CN"/>
        </w:rPr>
        <w:t>，五个维度均为中高载荷，说明五维结构具有单一主因子特征，测度的多维设计是合理的。</w:t>
      </w:r>
    </w:p>
    <w:p>
      <w:pPr>
        <w:ind w:firstLine="480"/>
        <w:jc w:val="both"/>
      </w:pPr>
      <w:r>
        <w:rPr>
          <w:rFonts w:ascii="宋体" w:eastAsia="宋体" w:hAnsi="宋体" w:cs="宋体" w:hint="eastAsia"/>
          <w:b/>
          <w:lang w:eastAsia="zh-CN"/>
        </w:rPr>
        <w:t>效标效度</w:t>
      </w:r>
      <w:r>
        <w:rPr>
          <w:rFonts w:ascii="宋体" w:eastAsia="宋体" w:hAnsi="宋体" w:cs="宋体" w:hint="eastAsia"/>
          <w:lang w:eastAsia="zh-CN"/>
        </w:rPr>
        <w:t>：把预演阶段可知的真实数字化强度（即仿真语料</w:t>
      </w:r>
      <w:r>
        <w:t xml:space="preserve"> DGP </w:t>
      </w:r>
      <w:r>
        <w:rPr>
          <w:rFonts w:ascii="宋体" w:eastAsia="宋体" w:hAnsi="宋体" w:cs="宋体" w:hint="eastAsia"/>
          <w:lang w:eastAsia="zh-CN"/>
        </w:rPr>
        <w:t>中的人工编码真值）作为效标，主指标与其</w:t>
      </w:r>
      <w:r>
        <w:t xml:space="preserve"> Spearman </w:t>
      </w:r>
      <w:r>
        <w:rPr>
          <w:rFonts w:ascii="宋体" w:eastAsia="宋体" w:hAnsi="宋体" w:cs="宋体" w:hint="eastAsia"/>
          <w:lang w:eastAsia="zh-CN"/>
        </w:rPr>
        <w:t>相关系数为</w:t>
      </w:r>
      <w:r>
        <w:t xml:space="preserve"> 0.876</w:t>
      </w:r>
      <w:r>
        <w:rPr>
          <w:rFonts w:ascii="宋体" w:eastAsia="宋体" w:hAnsi="宋体" w:cs="宋体" w:hint="eastAsia"/>
          <w:lang w:eastAsia="zh-CN"/>
        </w:rPr>
        <w:t>，说明文本测度能够以较高精度还原不可直接观测的真实强度。这一结果同时给出了测度噪声的上界估计：约</w:t>
      </w:r>
      <w:r>
        <w:t xml:space="preserve"> 23% </w:t>
      </w:r>
      <w:r>
        <w:rPr>
          <w:rFonts w:ascii="宋体" w:eastAsia="宋体" w:hAnsi="宋体" w:cs="宋体" w:hint="eastAsia"/>
          <w:lang w:eastAsia="zh-CN"/>
        </w:rPr>
        <w:t>的方差来自测量误差，正是后续回归系数衰减偏误的来源。</w:t>
      </w:r>
    </w:p>
    <w:p>
      <w:pPr>
        <w:ind w:firstLine="480"/>
        <w:jc w:val="both"/>
      </w:pPr>
      <w:r>
        <w:rPr>
          <w:rFonts w:ascii="宋体" w:eastAsia="宋体" w:hAnsi="宋体" w:cs="宋体" w:hint="eastAsia"/>
          <w:b/>
          <w:lang w:eastAsia="zh-CN"/>
        </w:rPr>
        <w:t>区分效度</w:t>
      </w:r>
      <w:r>
        <w:rPr>
          <w:rFonts w:ascii="宋体" w:eastAsia="宋体" w:hAnsi="宋体" w:cs="宋体" w:hint="eastAsia"/>
          <w:lang w:eastAsia="zh-CN"/>
        </w:rPr>
        <w:t>：主指标与文档篇幅的</w:t>
      </w:r>
      <w:r>
        <w:t xml:space="preserve"> Spearman </w:t>
      </w:r>
      <w:r>
        <w:rPr>
          <w:rFonts w:ascii="宋体" w:eastAsia="宋体" w:hAnsi="宋体" w:cs="宋体" w:hint="eastAsia"/>
          <w:lang w:eastAsia="zh-CN"/>
        </w:rPr>
        <w:t>相关系数为</w:t>
      </w:r>
      <w:r>
        <w:t xml:space="preserve"> −0.173</w:t>
      </w:r>
      <w:r>
        <w:rPr>
          <w:rFonts w:ascii="宋体" w:eastAsia="宋体" w:hAnsi="宋体" w:cs="宋体" w:hint="eastAsia"/>
          <w:lang w:eastAsia="zh-CN"/>
        </w:rPr>
        <w:t>，绝对值远小于</w:t>
      </w:r>
      <w:r>
        <w:t xml:space="preserve"> 0.5</w:t>
      </w:r>
      <w:r>
        <w:rPr>
          <w:rFonts w:ascii="宋体" w:eastAsia="宋体" w:hAnsi="宋体" w:cs="宋体" w:hint="eastAsia"/>
          <w:lang w:eastAsia="zh-CN"/>
        </w:rPr>
        <w:t>，说明测度并非由</w:t>
      </w:r>
      <w:r>
        <w:t>“</w:t>
      </w:r>
      <w:r>
        <w:rPr>
          <w:rFonts w:ascii="宋体" w:eastAsia="宋体" w:hAnsi="宋体" w:cs="宋体" w:hint="eastAsia"/>
          <w:lang w:eastAsia="zh-CN"/>
        </w:rPr>
        <w:t>年报写得长</w:t>
      </w:r>
      <w:r>
        <w:t>”</w:t>
      </w:r>
      <w:r>
        <w:rPr>
          <w:rFonts w:ascii="宋体" w:eastAsia="宋体" w:hAnsi="宋体" w:cs="宋体" w:hint="eastAsia"/>
          <w:lang w:eastAsia="zh-CN"/>
        </w:rPr>
        <w:t>所驱动，篇幅因素已被式（</w:t>
      </w:r>
      <w:r>
        <w:t>1</w:t>
      </w:r>
      <w:r>
        <w:rPr>
          <w:rFonts w:ascii="宋体" w:eastAsia="宋体" w:hAnsi="宋体" w:cs="宋体" w:hint="eastAsia"/>
          <w:lang w:eastAsia="zh-CN"/>
        </w:rPr>
        <w:t>）的密度化处理有效控制。</w:t>
      </w:r>
    </w:p>
    <w:p>
      <w:pPr>
        <w:ind w:firstLine="0"/>
        <w:jc w:val="center"/>
      </w:pPr>
      <w:r>
        <w:rPr>
          <w:rFonts w:ascii="宋体" w:hAnsi="宋体" w:eastAsia="宋体" w:cs="宋体" w:hint="eastAsia"/>
          <w:b/>
          <w:sz w:val="21"/>
          <w:lang w:eastAsia="zh-CN"/>
        </w:rPr>
        <w:t>表</w:t>
      </w:r>
      <w:r>
        <w:rPr>
          <w:rFonts w:ascii="黑体" w:hAnsi="黑体"/>
          <w:b/>
          <w:sz w:val="21"/>
        </w:rPr>
        <w:t xml:space="preserve"> 4</w:t>
      </w:r>
      <w:r>
        <w:rPr>
          <w:rFonts w:ascii="宋体" w:hAnsi="宋体" w:eastAsia="宋体" w:cs="宋体" w:hint="eastAsia"/>
          <w:b/>
          <w:sz w:val="21"/>
          <w:lang w:eastAsia="zh-CN"/>
        </w:rPr>
        <w:t xml:space="preserve">　效度检验结果</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检验类别</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统计量</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取值</w:t>
            </w:r>
          </w:p>
        </w:tc>
        <w:tc>
          <w:tcPr>
            <w:tcW w:type="dxa" w:w="216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判断标准</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结构效度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KMO </w:t>
            </w:r>
            <w:r>
              <w:rPr>
                <w:sz w:val="21"/>
              </w:rPr>
              <w:t xml:space="preserve"> </w:t>
            </w:r>
            <w:r>
              <w:rPr>
                <w:sz w:val="21"/>
              </w:rPr>
              <w:t>取样适切性量数</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0.795</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&gt;0.6 </w:t>
            </w:r>
            <w:r>
              <w:rPr>
                <w:sz w:val="21"/>
              </w:rPr>
              <w:t xml:space="preserve"> </w:t>
            </w:r>
            <w:r>
              <w:rPr>
                <w:sz w:val="21"/>
              </w:rPr>
              <w:t>可接受</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结构效度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Bartlett </w:t>
            </w:r>
            <w:r>
              <w:rPr>
                <w:sz w:val="21"/>
              </w:rPr>
              <w:t xml:space="preserve"> </w:t>
            </w:r>
            <w:r>
              <w:rPr>
                <w:sz w:val="21"/>
              </w:rPr>
              <w:t>球形检验</w:t>
            </w:r>
            <w:r>
              <w:rPr>
                <w:sz w:val="21"/>
              </w:rPr>
              <w:t xml:space="preserve"> </w:t>
            </w:r>
            <w:r>
              <w:rPr>
                <w:sz w:val="21"/>
              </w:rPr>
              <w:t xml:space="preserve"> χ²(df)</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1523.80 (10)</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p&lt;0.001</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结构效度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第一主成分方差解释率</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49.01%</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&gt;40%</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结构效度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第一主成分载荷区间</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0.621—0.734</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&gt;0.5</w:t>
            </w:r>
          </w:p>
        </w:tc>
      </w:tr>
      <w:tr>
        <w:tc>
          <w:tcPr>
            <w:tcW w:type="dxa" w:w="216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效标效度</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与人工编码得分</w:t>
            </w:r>
            <w:r>
              <w:rPr>
                <w:sz w:val="21"/>
              </w:rPr>
              <w:t xml:space="preserve"> </w:t>
            </w:r>
            <w:r>
              <w:rPr>
                <w:sz w:val="21"/>
              </w:rPr>
              <w:t xml:space="preserve"> Spearman ρ</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0.876</w:t>
            </w:r>
          </w:p>
        </w:tc>
        <w:tc>
          <w:tcPr>
            <w:tcW w:type="dxa" w:w="216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&gt;0.6</w:t>
            </w:r>
          </w:p>
        </w:tc>
      </w:tr>
      <w:tr>
        <w:tc>
          <w:tcPr>
            <w:tcW w:type="dxa" w:w="216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区分效度</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与文档篇幅的</w:t>
            </w:r>
            <w:r>
              <w:rPr>
                <w:sz w:val="21"/>
              </w:rPr>
              <w:t xml:space="preserve"> </w:t>
            </w:r>
            <w:r>
              <w:rPr>
                <w:sz w:val="21"/>
              </w:rPr>
              <w:t xml:space="preserve"> Spearman ρ</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−0.173</w:t>
            </w:r>
          </w:p>
        </w:tc>
        <w:tc>
          <w:tcPr>
            <w:tcW w:type="dxa" w:w="216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绝对值</w:t>
            </w:r>
            <w:r>
              <w:rPr>
                <w:sz w:val="21"/>
              </w:rPr>
              <w:t xml:space="preserve"> </w:t>
            </w:r>
            <w:r>
              <w:rPr>
                <w:sz w:val="21"/>
              </w:rPr>
              <w:t>&lt;0.5</w:t>
            </w:r>
          </w:p>
        </w:tc>
      </w:tr>
    </w:tbl>
    <w:p>
      <w:pPr>
        <w:pStyle w:val="Heading3"/>
      </w:pPr>
      <w:r>
        <w:rPr>
          <w:rFonts w:ascii="宋体" w:hAnsi="宋体" w:eastAsia="宋体" w:cs="宋体" w:hint="eastAsia"/>
          <w:b/>
          <w:color w:val="000000"/>
          <w:sz w:val="24"/>
          <w:lang w:eastAsia="zh-CN"/>
        </w:rPr>
        <w:t>（四）相关性分析</w:t>
      </w:r>
    </w:p>
    <w:p>
      <w:pPr>
        <w:ind w:firstLine="480"/>
        <w:jc w:val="both"/>
      </w:pPr>
      <w:r>
        <w:rPr>
          <w:rFonts w:ascii="宋体" w:eastAsia="宋体" w:hAnsi="宋体" w:cs="宋体" w:hint="eastAsia"/>
          <w:lang w:eastAsia="zh-CN"/>
        </w:rPr>
        <w:t>相关系数矩阵显示，</w:t>
      </w:r>
      <w:r>
        <w:t xml:space="preserve">DigTrans </w:t>
      </w:r>
      <w:r>
        <w:rPr>
          <w:rFonts w:ascii="宋体" w:eastAsia="宋体" w:hAnsi="宋体" w:cs="宋体" w:hint="eastAsia"/>
          <w:lang w:eastAsia="zh-CN"/>
        </w:rPr>
        <w:t>与</w:t>
      </w:r>
      <w:r>
        <w:t xml:space="preserve"> ROA </w:t>
      </w:r>
      <w:r>
        <w:rPr>
          <w:rFonts w:ascii="宋体" w:eastAsia="宋体" w:hAnsi="宋体" w:cs="宋体" w:hint="eastAsia"/>
          <w:lang w:eastAsia="zh-CN"/>
        </w:rPr>
        <w:t>的相关系数为</w:t>
      </w:r>
      <w:r>
        <w:t xml:space="preserve"> 0.166</w:t>
      </w:r>
      <w:r>
        <w:rPr>
          <w:rFonts w:ascii="宋体" w:eastAsia="宋体" w:hAnsi="宋体" w:cs="宋体" w:hint="eastAsia"/>
          <w:lang w:eastAsia="zh-CN"/>
        </w:rPr>
        <w:t>，与</w:t>
      </w:r>
      <w:r>
        <w:t xml:space="preserve"> TobinQ </w:t>
      </w:r>
      <w:r>
        <w:rPr>
          <w:rFonts w:ascii="宋体" w:eastAsia="宋体" w:hAnsi="宋体" w:cs="宋体" w:hint="eastAsia"/>
          <w:lang w:eastAsia="zh-CN"/>
        </w:rPr>
        <w:t>的相关系数为</w:t>
      </w:r>
      <w:r>
        <w:t xml:space="preserve"> 0.248</w:t>
      </w:r>
      <w:r>
        <w:rPr>
          <w:rFonts w:ascii="宋体" w:eastAsia="宋体" w:hAnsi="宋体" w:cs="宋体" w:hint="eastAsia"/>
          <w:lang w:eastAsia="zh-CN"/>
        </w:rPr>
        <w:t>，均在</w:t>
      </w:r>
      <w:r>
        <w:t xml:space="preserve"> 1% </w:t>
      </w:r>
      <w:r>
        <w:rPr>
          <w:rFonts w:ascii="宋体" w:eastAsia="宋体" w:hAnsi="宋体" w:cs="宋体" w:hint="eastAsia"/>
          <w:lang w:eastAsia="zh-CN"/>
        </w:rPr>
        <w:t>水平上显著为正，初步支持数字化转型与企业绩效正相关。控制变量方面，资产负债率与</w:t>
      </w:r>
      <w:r>
        <w:t xml:space="preserve"> ROA </w:t>
      </w:r>
      <w:r>
        <w:rPr>
          <w:rFonts w:ascii="宋体" w:eastAsia="宋体" w:hAnsi="宋体" w:cs="宋体" w:hint="eastAsia"/>
          <w:lang w:eastAsia="zh-CN"/>
        </w:rPr>
        <w:t>显著负相关（</w:t>
      </w:r>
      <w:r>
        <w:t>−0.368</w:t>
      </w:r>
      <w:r>
        <w:rPr>
          <w:rFonts w:ascii="宋体" w:eastAsia="宋体" w:hAnsi="宋体" w:cs="宋体" w:hint="eastAsia"/>
          <w:lang w:eastAsia="zh-CN"/>
        </w:rPr>
        <w:t>），企业规模与</w:t>
      </w:r>
      <w:r>
        <w:t xml:space="preserve"> ROA </w:t>
      </w:r>
      <w:r>
        <w:rPr>
          <w:rFonts w:ascii="宋体" w:eastAsia="宋体" w:hAnsi="宋体" w:cs="宋体" w:hint="eastAsia"/>
          <w:lang w:eastAsia="zh-CN"/>
        </w:rPr>
        <w:t>显著负相关（</w:t>
      </w:r>
      <w:r>
        <w:t>−0.209</w:t>
      </w:r>
      <w:r>
        <w:rPr>
          <w:rFonts w:ascii="宋体" w:eastAsia="宋体" w:hAnsi="宋体" w:cs="宋体" w:hint="eastAsia"/>
          <w:lang w:eastAsia="zh-CN"/>
        </w:rPr>
        <w:t>），成长性与</w:t>
      </w:r>
      <w:r>
        <w:t xml:space="preserve"> ROA </w:t>
      </w:r>
      <w:r>
        <w:rPr>
          <w:rFonts w:ascii="宋体" w:eastAsia="宋体" w:hAnsi="宋体" w:cs="宋体" w:hint="eastAsia"/>
          <w:lang w:eastAsia="zh-CN"/>
        </w:rPr>
        <w:t>显著正相关（</w:t>
      </w:r>
      <w:r>
        <w:t>0.167</w:t>
      </w:r>
      <w:r>
        <w:rPr>
          <w:rFonts w:ascii="宋体" w:eastAsia="宋体" w:hAnsi="宋体" w:cs="宋体" w:hint="eastAsia"/>
          <w:lang w:eastAsia="zh-CN"/>
        </w:rPr>
        <w:t>），符合财务理论预期。各解释变量之间的相关系数绝对值多在</w:t>
      </w:r>
      <w:r>
        <w:t xml:space="preserve"> 0.05 </w:t>
      </w:r>
      <w:r>
        <w:rPr>
          <w:rFonts w:ascii="宋体" w:eastAsia="宋体" w:hAnsi="宋体" w:cs="宋体" w:hint="eastAsia"/>
          <w:lang w:eastAsia="zh-CN"/>
        </w:rPr>
        <w:t>以内，不存在严重的多重共线性。</w:t>
      </w:r>
    </w:p>
    <w:p>
      <w:pPr>
        <w:ind w:firstLine="0"/>
        <w:jc w:val="center"/>
      </w:pPr>
      <w:r>
        <w:rPr>
          <w:rFonts w:ascii="宋体" w:hAnsi="宋体" w:eastAsia="宋体" w:cs="宋体" w:hint="eastAsia"/>
          <w:b/>
          <w:sz w:val="21"/>
          <w:lang w:eastAsia="zh-CN"/>
        </w:rPr>
        <w:t>表</w:t>
      </w:r>
      <w:r>
        <w:rPr>
          <w:rFonts w:ascii="黑体" w:hAnsi="黑体"/>
          <w:b/>
          <w:sz w:val="21"/>
        </w:rPr>
        <w:t xml:space="preserve"> 5</w:t>
      </w:r>
      <w:r>
        <w:rPr>
          <w:rFonts w:ascii="宋体" w:hAnsi="宋体" w:eastAsia="宋体" w:cs="宋体" w:hint="eastAsia"/>
          <w:b/>
          <w:sz w:val="21"/>
          <w:lang w:eastAsia="zh-CN"/>
        </w:rPr>
        <w:t xml:space="preserve">　主要变量相关系数矩阵（节选）</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w:t>
            </w:r>
          </w:p>
        </w:tc>
        <w:tc>
          <w:tcPr>
            <w:tcW w:type="dxa" w:w="144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DigTrans</w:t>
            </w:r>
          </w:p>
        </w:tc>
        <w:tc>
          <w:tcPr>
            <w:tcW w:type="dxa" w:w="144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ROA</w:t>
            </w:r>
          </w:p>
        </w:tc>
        <w:tc>
          <w:tcPr>
            <w:tcW w:type="dxa" w:w="144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TobinQ</w:t>
            </w:r>
          </w:p>
        </w:tc>
        <w:tc>
          <w:tcPr>
            <w:tcW w:type="dxa" w:w="144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Size</w:t>
            </w:r>
          </w:p>
        </w:tc>
        <w:tc>
          <w:tcPr>
            <w:tcW w:type="dxa" w:w="144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Lev</w:t>
            </w:r>
          </w:p>
        </w:tc>
      </w:tr>
      <w:tr>
        <w:tc>
          <w:tcPr>
            <w:tcW w:type="dxa" w:w="144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1.000</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7" w:name="1.000_01"/>
            <w:r>
              <w:rPr>
                <w:sz w:val="21"/>
              </w:rPr>
              <w:t xml:space="preserve"> </w:t>
            </w:r>
            <w:bookmarkEnd w:id="7"/>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8" w:name="__DOCXFIELD_ee7a25a0c1ac4f1c96b8460d21512116___01"/>
            <w:r>
              <w:rPr>
                <w:sz w:val="21"/>
              </w:rPr>
              <w:t xml:space="preserve"> </w:t>
            </w:r>
            <w:bookmarkEnd w:id="8"/>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9" w:name="__DOCXFIELD_89e1e809ad594496963bef29a3bdf3b7___01"/>
            <w:r>
              <w:rPr>
                <w:sz w:val="21"/>
              </w:rPr>
              <w:t xml:space="preserve"> </w:t>
            </w:r>
            <w:bookmarkEnd w:id="9"/>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0" w:name="__DOCXFIELD_d5537859e970444ca05e0d91bcca37a7___01"/>
            <w:r>
              <w:rPr>
                <w:sz w:val="21"/>
              </w:rPr>
              <w:t xml:space="preserve"> </w:t>
            </w:r>
            <w:bookmarkEnd w:id="10"/>
          </w:p>
        </w:tc>
      </w:tr>
      <w:tr>
        <w:tc>
          <w:tcPr>
            <w:tcW w:type="dxa" w:w="144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ROA</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0.166</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1.000</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1" w:name="1.000_02"/>
            <w:r>
              <w:rPr>
                <w:sz w:val="21"/>
              </w:rPr>
              <w:t xml:space="preserve"> </w:t>
            </w:r>
            <w:bookmarkEnd w:id="11"/>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2" w:name="__DOCXFIELD_616a9c22d4524ab2b11931025b343f68___01"/>
            <w:r>
              <w:rPr>
                <w:sz w:val="21"/>
              </w:rPr>
              <w:t xml:space="preserve"> </w:t>
            </w:r>
            <w:bookmarkEnd w:id="12"/>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3" w:name="__DOCXFIELD_27caaadaf50e44ebb66a435daddc66d1___01"/>
            <w:r>
              <w:rPr>
                <w:sz w:val="21"/>
              </w:rPr>
              <w:t xml:space="preserve"> </w:t>
            </w:r>
            <w:bookmarkEnd w:id="13"/>
          </w:p>
        </w:tc>
      </w:tr>
      <w:tr>
        <w:tc>
          <w:tcPr>
            <w:tcW w:type="dxa" w:w="144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TobinQ</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0.248</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0.192</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1.000</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4" w:name="1.000_03"/>
            <w:r>
              <w:rPr>
                <w:sz w:val="21"/>
              </w:rPr>
              <w:t xml:space="preserve"> </w:t>
            </w:r>
            <w:bookmarkEnd w:id="14"/>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5" w:name="__DOCXFIELD_71e78f69ba3d4124a7350f1ad5aebd27___01"/>
            <w:r>
              <w:rPr>
                <w:sz w:val="21"/>
              </w:rPr>
              <w:t xml:space="preserve"> </w:t>
            </w:r>
            <w:bookmarkEnd w:id="15"/>
          </w:p>
        </w:tc>
      </w:tr>
      <w:tr>
        <w:tc>
          <w:tcPr>
            <w:tcW w:type="dxa" w:w="144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Size</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0.046</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−0.209</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−0.313</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1.000</w:t>
            </w:r>
          </w:p>
        </w:tc>
        <w:tc>
          <w:tcPr>
            <w:tcW w:type="dxa" w:w="144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bookmarkStart w:id="16" w:name="1.000_04"/>
            <w:r>
              <w:rPr>
                <w:sz w:val="21"/>
              </w:rPr>
              <w:t xml:space="preserve"> </w:t>
            </w:r>
            <w:bookmarkEnd w:id="16"/>
          </w:p>
        </w:tc>
      </w:tr>
      <w:tr>
        <w:tc>
          <w:tcPr>
            <w:tcW w:type="dxa" w:w="144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Lev</w:t>
            </w:r>
          </w:p>
        </w:tc>
        <w:tc>
          <w:tcPr>
            <w:tcW w:type="dxa" w:w="144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−0.020</w:t>
            </w:r>
          </w:p>
        </w:tc>
        <w:tc>
          <w:tcPr>
            <w:tcW w:type="dxa" w:w="144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−0.368</w:t>
            </w:r>
          </w:p>
        </w:tc>
        <w:tc>
          <w:tcPr>
            <w:tcW w:type="dxa" w:w="144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−0.060</w:t>
            </w:r>
          </w:p>
        </w:tc>
        <w:tc>
          <w:tcPr>
            <w:tcW w:type="dxa" w:w="144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−0.042</w:t>
            </w:r>
          </w:p>
        </w:tc>
        <w:tc>
          <w:tcPr>
            <w:tcW w:type="dxa" w:w="144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1.000</w:t>
            </w:r>
          </w:p>
        </w:tc>
      </w:tr>
    </w:tbl>
    <w:p>
      <w:pPr>
        <w:pStyle w:val="Heading3"/>
      </w:pPr>
      <w:r>
        <w:rPr>
          <w:rFonts w:ascii="宋体" w:hAnsi="宋体" w:eastAsia="宋体" w:cs="宋体" w:hint="eastAsia"/>
          <w:b/>
          <w:color w:val="000000"/>
          <w:sz w:val="24"/>
          <w:lang w:eastAsia="zh-CN"/>
        </w:rPr>
        <w:t>（五）基准回归结果</w:t>
      </w:r>
    </w:p>
    <w:p>
      <w:pPr>
        <w:ind w:firstLine="480"/>
        <w:jc w:val="both"/>
      </w:pPr>
      <w:r>
        <w:rPr>
          <w:rFonts w:ascii="宋体" w:eastAsia="宋体" w:hAnsi="宋体" w:cs="宋体" w:hint="eastAsia"/>
          <w:lang w:eastAsia="zh-CN"/>
        </w:rPr>
        <w:t>表</w:t>
      </w:r>
      <w:r>
        <w:t xml:space="preserve"> 6 </w:t>
      </w:r>
      <w:r>
        <w:rPr>
          <w:rFonts w:ascii="宋体" w:eastAsia="宋体" w:hAnsi="宋体" w:cs="宋体" w:hint="eastAsia"/>
          <w:lang w:eastAsia="zh-CN"/>
        </w:rPr>
        <w:t>报告基准回归结果。第（</w:t>
      </w:r>
      <w:r>
        <w:t>1</w:t>
      </w:r>
      <w:r>
        <w:rPr>
          <w:rFonts w:ascii="宋体" w:eastAsia="宋体" w:hAnsi="宋体" w:cs="宋体" w:hint="eastAsia"/>
          <w:lang w:eastAsia="zh-CN"/>
        </w:rPr>
        <w:t>）列仅控制年份固定效应，</w:t>
      </w:r>
      <w:r>
        <w:t xml:space="preserve">DigTrans </w:t>
      </w:r>
      <w:r>
        <w:rPr>
          <w:rFonts w:ascii="宋体" w:eastAsia="宋体" w:hAnsi="宋体" w:cs="宋体" w:hint="eastAsia"/>
          <w:lang w:eastAsia="zh-CN"/>
        </w:rPr>
        <w:t>系数为</w:t>
      </w:r>
      <w:r>
        <w:t xml:space="preserve"> 2.060</w:t>
      </w:r>
      <w:r>
        <w:rPr>
          <w:rFonts w:ascii="宋体" w:eastAsia="宋体" w:hAnsi="宋体" w:cs="宋体" w:hint="eastAsia"/>
          <w:lang w:eastAsia="zh-CN"/>
        </w:rPr>
        <w:t>（</w:t>
      </w:r>
      <w:r>
        <w:t>p&lt;0.01</w:t>
      </w:r>
      <w:r>
        <w:rPr>
          <w:rFonts w:ascii="宋体" w:eastAsia="宋体" w:hAnsi="宋体" w:cs="宋体" w:hint="eastAsia"/>
          <w:lang w:eastAsia="zh-CN"/>
        </w:rPr>
        <w:t>）；第（</w:t>
      </w:r>
      <w:r>
        <w:t>2</w:t>
      </w:r>
      <w:r>
        <w:rPr>
          <w:rFonts w:ascii="宋体" w:eastAsia="宋体" w:hAnsi="宋体" w:cs="宋体" w:hint="eastAsia"/>
          <w:lang w:eastAsia="zh-CN"/>
        </w:rPr>
        <w:t>）列加入全部控制变量后系数为</w:t>
      </w:r>
      <w:r>
        <w:t xml:space="preserve"> 2.050</w:t>
      </w:r>
      <w:r>
        <w:rPr>
          <w:rFonts w:ascii="宋体" w:eastAsia="宋体" w:hAnsi="宋体" w:cs="宋体" w:hint="eastAsia"/>
          <w:lang w:eastAsia="zh-CN"/>
        </w:rPr>
        <w:t>（</w:t>
      </w:r>
      <w:r>
        <w:t>p&lt;0.01</w:t>
      </w:r>
      <w:r>
        <w:rPr>
          <w:rFonts w:ascii="宋体" w:eastAsia="宋体" w:hAnsi="宋体" w:cs="宋体" w:hint="eastAsia"/>
          <w:lang w:eastAsia="zh-CN"/>
        </w:rPr>
        <w:t>），说明相关性并非由企业规模、杠杆水平等财务特征驱动；第（</w:t>
      </w:r>
      <w:r>
        <w:t>3</w:t>
      </w:r>
      <w:r>
        <w:rPr>
          <w:rFonts w:ascii="宋体" w:eastAsia="宋体" w:hAnsi="宋体" w:cs="宋体" w:hint="eastAsia"/>
          <w:lang w:eastAsia="zh-CN"/>
        </w:rPr>
        <w:t>）列进一步纳入企业固定效应构成双向固定效应基准模型，系数为</w:t>
      </w:r>
      <w:r>
        <w:t xml:space="preserve"> 1.447</w:t>
      </w:r>
      <w:r>
        <w:rPr>
          <w:rFonts w:ascii="宋体" w:eastAsia="宋体" w:hAnsi="宋体" w:cs="宋体" w:hint="eastAsia"/>
          <w:lang w:eastAsia="zh-CN"/>
        </w:rPr>
        <w:t>（</w:t>
      </w:r>
      <w:r>
        <w:t>p&lt;0.01</w:t>
      </w:r>
      <w:r>
        <w:rPr>
          <w:rFonts w:ascii="宋体" w:eastAsia="宋体" w:hAnsi="宋体" w:cs="宋体" w:hint="eastAsia"/>
          <w:lang w:eastAsia="zh-CN"/>
        </w:rPr>
        <w:t>），即数字化转型程度每提高</w:t>
      </w:r>
      <w:r>
        <w:t xml:space="preserve"> 1 </w:t>
      </w:r>
      <w:r>
        <w:rPr>
          <w:rFonts w:ascii="宋体" w:eastAsia="宋体" w:hAnsi="宋体" w:cs="宋体" w:hint="eastAsia"/>
          <w:lang w:eastAsia="zh-CN"/>
        </w:rPr>
        <w:t>个单位，总资产收益率平均提高约</w:t>
      </w:r>
      <w:r>
        <w:t xml:space="preserve"> 1.45 </w:t>
      </w:r>
      <w:r>
        <w:rPr>
          <w:rFonts w:ascii="宋体" w:eastAsia="宋体" w:hAnsi="宋体" w:cs="宋体" w:hint="eastAsia"/>
          <w:lang w:eastAsia="zh-CN"/>
        </w:rPr>
        <w:t>个百分点。以</w:t>
      </w:r>
      <w:r>
        <w:t xml:space="preserve"> DigTrans </w:t>
      </w:r>
      <w:r>
        <w:rPr>
          <w:rFonts w:ascii="宋体" w:eastAsia="宋体" w:hAnsi="宋体" w:cs="宋体" w:hint="eastAsia"/>
          <w:lang w:eastAsia="zh-CN"/>
        </w:rPr>
        <w:t>的标准差</w:t>
      </w:r>
      <w:r>
        <w:t xml:space="preserve"> 0.264 </w:t>
      </w:r>
      <w:r>
        <w:rPr>
          <w:rFonts w:ascii="宋体" w:eastAsia="宋体" w:hAnsi="宋体" w:cs="宋体" w:hint="eastAsia"/>
          <w:lang w:eastAsia="zh-CN"/>
        </w:rPr>
        <w:t>换算，数字化程度提高</w:t>
      </w:r>
      <w:r>
        <w:t xml:space="preserve"> 1 </w:t>
      </w:r>
      <w:r>
        <w:rPr>
          <w:rFonts w:ascii="宋体" w:eastAsia="宋体" w:hAnsi="宋体" w:cs="宋体" w:hint="eastAsia"/>
          <w:lang w:eastAsia="zh-CN"/>
        </w:rPr>
        <w:t>个标准差对应</w:t>
      </w:r>
      <w:r>
        <w:t xml:space="preserve"> ROA </w:t>
      </w:r>
      <w:r>
        <w:rPr>
          <w:rFonts w:ascii="宋体" w:eastAsia="宋体" w:hAnsi="宋体" w:cs="宋体" w:hint="eastAsia"/>
          <w:lang w:eastAsia="zh-CN"/>
        </w:rPr>
        <w:t>提高约</w:t>
      </w:r>
      <w:r>
        <w:t xml:space="preserve"> 0.38 </w:t>
      </w:r>
      <w:r>
        <w:rPr>
          <w:rFonts w:ascii="宋体" w:eastAsia="宋体" w:hAnsi="宋体" w:cs="宋体" w:hint="eastAsia"/>
          <w:lang w:eastAsia="zh-CN"/>
        </w:rPr>
        <w:t>个百分点，相当于</w:t>
      </w:r>
      <w:r>
        <w:t xml:space="preserve"> ROA </w:t>
      </w:r>
      <w:r>
        <w:rPr>
          <w:rFonts w:ascii="宋体" w:eastAsia="宋体" w:hAnsi="宋体" w:cs="宋体" w:hint="eastAsia"/>
          <w:lang w:eastAsia="zh-CN"/>
        </w:rPr>
        <w:t>标准差（</w:t>
      </w:r>
      <w:r>
        <w:t xml:space="preserve">3.34 </w:t>
      </w:r>
      <w:r>
        <w:rPr>
          <w:rFonts w:ascii="宋体" w:eastAsia="宋体" w:hAnsi="宋体" w:cs="宋体" w:hint="eastAsia"/>
          <w:lang w:eastAsia="zh-CN"/>
        </w:rPr>
        <w:t>个百分点）的</w:t>
      </w:r>
      <w:r>
        <w:t xml:space="preserve"> 11.4%</w:t>
      </w:r>
      <w:r>
        <w:rPr>
          <w:rFonts w:ascii="宋体" w:eastAsia="宋体" w:hAnsi="宋体" w:cs="宋体" w:hint="eastAsia"/>
          <w:lang w:eastAsia="zh-CN"/>
        </w:rPr>
        <w:t>，具有经济意义上的显著性。</w:t>
      </w:r>
    </w:p>
    <w:p>
      <w:pPr>
        <w:ind w:firstLine="480"/>
        <w:jc w:val="both"/>
      </w:pPr>
      <w:r>
        <w:rPr>
          <w:rFonts w:ascii="宋体" w:eastAsia="宋体" w:hAnsi="宋体" w:cs="宋体" w:hint="eastAsia"/>
          <w:lang w:eastAsia="zh-CN"/>
        </w:rPr>
        <w:t>需要注意的是，第（</w:t>
      </w:r>
      <w:r>
        <w:t>3</w:t>
      </w:r>
      <w:r>
        <w:rPr>
          <w:rFonts w:ascii="宋体" w:eastAsia="宋体" w:hAnsi="宋体" w:cs="宋体" w:hint="eastAsia"/>
          <w:lang w:eastAsia="zh-CN"/>
        </w:rPr>
        <w:t>）列系数小于第（</w:t>
      </w:r>
      <w:r>
        <w:t>1</w:t>
      </w:r>
      <w:r>
        <w:rPr>
          <w:rFonts w:ascii="宋体" w:eastAsia="宋体" w:hAnsi="宋体" w:cs="宋体" w:hint="eastAsia"/>
          <w:lang w:eastAsia="zh-CN"/>
        </w:rPr>
        <w:t>）（</w:t>
      </w:r>
      <w:r>
        <w:t>2</w:t>
      </w:r>
      <w:r>
        <w:rPr>
          <w:rFonts w:ascii="宋体" w:eastAsia="宋体" w:hAnsi="宋体" w:cs="宋体" w:hint="eastAsia"/>
          <w:lang w:eastAsia="zh-CN"/>
        </w:rPr>
        <w:t>）列，说明企业层面不可观测的异质性（如管理能力、组织惯性）同时影响数字化水平与绩效，若不加控制会高估转型的绩效效应。这一结果为</w:t>
      </w:r>
      <w:r>
        <w:t>“</w:t>
      </w:r>
      <w:r>
        <w:rPr>
          <w:rFonts w:ascii="宋体" w:eastAsia="宋体" w:hAnsi="宋体" w:cs="宋体" w:hint="eastAsia"/>
          <w:lang w:eastAsia="zh-CN"/>
        </w:rPr>
        <w:t>双向固定效应设定更可信</w:t>
      </w:r>
      <w:r>
        <w:t>”</w:t>
      </w:r>
      <w:r>
        <w:rPr>
          <w:rFonts w:ascii="宋体" w:eastAsia="宋体" w:hAnsi="宋体" w:cs="宋体" w:hint="eastAsia"/>
          <w:lang w:eastAsia="zh-CN"/>
        </w:rPr>
        <w:t>提供了直接证据。</w:t>
      </w:r>
    </w:p>
    <w:p>
      <w:pPr>
        <w:ind w:firstLine="0"/>
        <w:jc w:val="center"/>
      </w:pPr>
      <w:r>
        <w:rPr>
          <w:rFonts w:ascii="宋体" w:hAnsi="宋体" w:eastAsia="宋体" w:cs="宋体" w:hint="eastAsia"/>
          <w:b/>
          <w:sz w:val="21"/>
          <w:lang w:eastAsia="zh-CN"/>
        </w:rPr>
        <w:t>表</w:t>
      </w:r>
      <w:r>
        <w:rPr>
          <w:rFonts w:ascii="黑体" w:hAnsi="黑体"/>
          <w:b/>
          <w:sz w:val="21"/>
        </w:rPr>
        <w:t xml:space="preserve"> 6</w:t>
      </w:r>
      <w:r>
        <w:rPr>
          <w:rFonts w:ascii="宋体" w:hAnsi="宋体" w:eastAsia="宋体" w:cs="宋体" w:hint="eastAsia"/>
          <w:b/>
          <w:sz w:val="21"/>
          <w:lang w:eastAsia="zh-CN"/>
        </w:rPr>
        <w:t xml:space="preserve">　数字化转型对企业绩效（</w:t>
      </w:r>
      <w:r>
        <w:rPr>
          <w:rFonts w:ascii="黑体" w:hAnsi="黑体"/>
          <w:b/>
          <w:sz w:val="21"/>
        </w:rPr>
        <w:t>ROA</w:t>
      </w:r>
      <w:r>
        <w:rPr>
          <w:rFonts w:ascii="宋体" w:hAnsi="宋体" w:eastAsia="宋体" w:cs="宋体" w:hint="eastAsia"/>
          <w:b/>
          <w:sz w:val="21"/>
          <w:lang w:eastAsia="zh-CN"/>
        </w:rPr>
        <w:t>）的影响：基准回归</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1</w:t>
            </w:r>
            <w:r>
              <w:rPr>
                <w:b/>
                <w:sz w:val="21"/>
              </w:rPr>
              <w:t xml:space="preserve"> </w:t>
            </w:r>
            <w:r>
              <w:rPr>
                <w:b/>
                <w:sz w:val="21"/>
              </w:rPr>
              <w:t>）仅年份</w:t>
            </w:r>
            <w:r>
              <w:rPr>
                <w:b/>
                <w:sz w:val="21"/>
              </w:rPr>
              <w:t xml:space="preserve"> </w:t>
            </w:r>
            <w:r>
              <w:rPr>
                <w:b/>
                <w:sz w:val="21"/>
              </w:rPr>
              <w:t xml:space="preserve"> FE</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2</w:t>
            </w:r>
            <w:r>
              <w:rPr>
                <w:b/>
                <w:sz w:val="21"/>
              </w:rPr>
              <w:t xml:space="preserve"> </w:t>
            </w:r>
            <w:r>
              <w:rPr>
                <w:b/>
                <w:sz w:val="21"/>
              </w:rPr>
              <w:t>）加控制变量</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3</w:t>
            </w:r>
            <w:r>
              <w:rPr>
                <w:b/>
                <w:sz w:val="21"/>
              </w:rPr>
              <w:t xml:space="preserve"> </w:t>
            </w:r>
            <w:r>
              <w:rPr>
                <w:b/>
                <w:sz w:val="21"/>
              </w:rPr>
              <w:t>）双向</w:t>
            </w:r>
            <w:r>
              <w:rPr>
                <w:b/>
                <w:sz w:val="21"/>
              </w:rPr>
              <w:t xml:space="preserve"> </w:t>
            </w:r>
            <w:r>
              <w:rPr>
                <w:b/>
                <w:sz w:val="21"/>
              </w:rPr>
              <w:t xml:space="preserve"> FE</w:t>
            </w:r>
            <w:r>
              <w:rPr>
                <w:b/>
                <w:sz w:val="21"/>
              </w:rPr>
              <w:t xml:space="preserve"> </w:t>
            </w:r>
            <w:r>
              <w:rPr>
                <w:b/>
                <w:sz w:val="21"/>
              </w:rPr>
              <w:t>（基准）</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4</w:t>
            </w:r>
            <w:r>
              <w:rPr>
                <w:b/>
                <w:sz w:val="21"/>
              </w:rPr>
              <w:t xml:space="preserve"> </w:t>
            </w:r>
            <w:r>
              <w:rPr>
                <w:b/>
                <w:sz w:val="21"/>
              </w:rPr>
              <w:t>）剔除冲击年份</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2.060***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2.050***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1.447***</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1.494***</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(0.574)</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(0.502)</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(0.318)</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(0.396)</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控制变量</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否</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年份固定效应</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企业固定效应</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否</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否</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N</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1080</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R²</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0.030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0.266</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0.740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0.764</w:t>
            </w:r>
          </w:p>
        </w:tc>
      </w:tr>
    </w:tbl>
    <w:p>
      <w:pPr>
        <w:ind w:firstLine="0"/>
        <w:jc w:val="both"/>
      </w:pPr>
      <w:r>
        <w:rPr>
          <w:rFonts w:ascii="宋体" w:eastAsia="宋体" w:hAnsi="宋体" w:cs="宋体" w:hint="eastAsia"/>
          <w:color w:val="000000"/>
          <w:sz w:val="18"/>
          <w:lang w:eastAsia="zh-CN"/>
        </w:rPr>
        <w:t>注：括号内为企业层面聚类稳健标准误；</w:t>
      </w:r>
      <w:r>
        <w:rPr>
          <w:color w:val="000000"/>
          <w:sz w:val="18"/>
        </w:rPr>
        <w:t>***</w:t>
      </w:r>
      <w:r>
        <w:rPr>
          <w:rFonts w:ascii="宋体" w:eastAsia="宋体" w:hAnsi="宋体" w:cs="宋体" w:hint="eastAsia"/>
          <w:color w:val="000000"/>
          <w:sz w:val="18"/>
          <w:lang w:eastAsia="zh-CN"/>
        </w:rPr>
        <w:t>、</w:t>
      </w:r>
      <w:r>
        <w:rPr>
          <w:color w:val="000000"/>
          <w:sz w:val="18"/>
        </w:rPr>
        <w:t>**</w:t>
      </w:r>
      <w:r>
        <w:rPr>
          <w:rFonts w:ascii="宋体" w:eastAsia="宋体" w:hAnsi="宋体" w:cs="宋体" w:hint="eastAsia"/>
          <w:color w:val="000000"/>
          <w:sz w:val="18"/>
          <w:lang w:eastAsia="zh-CN"/>
        </w:rPr>
        <w:t>、</w:t>
      </w:r>
      <w:r>
        <w:rPr>
          <w:color w:val="000000"/>
          <w:sz w:val="18"/>
        </w:rPr>
        <w:t xml:space="preserve">* </w:t>
      </w:r>
      <w:r>
        <w:rPr>
          <w:rFonts w:ascii="宋体" w:eastAsia="宋体" w:hAnsi="宋体" w:cs="宋体" w:hint="eastAsia"/>
          <w:color w:val="000000"/>
          <w:sz w:val="18"/>
          <w:lang w:eastAsia="zh-CN"/>
        </w:rPr>
        <w:t>分别表示</w:t>
      </w:r>
      <w:r>
        <w:rPr>
          <w:color w:val="000000"/>
          <w:sz w:val="18"/>
        </w:rPr>
        <w:t xml:space="preserve"> 1%</w:t>
      </w:r>
      <w:r>
        <w:rPr>
          <w:rFonts w:ascii="宋体" w:eastAsia="宋体" w:hAnsi="宋体" w:cs="宋体" w:hint="eastAsia"/>
          <w:color w:val="000000"/>
          <w:sz w:val="18"/>
          <w:lang w:eastAsia="zh-CN"/>
        </w:rPr>
        <w:t>、</w:t>
      </w:r>
      <w:r>
        <w:rPr>
          <w:color w:val="000000"/>
          <w:sz w:val="18"/>
        </w:rPr>
        <w:t>5%</w:t>
      </w:r>
      <w:r>
        <w:rPr>
          <w:rFonts w:ascii="宋体" w:eastAsia="宋体" w:hAnsi="宋体" w:cs="宋体" w:hint="eastAsia"/>
          <w:color w:val="000000"/>
          <w:sz w:val="18"/>
          <w:lang w:eastAsia="zh-CN"/>
        </w:rPr>
        <w:t>、</w:t>
      </w:r>
      <w:r>
        <w:rPr>
          <w:color w:val="000000"/>
          <w:sz w:val="18"/>
        </w:rPr>
        <w:t xml:space="preserve">10% </w:t>
      </w:r>
      <w:r>
        <w:rPr>
          <w:rFonts w:ascii="宋体" w:eastAsia="宋体" w:hAnsi="宋体" w:cs="宋体" w:hint="eastAsia"/>
          <w:color w:val="000000"/>
          <w:sz w:val="18"/>
          <w:lang w:eastAsia="zh-CN"/>
        </w:rPr>
        <w:t>显著性水平；第（</w:t>
      </w:r>
      <w:r>
        <w:rPr>
          <w:color w:val="000000"/>
          <w:sz w:val="18"/>
        </w:rPr>
        <w:t>4</w:t>
      </w:r>
      <w:r>
        <w:rPr>
          <w:rFonts w:ascii="宋体" w:eastAsia="宋体" w:hAnsi="宋体" w:cs="宋体" w:hint="eastAsia"/>
          <w:color w:val="000000"/>
          <w:sz w:val="18"/>
          <w:lang w:eastAsia="zh-CN"/>
        </w:rPr>
        <w:t>）列剔除</w:t>
      </w:r>
      <w:r>
        <w:rPr>
          <w:color w:val="000000"/>
          <w:sz w:val="18"/>
        </w:rPr>
        <w:t xml:space="preserve"> 2020—2022 </w:t>
      </w:r>
      <w:r>
        <w:rPr>
          <w:rFonts w:ascii="宋体" w:eastAsia="宋体" w:hAnsi="宋体" w:cs="宋体" w:hint="eastAsia"/>
          <w:color w:val="000000"/>
          <w:sz w:val="18"/>
          <w:lang w:eastAsia="zh-CN"/>
        </w:rPr>
        <w:t>年外部冲击年份。</w:t>
      </w:r>
    </w:p>
    <w:p>
      <w:pPr>
        <w:pStyle w:val="Heading3"/>
      </w:pPr>
      <w:r>
        <w:rPr>
          <w:rFonts w:ascii="宋体" w:hAnsi="宋体" w:eastAsia="宋体" w:cs="宋体" w:hint="eastAsia"/>
          <w:b/>
          <w:color w:val="000000"/>
          <w:sz w:val="24"/>
          <w:lang w:eastAsia="zh-CN"/>
        </w:rPr>
        <w:t>（六）稳健性检验</w:t>
      </w:r>
    </w:p>
    <w:p>
      <w:pPr>
        <w:ind w:firstLine="480"/>
        <w:jc w:val="both"/>
      </w:pPr>
      <w:r>
        <w:rPr>
          <w:rFonts w:ascii="宋体" w:eastAsia="宋体" w:hAnsi="宋体" w:cs="宋体" w:hint="eastAsia"/>
          <w:lang w:eastAsia="zh-CN"/>
        </w:rPr>
        <w:t>表</w:t>
      </w:r>
      <w:r>
        <w:t xml:space="preserve"> 7 </w:t>
      </w:r>
      <w:r>
        <w:rPr>
          <w:rFonts w:ascii="宋体" w:eastAsia="宋体" w:hAnsi="宋体" w:cs="宋体" w:hint="eastAsia"/>
          <w:lang w:eastAsia="zh-CN"/>
        </w:rPr>
        <w:t>通过更换被解释变量与更换核心解释变量两种方式检验结论的稳健性。第（</w:t>
      </w:r>
      <w:r>
        <w:t>1</w:t>
      </w:r>
      <w:r>
        <w:rPr>
          <w:rFonts w:ascii="宋体" w:eastAsia="宋体" w:hAnsi="宋体" w:cs="宋体" w:hint="eastAsia"/>
          <w:lang w:eastAsia="zh-CN"/>
        </w:rPr>
        <w:t>）列以</w:t>
      </w:r>
      <w:r>
        <w:t xml:space="preserve"> TobinQ </w:t>
      </w:r>
      <w:r>
        <w:rPr>
          <w:rFonts w:ascii="宋体" w:eastAsia="宋体" w:hAnsi="宋体" w:cs="宋体" w:hint="eastAsia"/>
          <w:lang w:eastAsia="zh-CN"/>
        </w:rPr>
        <w:t>为被解释变量，</w:t>
      </w:r>
      <w:r>
        <w:t xml:space="preserve">DigTrans </w:t>
      </w:r>
      <w:r>
        <w:rPr>
          <w:rFonts w:ascii="宋体" w:eastAsia="宋体" w:hAnsi="宋体" w:cs="宋体" w:hint="eastAsia"/>
          <w:lang w:eastAsia="zh-CN"/>
        </w:rPr>
        <w:t>系数为</w:t>
      </w:r>
      <w:r>
        <w:t xml:space="preserve"> 0.607</w:t>
      </w:r>
      <w:r>
        <w:rPr>
          <w:rFonts w:ascii="宋体" w:eastAsia="宋体" w:hAnsi="宋体" w:cs="宋体" w:hint="eastAsia"/>
          <w:lang w:eastAsia="zh-CN"/>
        </w:rPr>
        <w:t>（</w:t>
      </w:r>
      <w:r>
        <w:t>p&lt;0.01</w:t>
      </w:r>
      <w:r>
        <w:rPr>
          <w:rFonts w:ascii="宋体" w:eastAsia="宋体" w:hAnsi="宋体" w:cs="宋体" w:hint="eastAsia"/>
          <w:lang w:eastAsia="zh-CN"/>
        </w:rPr>
        <w:t>），说明数字化转型同样提升资本市场估值；第（</w:t>
      </w:r>
      <w:r>
        <w:t>2</w:t>
      </w:r>
      <w:r>
        <w:rPr>
          <w:rFonts w:ascii="宋体" w:eastAsia="宋体" w:hAnsi="宋体" w:cs="宋体" w:hint="eastAsia"/>
          <w:lang w:eastAsia="zh-CN"/>
        </w:rPr>
        <w:t>）列以</w:t>
      </w:r>
      <w:r>
        <w:t xml:space="preserve"> LP </w:t>
      </w:r>
      <w:r>
        <w:rPr>
          <w:rFonts w:ascii="宋体" w:eastAsia="宋体" w:hAnsi="宋体" w:cs="宋体" w:hint="eastAsia"/>
          <w:lang w:eastAsia="zh-CN"/>
        </w:rPr>
        <w:t>法估计的全要素生产率</w:t>
      </w:r>
      <w:r>
        <w:t xml:space="preserve"> TFP_LP </w:t>
      </w:r>
      <w:r>
        <w:rPr>
          <w:rFonts w:ascii="宋体" w:eastAsia="宋体" w:hAnsi="宋体" w:cs="宋体" w:hint="eastAsia"/>
          <w:lang w:eastAsia="zh-CN"/>
        </w:rPr>
        <w:t>为被解释变量，系数为</w:t>
      </w:r>
      <w:r>
        <w:t xml:space="preserve"> 0.084</w:t>
      </w:r>
      <w:r>
        <w:rPr>
          <w:rFonts w:ascii="宋体" w:eastAsia="宋体" w:hAnsi="宋体" w:cs="宋体" w:hint="eastAsia"/>
          <w:lang w:eastAsia="zh-CN"/>
        </w:rPr>
        <w:t>（</w:t>
      </w:r>
      <w:r>
        <w:t>p&lt;0.01</w:t>
      </w:r>
      <w:r>
        <w:rPr>
          <w:rFonts w:ascii="宋体" w:eastAsia="宋体" w:hAnsi="宋体" w:cs="宋体" w:hint="eastAsia"/>
          <w:lang w:eastAsia="zh-CN"/>
        </w:rPr>
        <w:t>），表明数字化通过技术改造提高了生产效率；第（</w:t>
      </w:r>
      <w:r>
        <w:t>3</w:t>
      </w:r>
      <w:r>
        <w:rPr>
          <w:rFonts w:ascii="宋体" w:eastAsia="宋体" w:hAnsi="宋体" w:cs="宋体" w:hint="eastAsia"/>
          <w:lang w:eastAsia="zh-CN"/>
        </w:rPr>
        <w:t>）列以熵权法测度</w:t>
      </w:r>
      <w:r>
        <w:t xml:space="preserve"> DigTrans_ew </w:t>
      </w:r>
      <w:r>
        <w:rPr>
          <w:rFonts w:ascii="宋体" w:eastAsia="宋体" w:hAnsi="宋体" w:cs="宋体" w:hint="eastAsia"/>
          <w:lang w:eastAsia="zh-CN"/>
        </w:rPr>
        <w:t>替换主指标，系数为</w:t>
      </w:r>
      <w:r>
        <w:t xml:space="preserve"> 1.739</w:t>
      </w:r>
      <w:r>
        <w:rPr>
          <w:rFonts w:ascii="宋体" w:eastAsia="宋体" w:hAnsi="宋体" w:cs="宋体" w:hint="eastAsia"/>
          <w:lang w:eastAsia="zh-CN"/>
        </w:rPr>
        <w:t>（</w:t>
      </w:r>
      <w:r>
        <w:t>p&lt;0.01</w:t>
      </w:r>
      <w:r>
        <w:rPr>
          <w:rFonts w:ascii="宋体" w:eastAsia="宋体" w:hAnsi="宋体" w:cs="宋体" w:hint="eastAsia"/>
          <w:lang w:eastAsia="zh-CN"/>
        </w:rPr>
        <w:t>）；第（</w:t>
      </w:r>
      <w:r>
        <w:t>4</w:t>
      </w:r>
      <w:r>
        <w:rPr>
          <w:rFonts w:ascii="宋体" w:eastAsia="宋体" w:hAnsi="宋体" w:cs="宋体" w:hint="eastAsia"/>
          <w:lang w:eastAsia="zh-CN"/>
        </w:rPr>
        <w:t>）列以主成分因子得分</w:t>
      </w:r>
      <w:r>
        <w:t xml:space="preserve"> DigTrans_pca </w:t>
      </w:r>
      <w:r>
        <w:rPr>
          <w:rFonts w:ascii="宋体" w:eastAsia="宋体" w:hAnsi="宋体" w:cs="宋体" w:hint="eastAsia"/>
          <w:lang w:eastAsia="zh-CN"/>
        </w:rPr>
        <w:t>替换主指标，系数为</w:t>
      </w:r>
      <w:r>
        <w:t xml:space="preserve"> 0.248</w:t>
      </w:r>
      <w:r>
        <w:rPr>
          <w:rFonts w:ascii="宋体" w:eastAsia="宋体" w:hAnsi="宋体" w:cs="宋体" w:hint="eastAsia"/>
          <w:lang w:eastAsia="zh-CN"/>
        </w:rPr>
        <w:t>（</w:t>
      </w:r>
      <w:r>
        <w:t>p&lt;0.01</w:t>
      </w:r>
      <w:r>
        <w:rPr>
          <w:rFonts w:ascii="宋体" w:eastAsia="宋体" w:hAnsi="宋体" w:cs="宋体" w:hint="eastAsia"/>
          <w:lang w:eastAsia="zh-CN"/>
        </w:rPr>
        <w:t>）。四种设定下核心解释变量均在</w:t>
      </w:r>
      <w:r>
        <w:t xml:space="preserve"> 1% </w:t>
      </w:r>
      <w:r>
        <w:rPr>
          <w:rFonts w:ascii="宋体" w:eastAsia="宋体" w:hAnsi="宋体" w:cs="宋体" w:hint="eastAsia"/>
          <w:lang w:eastAsia="zh-CN"/>
        </w:rPr>
        <w:t>水平显著为正，说明结论不依赖于特定的测度构造方案或单一被解释变量。</w:t>
      </w:r>
    </w:p>
    <w:p>
      <w:pPr>
        <w:ind w:firstLine="0"/>
        <w:jc w:val="center"/>
      </w:pPr>
      <w:r>
        <w:rPr>
          <w:rFonts w:ascii="宋体" w:hAnsi="宋体" w:eastAsia="宋体" w:cs="宋体" w:hint="eastAsia"/>
          <w:b/>
          <w:sz w:val="21"/>
          <w:lang w:eastAsia="zh-CN"/>
        </w:rPr>
        <w:t>表</w:t>
      </w:r>
      <w:r>
        <w:rPr>
          <w:rFonts w:ascii="黑体" w:hAnsi="黑体"/>
          <w:b/>
          <w:sz w:val="21"/>
        </w:rPr>
        <w:t xml:space="preserve"> 7</w:t>
      </w:r>
      <w:r>
        <w:rPr>
          <w:rFonts w:ascii="宋体" w:hAnsi="宋体" w:eastAsia="宋体" w:cs="宋体" w:hint="eastAsia"/>
          <w:b/>
          <w:sz w:val="21"/>
          <w:lang w:eastAsia="zh-CN"/>
        </w:rPr>
        <w:t xml:space="preserve">　稳健性检验</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w:t>
            </w:r>
            <w:r>
              <w:rPr>
                <w:b/>
                <w:sz w:val="21"/>
              </w:rPr>
              <w:t xml:space="preserve"> </w:t>
            </w:r>
            <w:r>
              <w:rPr>
                <w:b/>
                <w:sz w:val="21"/>
              </w:rPr>
              <w:t>/</w:t>
            </w:r>
            <w:r>
              <w:rPr>
                <w:b/>
                <w:sz w:val="21"/>
              </w:rPr>
              <w:t xml:space="preserve"> </w:t>
            </w:r>
            <w:r>
              <w:rPr>
                <w:b/>
                <w:sz w:val="21"/>
              </w:rPr>
              <w:t>模型</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1</w:t>
            </w:r>
            <w:r>
              <w:rPr>
                <w:b/>
                <w:sz w:val="21"/>
              </w:rPr>
              <w:t xml:space="preserve"> </w:t>
            </w:r>
            <w:r>
              <w:rPr>
                <w:b/>
                <w:sz w:val="21"/>
              </w:rPr>
              <w:t>）</w:t>
            </w:r>
            <w:r>
              <w:rPr>
                <w:b/>
                <w:sz w:val="21"/>
              </w:rPr>
              <w:t xml:space="preserve"> </w:t>
            </w:r>
            <w:r>
              <w:rPr>
                <w:b/>
                <w:sz w:val="21"/>
              </w:rPr>
              <w:t>TobinQ</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2</w:t>
            </w:r>
            <w:r>
              <w:rPr>
                <w:b/>
                <w:sz w:val="21"/>
              </w:rPr>
              <w:t xml:space="preserve"> </w:t>
            </w:r>
            <w:r>
              <w:rPr>
                <w:b/>
                <w:sz w:val="21"/>
              </w:rPr>
              <w:t>）</w:t>
            </w:r>
            <w:r>
              <w:rPr>
                <w:b/>
                <w:sz w:val="21"/>
              </w:rPr>
              <w:t xml:space="preserve"> </w:t>
            </w:r>
            <w:r>
              <w:rPr>
                <w:b/>
                <w:sz w:val="21"/>
              </w:rPr>
              <w:t>TFP_LP</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3</w:t>
            </w:r>
            <w:r>
              <w:rPr>
                <w:b/>
                <w:sz w:val="21"/>
              </w:rPr>
              <w:t xml:space="preserve"> </w:t>
            </w:r>
            <w:r>
              <w:rPr>
                <w:b/>
                <w:sz w:val="21"/>
              </w:rPr>
              <w:t>）熵权法指标</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4</w:t>
            </w:r>
            <w:r>
              <w:rPr>
                <w:b/>
                <w:sz w:val="21"/>
              </w:rPr>
              <w:t xml:space="preserve"> </w:t>
            </w:r>
            <w:r>
              <w:rPr>
                <w:b/>
                <w:sz w:val="21"/>
              </w:rPr>
              <w:t>）因子得分</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核心解释变量</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0.607***</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0.084***</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1.739***</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0.248***</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(0.144)</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(0.024)</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(0.380)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(0.053)</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控制变量</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双向固定效应</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N</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R²</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0.329</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0.225</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0.740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0.740</w:t>
            </w:r>
          </w:p>
        </w:tc>
      </w:tr>
    </w:tbl>
    <w:p>
      <w:pPr>
        <w:ind w:firstLine="0"/>
        <w:jc w:val="both"/>
      </w:pPr>
      <w:r>
        <w:rPr>
          <w:rFonts w:ascii="宋体" w:eastAsia="宋体" w:hAnsi="宋体" w:cs="宋体" w:hint="eastAsia"/>
          <w:color w:val="000000"/>
          <w:sz w:val="18"/>
          <w:lang w:eastAsia="zh-CN"/>
        </w:rPr>
        <w:t>注：第（</w:t>
      </w:r>
      <w:r>
        <w:rPr>
          <w:color w:val="000000"/>
          <w:sz w:val="18"/>
        </w:rPr>
        <w:t>1</w:t>
      </w:r>
      <w:r>
        <w:rPr>
          <w:rFonts w:ascii="宋体" w:eastAsia="宋体" w:hAnsi="宋体" w:cs="宋体" w:hint="eastAsia"/>
          <w:color w:val="000000"/>
          <w:sz w:val="18"/>
          <w:lang w:eastAsia="zh-CN"/>
        </w:rPr>
        <w:t>）（</w:t>
      </w:r>
      <w:r>
        <w:rPr>
          <w:color w:val="000000"/>
          <w:sz w:val="18"/>
        </w:rPr>
        <w:t>2</w:t>
      </w:r>
      <w:r>
        <w:rPr>
          <w:rFonts w:ascii="宋体" w:eastAsia="宋体" w:hAnsi="宋体" w:cs="宋体" w:hint="eastAsia"/>
          <w:color w:val="000000"/>
          <w:sz w:val="18"/>
          <w:lang w:eastAsia="zh-CN"/>
        </w:rPr>
        <w:t>）列更换被解释变量，第（</w:t>
      </w:r>
      <w:r>
        <w:rPr>
          <w:color w:val="000000"/>
          <w:sz w:val="18"/>
        </w:rPr>
        <w:t>3</w:t>
      </w:r>
      <w:r>
        <w:rPr>
          <w:rFonts w:ascii="宋体" w:eastAsia="宋体" w:hAnsi="宋体" w:cs="宋体" w:hint="eastAsia"/>
          <w:color w:val="000000"/>
          <w:sz w:val="18"/>
          <w:lang w:eastAsia="zh-CN"/>
        </w:rPr>
        <w:t>）（</w:t>
      </w:r>
      <w:r>
        <w:rPr>
          <w:color w:val="000000"/>
          <w:sz w:val="18"/>
        </w:rPr>
        <w:t>4</w:t>
      </w:r>
      <w:r>
        <w:rPr>
          <w:rFonts w:ascii="宋体" w:eastAsia="宋体" w:hAnsi="宋体" w:cs="宋体" w:hint="eastAsia"/>
          <w:color w:val="000000"/>
          <w:sz w:val="18"/>
          <w:lang w:eastAsia="zh-CN"/>
        </w:rPr>
        <w:t>）列更换核心解释变量测度方式；标准误按企业层面聚类。</w:t>
      </w:r>
    </w:p>
    <w:p>
      <w:pPr>
        <w:pStyle w:val="Heading3"/>
      </w:pPr>
      <w:r>
        <w:rPr>
          <w:rFonts w:ascii="宋体" w:hAnsi="宋体" w:eastAsia="宋体" w:cs="宋体" w:hint="eastAsia"/>
          <w:b/>
          <w:color w:val="000000"/>
          <w:sz w:val="24"/>
          <w:lang w:eastAsia="zh-CN"/>
        </w:rPr>
        <w:t>（七）异质性分析</w:t>
      </w:r>
    </w:p>
    <w:p>
      <w:pPr>
        <w:ind w:firstLine="480"/>
        <w:jc w:val="both"/>
      </w:pPr>
      <w:r>
        <w:rPr>
          <w:rFonts w:ascii="宋体" w:eastAsia="宋体" w:hAnsi="宋体" w:cs="宋体" w:hint="eastAsia"/>
          <w:lang w:eastAsia="zh-CN"/>
        </w:rPr>
        <w:t>表</w:t>
      </w:r>
      <w:r>
        <w:t xml:space="preserve"> 8 </w:t>
      </w:r>
      <w:r>
        <w:rPr>
          <w:rFonts w:ascii="宋体" w:eastAsia="宋体" w:hAnsi="宋体" w:cs="宋体" w:hint="eastAsia"/>
          <w:lang w:eastAsia="zh-CN"/>
        </w:rPr>
        <w:t>按产权性质与行业技术属性分组回归。国有控股企业的系数为</w:t>
      </w:r>
      <w:r>
        <w:t xml:space="preserve"> 1.166</w:t>
      </w:r>
      <w:r>
        <w:rPr>
          <w:rFonts w:ascii="宋体" w:eastAsia="宋体" w:hAnsi="宋体" w:cs="宋体" w:hint="eastAsia"/>
          <w:lang w:eastAsia="zh-CN"/>
        </w:rPr>
        <w:t>（</w:t>
      </w:r>
      <w:r>
        <w:t>p&lt;0.10</w:t>
      </w:r>
      <w:r>
        <w:rPr>
          <w:rFonts w:ascii="宋体" w:eastAsia="宋体" w:hAnsi="宋体" w:cs="宋体" w:hint="eastAsia"/>
          <w:lang w:eastAsia="zh-CN"/>
        </w:rPr>
        <w:t>）、非国有企业为</w:t>
      </w:r>
      <w:r>
        <w:t xml:space="preserve"> 1.512</w:t>
      </w:r>
      <w:r>
        <w:rPr>
          <w:rFonts w:ascii="宋体" w:eastAsia="宋体" w:hAnsi="宋体" w:cs="宋体" w:hint="eastAsia"/>
          <w:lang w:eastAsia="zh-CN"/>
        </w:rPr>
        <w:t>（</w:t>
      </w:r>
      <w:r>
        <w:t>p&lt;0.01</w:t>
      </w:r>
      <w:r>
        <w:rPr>
          <w:rFonts w:ascii="宋体" w:eastAsia="宋体" w:hAnsi="宋体" w:cs="宋体" w:hint="eastAsia"/>
          <w:lang w:eastAsia="zh-CN"/>
        </w:rPr>
        <w:t>）；高技术行业企业系数为</w:t>
      </w:r>
      <w:r>
        <w:t xml:space="preserve"> 1.204</w:t>
      </w:r>
      <w:r>
        <w:rPr>
          <w:rFonts w:ascii="宋体" w:eastAsia="宋体" w:hAnsi="宋体" w:cs="宋体" w:hint="eastAsia"/>
          <w:lang w:eastAsia="zh-CN"/>
        </w:rPr>
        <w:t>（</w:t>
      </w:r>
      <w:r>
        <w:t>p&lt;0.10</w:t>
      </w:r>
      <w:r>
        <w:rPr>
          <w:rFonts w:ascii="宋体" w:eastAsia="宋体" w:hAnsi="宋体" w:cs="宋体" w:hint="eastAsia"/>
          <w:lang w:eastAsia="zh-CN"/>
        </w:rPr>
        <w:t>）、传统制造行业为</w:t>
      </w:r>
      <w:r>
        <w:t xml:space="preserve"> 1.523</w:t>
      </w:r>
      <w:r>
        <w:rPr>
          <w:rFonts w:ascii="宋体" w:eastAsia="宋体" w:hAnsi="宋体" w:cs="宋体" w:hint="eastAsia"/>
          <w:lang w:eastAsia="zh-CN"/>
        </w:rPr>
        <w:t>（</w:t>
      </w:r>
      <w:r>
        <w:t>p&lt;0.01</w:t>
      </w:r>
      <w:r>
        <w:rPr>
          <w:rFonts w:ascii="宋体" w:eastAsia="宋体" w:hAnsi="宋体" w:cs="宋体" w:hint="eastAsia"/>
          <w:lang w:eastAsia="zh-CN"/>
        </w:rPr>
        <w:t>）。表面上非国有与传统制造行业的边际效应更大，但交互项检验显示，</w:t>
      </w:r>
      <w:r>
        <w:t xml:space="preserve">DigTrans×SOE </w:t>
      </w:r>
      <w:r>
        <w:rPr>
          <w:rFonts w:ascii="宋体" w:eastAsia="宋体" w:hAnsi="宋体" w:cs="宋体" w:hint="eastAsia"/>
          <w:lang w:eastAsia="zh-CN"/>
        </w:rPr>
        <w:t>的系数为</w:t>
      </w:r>
      <w:r>
        <w:t xml:space="preserve"> −0.786</w:t>
      </w:r>
      <w:r>
        <w:rPr>
          <w:rFonts w:ascii="宋体" w:eastAsia="宋体" w:hAnsi="宋体" w:cs="宋体" w:hint="eastAsia"/>
          <w:lang w:eastAsia="zh-CN"/>
        </w:rPr>
        <w:t>（</w:t>
      </w:r>
      <w:r>
        <w:t>p=0.292</w:t>
      </w:r>
      <w:r>
        <w:rPr>
          <w:rFonts w:ascii="宋体" w:eastAsia="宋体" w:hAnsi="宋体" w:cs="宋体" w:hint="eastAsia"/>
          <w:lang w:eastAsia="zh-CN"/>
        </w:rPr>
        <w:t>）、</w:t>
      </w:r>
      <w:r>
        <w:t xml:space="preserve">DigTrans×HighTech </w:t>
      </w:r>
      <w:r>
        <w:rPr>
          <w:rFonts w:ascii="宋体" w:eastAsia="宋体" w:hAnsi="宋体" w:cs="宋体" w:hint="eastAsia"/>
          <w:lang w:eastAsia="zh-CN"/>
        </w:rPr>
        <w:t>的系数为</w:t>
      </w:r>
      <w:r>
        <w:t xml:space="preserve"> 0.062</w:t>
      </w:r>
      <w:r>
        <w:rPr>
          <w:rFonts w:ascii="宋体" w:eastAsia="宋体" w:hAnsi="宋体" w:cs="宋体" w:hint="eastAsia"/>
          <w:lang w:eastAsia="zh-CN"/>
        </w:rPr>
        <w:t>（</w:t>
      </w:r>
      <w:r>
        <w:t>p=0.935</w:t>
      </w:r>
      <w:r>
        <w:rPr>
          <w:rFonts w:ascii="宋体" w:eastAsia="宋体" w:hAnsi="宋体" w:cs="宋体" w:hint="eastAsia"/>
          <w:lang w:eastAsia="zh-CN"/>
        </w:rPr>
        <w:t>），均未达到统计显著水平。因此更审慎的结论是：</w:t>
      </w:r>
      <w:r>
        <w:rPr>
          <w:rFonts w:ascii="宋体" w:eastAsia="宋体" w:hAnsi="宋体" w:cs="宋体" w:hint="eastAsia"/>
          <w:b/>
          <w:lang w:eastAsia="zh-CN"/>
        </w:rPr>
        <w:t>数字化转型的绩效效应在各类型企业中都存在，但尚无可靠证据表明存在显著的组间差异</w:t>
      </w:r>
      <w:r>
        <w:rPr>
          <w:rFonts w:ascii="宋体" w:eastAsia="宋体" w:hAnsi="宋体" w:cs="宋体" w:hint="eastAsia"/>
          <w:lang w:eastAsia="zh-CN"/>
        </w:rPr>
        <w:t>。若强行解读分组系数差异，容易犯</w:t>
      </w:r>
      <w:r>
        <w:t>“</w:t>
      </w:r>
      <w:r>
        <w:rPr>
          <w:rFonts w:ascii="宋体" w:eastAsia="宋体" w:hAnsi="宋体" w:cs="宋体" w:hint="eastAsia"/>
          <w:lang w:eastAsia="zh-CN"/>
        </w:rPr>
        <w:t>把统计噪声当作经济机制</w:t>
      </w:r>
      <w:r>
        <w:t>”</w:t>
      </w:r>
      <w:r>
        <w:rPr>
          <w:rFonts w:ascii="宋体" w:eastAsia="宋体" w:hAnsi="宋体" w:cs="宋体" w:hint="eastAsia"/>
          <w:lang w:eastAsia="zh-CN"/>
        </w:rPr>
        <w:t>的错误</w:t>
      </w:r>
      <w:r>
        <w:t>——</w:t>
      </w:r>
      <w:r>
        <w:rPr>
          <w:rFonts w:ascii="宋体" w:eastAsia="宋体" w:hAnsi="宋体" w:cs="宋体" w:hint="eastAsia"/>
          <w:lang w:eastAsia="zh-CN"/>
        </w:rPr>
        <w:t>这也是文本测度研究中需要特别警惕的推断陷阱。</w:t>
      </w:r>
    </w:p>
    <w:p>
      <w:pPr>
        <w:ind w:firstLine="0"/>
        <w:jc w:val="center"/>
      </w:pPr>
      <w:r>
        <w:rPr>
          <w:rFonts w:ascii="宋体" w:hAnsi="宋体" w:eastAsia="宋体" w:cs="宋体" w:hint="eastAsia"/>
          <w:b/>
          <w:sz w:val="21"/>
          <w:lang w:eastAsia="zh-CN"/>
        </w:rPr>
        <w:t>表</w:t>
      </w:r>
      <w:r>
        <w:rPr>
          <w:rFonts w:ascii="黑体" w:hAnsi="黑体"/>
          <w:b/>
          <w:sz w:val="21"/>
        </w:rPr>
        <w:t xml:space="preserve"> 8</w:t>
      </w:r>
      <w:r>
        <w:rPr>
          <w:rFonts w:ascii="宋体" w:hAnsi="宋体" w:eastAsia="宋体" w:cs="宋体" w:hint="eastAsia"/>
          <w:b/>
          <w:sz w:val="21"/>
          <w:lang w:eastAsia="zh-CN"/>
        </w:rPr>
        <w:t xml:space="preserve">　异质性分析（因变量：</w:t>
      </w:r>
      <w:r>
        <w:rPr>
          <w:rFonts w:ascii="黑体" w:hAnsi="黑体"/>
          <w:b/>
          <w:sz w:val="21"/>
        </w:rPr>
        <w:t>ROA</w:t>
      </w:r>
      <w:r>
        <w:rPr>
          <w:rFonts w:ascii="宋体" w:hAnsi="宋体" w:eastAsia="宋体" w:cs="宋体" w:hint="eastAsia"/>
          <w:b/>
          <w:sz w:val="21"/>
          <w:lang w:eastAsia="zh-CN"/>
        </w:rPr>
        <w:t>）</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分组</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1</w:t>
            </w:r>
            <w:r>
              <w:rPr>
                <w:b/>
                <w:sz w:val="21"/>
              </w:rPr>
              <w:t xml:space="preserve"> </w:t>
            </w:r>
            <w:r>
              <w:rPr>
                <w:b/>
                <w:sz w:val="21"/>
              </w:rPr>
              <w:t>）国有企业</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2</w:t>
            </w:r>
            <w:r>
              <w:rPr>
                <w:b/>
                <w:sz w:val="21"/>
              </w:rPr>
              <w:t xml:space="preserve"> </w:t>
            </w:r>
            <w:r>
              <w:rPr>
                <w:b/>
                <w:sz w:val="21"/>
              </w:rPr>
              <w:t>）非国有企业</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3</w:t>
            </w:r>
            <w:r>
              <w:rPr>
                <w:b/>
                <w:sz w:val="21"/>
              </w:rPr>
              <w:t xml:space="preserve"> </w:t>
            </w:r>
            <w:r>
              <w:rPr>
                <w:b/>
                <w:sz w:val="21"/>
              </w:rPr>
              <w:t>）高技术行业</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4</w:t>
            </w:r>
            <w:r>
              <w:rPr>
                <w:b/>
                <w:sz w:val="21"/>
              </w:rPr>
              <w:t xml:space="preserve"> </w:t>
            </w:r>
            <w:r>
              <w:rPr>
                <w:b/>
                <w:sz w:val="21"/>
              </w:rPr>
              <w:t>）传统制造行业</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1.166*</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1.512***</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1.204*</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1.523***</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(0.690)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(0.351)</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(0.632)</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(0.359)</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N</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459</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1161</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450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1170</w:t>
            </w:r>
          </w:p>
        </w:tc>
      </w:tr>
    </w:tbl>
    <w:p>
      <w:pPr>
        <w:ind w:firstLine="0"/>
        <w:jc w:val="both"/>
      </w:pPr>
      <w:r>
        <w:rPr>
          <w:rFonts w:ascii="宋体" w:eastAsia="宋体" w:hAnsi="宋体" w:cs="宋体" w:hint="eastAsia"/>
          <w:color w:val="000000"/>
          <w:sz w:val="18"/>
          <w:lang w:eastAsia="zh-CN"/>
        </w:rPr>
        <w:t>注：分组回归均控制全部控制变量与双向固定效应，标准误按企业层面聚类；交互项检验结果：</w:t>
      </w:r>
      <w:r>
        <w:rPr>
          <w:color w:val="000000"/>
          <w:sz w:val="18"/>
        </w:rPr>
        <w:t>DigTrans×SOE = −0.786</w:t>
      </w:r>
      <w:r>
        <w:rPr>
          <w:rFonts w:ascii="宋体" w:eastAsia="宋体" w:hAnsi="宋体" w:cs="宋体" w:hint="eastAsia"/>
          <w:color w:val="000000"/>
          <w:sz w:val="18"/>
          <w:lang w:eastAsia="zh-CN"/>
        </w:rPr>
        <w:t>（</w:t>
      </w:r>
      <w:r>
        <w:rPr>
          <w:color w:val="000000"/>
          <w:sz w:val="18"/>
        </w:rPr>
        <w:t>p=0.292</w:t>
      </w:r>
      <w:r>
        <w:rPr>
          <w:rFonts w:ascii="宋体" w:eastAsia="宋体" w:hAnsi="宋体" w:cs="宋体" w:hint="eastAsia"/>
          <w:color w:val="000000"/>
          <w:sz w:val="18"/>
          <w:lang w:eastAsia="zh-CN"/>
        </w:rPr>
        <w:t>），</w:t>
      </w:r>
      <w:r>
        <w:rPr>
          <w:color w:val="000000"/>
          <w:sz w:val="18"/>
        </w:rPr>
        <w:t>DigTrans×HighTech = 0.062</w:t>
      </w:r>
      <w:r>
        <w:rPr>
          <w:rFonts w:ascii="宋体" w:eastAsia="宋体" w:hAnsi="宋体" w:cs="宋体" w:hint="eastAsia"/>
          <w:color w:val="000000"/>
          <w:sz w:val="18"/>
          <w:lang w:eastAsia="zh-CN"/>
        </w:rPr>
        <w:t>（</w:t>
      </w:r>
      <w:r>
        <w:rPr>
          <w:color w:val="000000"/>
          <w:sz w:val="18"/>
        </w:rPr>
        <w:t>p=0.935</w:t>
      </w:r>
      <w:r>
        <w:rPr>
          <w:rFonts w:ascii="宋体" w:eastAsia="宋体" w:hAnsi="宋体" w:cs="宋体" w:hint="eastAsia"/>
          <w:color w:val="000000"/>
          <w:sz w:val="18"/>
          <w:lang w:eastAsia="zh-CN"/>
        </w:rPr>
        <w:t>）。</w:t>
      </w:r>
    </w:p>
    <w:p>
      <w:pPr>
        <w:pStyle w:val="Heading3"/>
      </w:pPr>
      <w:r>
        <w:rPr>
          <w:rFonts w:ascii="宋体" w:hAnsi="宋体" w:eastAsia="宋体" w:cs="宋体" w:hint="eastAsia"/>
          <w:b/>
          <w:color w:val="000000"/>
          <w:sz w:val="24"/>
          <w:lang w:eastAsia="zh-CN"/>
        </w:rPr>
        <w:t>（八）内生性与共同冲击处理</w:t>
      </w:r>
    </w:p>
    <w:p>
      <w:pPr>
        <w:ind w:firstLine="480"/>
        <w:jc w:val="both"/>
      </w:pPr>
      <w:r>
        <w:rPr>
          <w:rFonts w:ascii="宋体" w:eastAsia="宋体" w:hAnsi="宋体" w:cs="宋体" w:hint="eastAsia"/>
          <w:lang w:eastAsia="zh-CN"/>
        </w:rPr>
        <w:t>针对三类潜在识别问题，表</w:t>
      </w:r>
      <w:r>
        <w:t xml:space="preserve"> 9 </w:t>
      </w:r>
      <w:r>
        <w:rPr>
          <w:rFonts w:ascii="宋体" w:eastAsia="宋体" w:hAnsi="宋体" w:cs="宋体" w:hint="eastAsia"/>
          <w:lang w:eastAsia="zh-CN"/>
        </w:rPr>
        <w:t>给出四项检验。其一，以行业</w:t>
      </w:r>
      <w:r>
        <w:t>×</w:t>
      </w:r>
      <w:r>
        <w:rPr>
          <w:rFonts w:ascii="宋体" w:eastAsia="宋体" w:hAnsi="宋体" w:cs="宋体" w:hint="eastAsia"/>
          <w:lang w:eastAsia="zh-CN"/>
        </w:rPr>
        <w:t>年度联合固定效应吸收行业层面随时间变化的共同冲击（如行业技术路线变化、行业性需求波动），系数为</w:t>
      </w:r>
      <w:r>
        <w:t xml:space="preserve"> 1.417</w:t>
      </w:r>
      <w:r>
        <w:rPr>
          <w:rFonts w:ascii="宋体" w:eastAsia="宋体" w:hAnsi="宋体" w:cs="宋体" w:hint="eastAsia"/>
          <w:lang w:eastAsia="zh-CN"/>
        </w:rPr>
        <w:t>（</w:t>
      </w:r>
      <w:r>
        <w:t>p&lt;0.01</w:t>
      </w:r>
      <w:r>
        <w:rPr>
          <w:rFonts w:ascii="宋体" w:eastAsia="宋体" w:hAnsi="宋体" w:cs="宋体" w:hint="eastAsia"/>
          <w:lang w:eastAsia="zh-CN"/>
        </w:rPr>
        <w:t>），与基准结果几乎一致。其二，考虑到当期绩效可能反向影响当期数字化披露，以未来一期</w:t>
      </w:r>
      <w:r>
        <w:t xml:space="preserve"> ROA </w:t>
      </w:r>
      <w:r>
        <w:rPr>
          <w:rFonts w:ascii="宋体" w:eastAsia="宋体" w:hAnsi="宋体" w:cs="宋体" w:hint="eastAsia"/>
          <w:lang w:eastAsia="zh-CN"/>
        </w:rPr>
        <w:t>为被解释变量，系数为</w:t>
      </w:r>
      <w:r>
        <w:t xml:space="preserve"> 0.931</w:t>
      </w:r>
      <w:r>
        <w:rPr>
          <w:rFonts w:ascii="宋体" w:eastAsia="宋体" w:hAnsi="宋体" w:cs="宋体" w:hint="eastAsia"/>
          <w:lang w:eastAsia="zh-CN"/>
        </w:rPr>
        <w:t>（</w:t>
      </w:r>
      <w:r>
        <w:t>p&lt;0.05</w:t>
      </w:r>
      <w:r>
        <w:rPr>
          <w:rFonts w:ascii="宋体" w:eastAsia="宋体" w:hAnsi="宋体" w:cs="宋体" w:hint="eastAsia"/>
          <w:lang w:eastAsia="zh-CN"/>
        </w:rPr>
        <w:t>），方向与显著性保持稳定，说明结果不太可能由反向因果单独驱动。其三，剔除</w:t>
      </w:r>
      <w:r>
        <w:t xml:space="preserve"> 2020—2022 </w:t>
      </w:r>
      <w:r>
        <w:rPr>
          <w:rFonts w:ascii="宋体" w:eastAsia="宋体" w:hAnsi="宋体" w:cs="宋体" w:hint="eastAsia"/>
          <w:lang w:eastAsia="zh-CN"/>
        </w:rPr>
        <w:t>年外部冲击年份后系数为</w:t>
      </w:r>
      <w:r>
        <w:t xml:space="preserve"> 1.425</w:t>
      </w:r>
      <w:r>
        <w:rPr>
          <w:rFonts w:ascii="宋体" w:eastAsia="宋体" w:hAnsi="宋体" w:cs="宋体" w:hint="eastAsia"/>
          <w:lang w:eastAsia="zh-CN"/>
        </w:rPr>
        <w:t>（</w:t>
      </w:r>
      <w:r>
        <w:t>p&lt;0.01</w:t>
      </w:r>
      <w:r>
        <w:rPr>
          <w:rFonts w:ascii="宋体" w:eastAsia="宋体" w:hAnsi="宋体" w:cs="宋体" w:hint="eastAsia"/>
          <w:lang w:eastAsia="zh-CN"/>
        </w:rPr>
        <w:t>），说明结论未被特定年份的异常样本所支配。需要指出的是，受预演语料限制，本文未构造工具变量，这也是后续正式研究需要补强之处。</w:t>
      </w:r>
    </w:p>
    <w:p>
      <w:pPr>
        <w:ind w:firstLine="0"/>
        <w:jc w:val="center"/>
      </w:pPr>
      <w:r>
        <w:rPr>
          <w:rFonts w:ascii="宋体" w:hAnsi="宋体" w:eastAsia="宋体" w:cs="宋体" w:hint="eastAsia"/>
          <w:b/>
          <w:sz w:val="21"/>
          <w:lang w:eastAsia="zh-CN"/>
        </w:rPr>
        <w:t>表</w:t>
      </w:r>
      <w:r>
        <w:rPr>
          <w:rFonts w:ascii="黑体" w:hAnsi="黑体"/>
          <w:b/>
          <w:sz w:val="21"/>
        </w:rPr>
        <w:t xml:space="preserve"> 9</w:t>
      </w:r>
      <w:r>
        <w:rPr>
          <w:rFonts w:ascii="宋体" w:hAnsi="宋体" w:eastAsia="宋体" w:cs="宋体" w:hint="eastAsia"/>
          <w:b/>
          <w:sz w:val="21"/>
          <w:lang w:eastAsia="zh-CN"/>
        </w:rPr>
        <w:t xml:space="preserve">　内生性与共同冲击处理</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变量</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1</w:t>
            </w:r>
            <w:r>
              <w:rPr>
                <w:b/>
                <w:sz w:val="21"/>
              </w:rPr>
              <w:t xml:space="preserve"> </w:t>
            </w:r>
            <w:r>
              <w:rPr>
                <w:b/>
                <w:sz w:val="21"/>
              </w:rPr>
              <w:t>）基准</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2</w:t>
            </w:r>
            <w:r>
              <w:rPr>
                <w:b/>
                <w:sz w:val="21"/>
              </w:rPr>
              <w:t xml:space="preserve"> </w:t>
            </w:r>
            <w:r>
              <w:rPr>
                <w:b/>
                <w:sz w:val="21"/>
              </w:rPr>
              <w:t>）行业</w:t>
            </w:r>
            <w:r>
              <w:rPr>
                <w:b/>
                <w:sz w:val="21"/>
              </w:rPr>
              <w:t xml:space="preserve"> </w:t>
            </w:r>
            <w:r>
              <w:rPr>
                <w:b/>
                <w:sz w:val="21"/>
              </w:rPr>
              <w:t>×</w:t>
            </w:r>
            <w:r>
              <w:rPr>
                <w:b/>
                <w:sz w:val="21"/>
              </w:rPr>
              <w:t xml:space="preserve"> </w:t>
            </w:r>
            <w:r>
              <w:rPr>
                <w:b/>
                <w:sz w:val="21"/>
              </w:rPr>
              <w:t>年度联合</w:t>
            </w:r>
            <w:r>
              <w:rPr>
                <w:b/>
                <w:sz w:val="21"/>
              </w:rPr>
              <w:t xml:space="preserve"> </w:t>
            </w:r>
            <w:r>
              <w:rPr>
                <w:b/>
                <w:sz w:val="21"/>
              </w:rPr>
              <w:t xml:space="preserve"> FE</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3</w:t>
            </w:r>
            <w:r>
              <w:rPr>
                <w:b/>
                <w:sz w:val="21"/>
              </w:rPr>
              <w:t xml:space="preserve"> </w:t>
            </w:r>
            <w:r>
              <w:rPr>
                <w:b/>
                <w:sz w:val="21"/>
              </w:rPr>
              <w:t>）因变量取下一期</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w:t>
            </w:r>
            <w:r>
              <w:rPr>
                <w:b/>
                <w:sz w:val="21"/>
              </w:rPr>
              <w:t xml:space="preserve"> </w:t>
            </w:r>
            <w:r>
              <w:rPr>
                <w:b/>
                <w:sz w:val="21"/>
              </w:rPr>
              <w:t>4</w:t>
            </w:r>
            <w:r>
              <w:rPr>
                <w:b/>
                <w:sz w:val="21"/>
              </w:rPr>
              <w:t xml:space="preserve"> </w:t>
            </w:r>
            <w:r>
              <w:rPr>
                <w:b/>
                <w:sz w:val="21"/>
              </w:rPr>
              <w:t>）剔除冲击年份</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DigTrans</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1.447***</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1.417***</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0.931**</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1.425***</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(0.318)</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(0.336)</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(0.401)</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(0.416)</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控制变量</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是</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N</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1620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1440</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1080</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R²</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0.740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0.752</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0.621</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0.774</w:t>
            </w:r>
          </w:p>
        </w:tc>
      </w:tr>
    </w:tbl>
    <w:p>
      <w:pPr>
        <w:pStyle w:val="Heading3"/>
      </w:pPr>
      <w:r>
        <w:rPr>
          <w:rFonts w:ascii="宋体" w:hAnsi="宋体" w:eastAsia="宋体" w:cs="宋体" w:hint="eastAsia"/>
          <w:b/>
          <w:color w:val="000000"/>
          <w:sz w:val="24"/>
          <w:lang w:eastAsia="zh-CN"/>
        </w:rPr>
        <w:t>（九）补充的机器学习分类任务</w:t>
      </w:r>
    </w:p>
    <w:p>
      <w:pPr>
        <w:ind w:firstLine="480"/>
        <w:jc w:val="both"/>
      </w:pPr>
      <w:r>
        <w:rPr>
          <w:rFonts w:ascii="宋体" w:eastAsia="宋体" w:hAnsi="宋体" w:cs="宋体" w:hint="eastAsia"/>
          <w:lang w:eastAsia="zh-CN"/>
        </w:rPr>
        <w:t>为说明文本测度的不可替代性，本文以企业财务特征为输入、以</w:t>
      </w:r>
      <w:r>
        <w:t xml:space="preserve"> DigUnion</w:t>
      </w:r>
      <w:r>
        <w:rPr>
          <w:rFonts w:ascii="宋体" w:eastAsia="宋体" w:hAnsi="宋体" w:cs="宋体" w:hint="eastAsia"/>
          <w:lang w:eastAsia="zh-CN"/>
        </w:rPr>
        <w:t>（是否属于当年行业中位数以上的高数字化企业）为标签训练</w:t>
      </w:r>
      <w:r>
        <w:t xml:space="preserve"> Logit </w:t>
      </w:r>
      <w:r>
        <w:rPr>
          <w:rFonts w:ascii="宋体" w:eastAsia="宋体" w:hAnsi="宋体" w:cs="宋体" w:hint="eastAsia"/>
          <w:lang w:eastAsia="zh-CN"/>
        </w:rPr>
        <w:t>分类模型。结果显示，仅凭财务与治理特征识别</w:t>
      </w:r>
      <w:r>
        <w:t>“</w:t>
      </w:r>
      <w:r>
        <w:rPr>
          <w:rFonts w:ascii="宋体" w:eastAsia="宋体" w:hAnsi="宋体" w:cs="宋体" w:hint="eastAsia"/>
          <w:lang w:eastAsia="zh-CN"/>
        </w:rPr>
        <w:t>高数字化</w:t>
      </w:r>
      <w:r>
        <w:t>”</w:t>
      </w:r>
      <w:r>
        <w:rPr>
          <w:rFonts w:ascii="宋体" w:eastAsia="宋体" w:hAnsi="宋体" w:cs="宋体" w:hint="eastAsia"/>
          <w:lang w:eastAsia="zh-CN"/>
        </w:rPr>
        <w:t>企业的准确率为</w:t>
      </w:r>
      <w:r>
        <w:t xml:space="preserve"> 0.535</w:t>
      </w:r>
      <w:r>
        <w:rPr>
          <w:rFonts w:ascii="宋体" w:eastAsia="宋体" w:hAnsi="宋体" w:cs="宋体" w:hint="eastAsia"/>
          <w:lang w:eastAsia="zh-CN"/>
        </w:rPr>
        <w:t>、</w:t>
      </w:r>
      <w:r>
        <w:t xml:space="preserve">AUC </w:t>
      </w:r>
      <w:r>
        <w:rPr>
          <w:rFonts w:ascii="宋体" w:eastAsia="宋体" w:hAnsi="宋体" w:cs="宋体" w:hint="eastAsia"/>
          <w:lang w:eastAsia="zh-CN"/>
        </w:rPr>
        <w:t>为</w:t>
      </w:r>
      <w:r>
        <w:t xml:space="preserve"> 0.549</w:t>
      </w:r>
      <w:r>
        <w:rPr>
          <w:rFonts w:ascii="宋体" w:eastAsia="宋体" w:hAnsi="宋体" w:cs="宋体" w:hint="eastAsia"/>
          <w:lang w:eastAsia="zh-CN"/>
        </w:rPr>
        <w:t>，接近随机猜测水平；模型</w:t>
      </w:r>
      <w:r>
        <w:t xml:space="preserve"> Pseudo R² </w:t>
      </w:r>
      <w:r>
        <w:rPr>
          <w:rFonts w:ascii="宋体" w:eastAsia="宋体" w:hAnsi="宋体" w:cs="宋体" w:hint="eastAsia"/>
          <w:lang w:eastAsia="zh-CN"/>
        </w:rPr>
        <w:t>仅为</w:t>
      </w:r>
      <w:r>
        <w:t xml:space="preserve"> 0.006</w:t>
      </w:r>
      <w:r>
        <w:rPr>
          <w:rFonts w:ascii="宋体" w:eastAsia="宋体" w:hAnsi="宋体" w:cs="宋体" w:hint="eastAsia"/>
          <w:lang w:eastAsia="zh-CN"/>
        </w:rPr>
        <w:t>。这一</w:t>
      </w:r>
      <w:r>
        <w:t>“</w:t>
      </w:r>
      <w:r>
        <w:rPr>
          <w:rFonts w:ascii="宋体" w:eastAsia="宋体" w:hAnsi="宋体" w:cs="宋体" w:hint="eastAsia"/>
          <w:lang w:eastAsia="zh-CN"/>
        </w:rPr>
        <w:t>负面结果</w:t>
      </w:r>
      <w:r>
        <w:t>”</w:t>
      </w:r>
      <w:r>
        <w:rPr>
          <w:rFonts w:ascii="宋体" w:eastAsia="宋体" w:hAnsi="宋体" w:cs="宋体" w:hint="eastAsia"/>
          <w:lang w:eastAsia="zh-CN"/>
        </w:rPr>
        <w:t>恰恰具有方法学意义：</w:t>
      </w:r>
      <w:r>
        <w:rPr>
          <w:rFonts w:ascii="宋体" w:eastAsia="宋体" w:hAnsi="宋体" w:cs="宋体" w:hint="eastAsia"/>
          <w:b/>
          <w:lang w:eastAsia="zh-CN"/>
        </w:rPr>
        <w:t>企业的数字化程度是一类难以由财务指标替代的软信息</w:t>
      </w:r>
      <w:r>
        <w:rPr>
          <w:rFonts w:ascii="宋体" w:eastAsia="宋体" w:hAnsi="宋体" w:cs="宋体" w:hint="eastAsia"/>
          <w:lang w:eastAsia="zh-CN"/>
        </w:rPr>
        <w:t>，若不借助文本挖掘，研究者与投资者几乎无法从财务报表中识别企业的数字化水平，从而反向支持了本文测度构建工作的必要性。</w:t>
      </w:r>
    </w:p>
    <w:p>
      <w:pPr>
        <w:ind w:firstLine="0"/>
        <w:jc w:val="center"/>
      </w:pPr>
      <w:r>
        <w:rPr>
          <w:rFonts w:ascii="宋体" w:hAnsi="宋体" w:eastAsia="宋体" w:cs="宋体" w:hint="eastAsia"/>
          <w:b/>
          <w:sz w:val="21"/>
          <w:lang w:eastAsia="zh-CN"/>
        </w:rPr>
        <w:t>表</w:t>
      </w:r>
      <w:r>
        <w:rPr>
          <w:rFonts w:ascii="黑体" w:hAnsi="黑体"/>
          <w:b/>
          <w:sz w:val="21"/>
        </w:rPr>
        <w:t xml:space="preserve"> 10</w:t>
      </w:r>
      <w:r>
        <w:rPr>
          <w:rFonts w:ascii="宋体" w:hAnsi="宋体" w:eastAsia="宋体" w:cs="宋体" w:hint="eastAsia"/>
          <w:b/>
          <w:sz w:val="21"/>
          <w:lang w:eastAsia="zh-CN"/>
        </w:rPr>
        <w:t xml:space="preserve">　分类任务结果（</w:t>
      </w:r>
      <w:r>
        <w:rPr>
          <w:rFonts w:ascii="黑体" w:hAnsi="黑体"/>
          <w:b/>
          <w:sz w:val="21"/>
        </w:rPr>
        <w:t xml:space="preserve">Logit </w:t>
      </w:r>
      <w:r>
        <w:rPr>
          <w:rFonts w:ascii="宋体" w:hAnsi="宋体" w:eastAsia="宋体" w:cs="宋体" w:hint="eastAsia"/>
          <w:b/>
          <w:sz w:val="21"/>
          <w:lang w:eastAsia="zh-CN"/>
        </w:rPr>
        <w:t>模型）</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样本量</w:t>
            </w:r>
            <w:r>
              <w:rPr>
                <w:b/>
                <w:sz w:val="21"/>
              </w:rPr>
              <w:t xml:space="preserve"> </w:t>
            </w:r>
            <w:r>
              <w:rPr>
                <w:b/>
                <w:sz w:val="21"/>
              </w:rPr>
              <w:t xml:space="preserve"> N</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高数字化组占比</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Pseudo R²</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准确率</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AUC</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1620</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48.9%</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0.006</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0.535</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0.549</w:t>
            </w:r>
          </w:p>
        </w:tc>
      </w:tr>
    </w:tbl>
    <w:p>
      <w:pPr>
        <w:pStyle w:val="Heading3"/>
      </w:pPr>
      <w:r>
        <w:rPr>
          <w:rFonts w:ascii="宋体" w:hAnsi="宋体" w:eastAsia="宋体" w:cs="宋体" w:hint="eastAsia"/>
          <w:b/>
          <w:color w:val="000000"/>
          <w:sz w:val="24"/>
          <w:lang w:eastAsia="zh-CN"/>
        </w:rPr>
        <w:t>（十）小结与讨论</w:t>
      </w:r>
    </w:p>
    <w:p>
      <w:pPr>
        <w:ind w:firstLine="480"/>
        <w:jc w:val="both"/>
      </w:pPr>
      <w:r>
        <w:rPr>
          <w:rFonts w:ascii="宋体" w:eastAsia="宋体" w:hAnsi="宋体" w:cs="宋体" w:hint="eastAsia"/>
          <w:lang w:eastAsia="zh-CN"/>
        </w:rPr>
        <w:t>第三部分的证据链条可归纳为三点。第一，测度质量可接受：</w:t>
      </w:r>
      <w:r>
        <w:t>α=0.714</w:t>
      </w:r>
      <w:r>
        <w:rPr>
          <w:rFonts w:ascii="宋体" w:eastAsia="宋体" w:hAnsi="宋体" w:cs="宋体" w:hint="eastAsia"/>
          <w:lang w:eastAsia="zh-CN"/>
        </w:rPr>
        <w:t>、分半信度</w:t>
      </w:r>
      <w:r>
        <w:t xml:space="preserve"> 0.884</w:t>
      </w:r>
      <w:r>
        <w:rPr>
          <w:rFonts w:ascii="宋体" w:eastAsia="宋体" w:hAnsi="宋体" w:cs="宋体" w:hint="eastAsia"/>
          <w:lang w:eastAsia="zh-CN"/>
        </w:rPr>
        <w:t>、</w:t>
      </w:r>
      <w:r>
        <w:t>KMO=0.795</w:t>
      </w:r>
      <w:r>
        <w:rPr>
          <w:rFonts w:ascii="宋体" w:eastAsia="宋体" w:hAnsi="宋体" w:cs="宋体" w:hint="eastAsia"/>
          <w:lang w:eastAsia="zh-CN"/>
        </w:rPr>
        <w:t>、第一主成分解释率</w:t>
      </w:r>
      <w:r>
        <w:t xml:space="preserve"> 49.01%</w:t>
      </w:r>
      <w:r>
        <w:rPr>
          <w:rFonts w:ascii="宋体" w:eastAsia="宋体" w:hAnsi="宋体" w:cs="宋体" w:hint="eastAsia"/>
          <w:lang w:eastAsia="zh-CN"/>
        </w:rPr>
        <w:t>、效标相关</w:t>
      </w:r>
      <w:r>
        <w:t xml:space="preserve"> 0.876</w:t>
      </w:r>
      <w:r>
        <w:rPr>
          <w:rFonts w:ascii="宋体" w:eastAsia="宋体" w:hAnsi="宋体" w:cs="宋体" w:hint="eastAsia"/>
          <w:lang w:eastAsia="zh-CN"/>
        </w:rPr>
        <w:t>，说明五维词频密度测度具备稳定的内部一致性与可验证的构念效度。第二，绩效效应稳健存在：在双向固定效应设定下，数字化转型对</w:t>
      </w:r>
      <w:r>
        <w:t xml:space="preserve"> ROA </w:t>
      </w:r>
      <w:r>
        <w:rPr>
          <w:rFonts w:ascii="宋体" w:eastAsia="宋体" w:hAnsi="宋体" w:cs="宋体" w:hint="eastAsia"/>
          <w:lang w:eastAsia="zh-CN"/>
        </w:rPr>
        <w:t>的边际效应约为</w:t>
      </w:r>
      <w:r>
        <w:t xml:space="preserve"> 1.45 </w:t>
      </w:r>
      <w:r>
        <w:rPr>
          <w:rFonts w:ascii="宋体" w:eastAsia="宋体" w:hAnsi="宋体" w:cs="宋体" w:hint="eastAsia"/>
          <w:lang w:eastAsia="zh-CN"/>
        </w:rPr>
        <w:t>个百分点，对企业价值与全要素生产率同样显著为正，且不随测度方案与年份窗口变化。第三，效应量受测量误差影响：效标检验显示测度含约</w:t>
      </w:r>
      <w:r>
        <w:t xml:space="preserve"> 20% </w:t>
      </w:r>
      <w:r>
        <w:rPr>
          <w:rFonts w:ascii="宋体" w:eastAsia="宋体" w:hAnsi="宋体" w:cs="宋体" w:hint="eastAsia"/>
          <w:lang w:eastAsia="zh-CN"/>
        </w:rPr>
        <w:t>的噪声，理论上会使回归系数向下偏，因此本文报告的系数可视为真实效应的下界估计。</w:t>
      </w:r>
    </w:p>
    <w:p>
      <w:pPr>
        <w:ind w:firstLine="480"/>
        <w:jc w:val="both"/>
      </w:pPr>
      <w:r>
        <w:rPr>
          <w:rFonts w:ascii="宋体" w:eastAsia="宋体" w:hAnsi="宋体" w:cs="宋体" w:hint="eastAsia"/>
          <w:lang w:eastAsia="zh-CN"/>
        </w:rPr>
        <w:t>同时也应看到，异质性检验显示数字化转型的绩效效应在非国有企业与传统制造行业中更显著，但在产权性质与行业技术属性的交互项检验中均未达到统计显著（</w:t>
      </w:r>
      <w:r>
        <w:t xml:space="preserve">p </w:t>
      </w:r>
      <w:r>
        <w:rPr>
          <w:rFonts w:ascii="宋体" w:eastAsia="宋体" w:hAnsi="宋体" w:cs="宋体" w:hint="eastAsia"/>
          <w:lang w:eastAsia="zh-CN"/>
        </w:rPr>
        <w:t>值分别为</w:t>
      </w:r>
      <w:r>
        <w:t xml:space="preserve"> 0.292 </w:t>
      </w:r>
      <w:r>
        <w:rPr>
          <w:rFonts w:ascii="宋体" w:eastAsia="宋体" w:hAnsi="宋体" w:cs="宋体" w:hint="eastAsia"/>
          <w:lang w:eastAsia="zh-CN"/>
        </w:rPr>
        <w:t>与</w:t>
      </w:r>
      <w:r>
        <w:t xml:space="preserve"> 0.935</w:t>
      </w:r>
      <w:r>
        <w:rPr>
          <w:rFonts w:ascii="宋体" w:eastAsia="宋体" w:hAnsi="宋体" w:cs="宋体" w:hint="eastAsia"/>
          <w:lang w:eastAsia="zh-CN"/>
        </w:rPr>
        <w:t>），因此</w:t>
      </w:r>
      <w:r>
        <w:rPr>
          <w:rFonts w:ascii="宋体" w:eastAsia="宋体" w:hAnsi="宋体" w:cs="宋体" w:hint="eastAsia"/>
          <w:b/>
          <w:lang w:eastAsia="zh-CN"/>
        </w:rPr>
        <w:t>不宜过度解读分组差异</w:t>
      </w:r>
      <w:r>
        <w:rPr>
          <w:rFonts w:ascii="宋体" w:eastAsia="宋体" w:hAnsi="宋体" w:cs="宋体" w:hint="eastAsia"/>
          <w:lang w:eastAsia="zh-CN"/>
        </w:rPr>
        <w:t>，更稳妥的表述是：数字化转型的绩效效应具有较强的普惠性，尚未观察到可靠的组间差异证据。这一结论与本文预演数据的设定一致，也提示后续研究需要更长的样本窗口或更细的行业划分来识别条件性效应。</w:t>
      </w:r>
    </w:p>
    <w:p>
      <w:bookmarkStart w:id="3" w:name="s3"/>
      <w:pPr>
        <w:pStyle w:val="Heading2"/>
      </w:pPr>
      <w:bookmarkEnd w:id="3"/>
      <w:r>
        <w:rPr>
          <w:rFonts w:ascii="宋体" w:hAnsi="宋体" w:eastAsia="宋体" w:cs="宋体" w:hint="eastAsia"/>
          <w:b/>
          <w:color w:val="000000"/>
          <w:sz w:val="28"/>
          <w:lang w:eastAsia="zh-CN"/>
        </w:rPr>
        <w:t>四、结论、局限与展望</w:t>
      </w:r>
    </w:p>
    <w:p>
      <w:pPr>
        <w:ind w:firstLine="480"/>
        <w:jc w:val="both"/>
      </w:pPr>
      <w:r>
        <w:rPr>
          <w:rFonts w:ascii="宋体" w:eastAsia="宋体" w:hAnsi="宋体" w:cs="宋体" w:hint="eastAsia"/>
          <w:lang w:eastAsia="zh-CN"/>
        </w:rPr>
        <w:t>本部分归纳三项主要发现，给出理论与实践启示，坦诚说明数据代表性、测度构造、识别策略与边界条件四方面的局限，并指出后续研究的方向。</w:t>
      </w:r>
    </w:p>
    <w:p>
      <w:pPr>
        <w:pStyle w:val="Heading3"/>
      </w:pPr>
      <w:r>
        <w:rPr>
          <w:rFonts w:ascii="宋体" w:hAnsi="宋体" w:eastAsia="宋体" w:cs="宋体" w:hint="eastAsia"/>
          <w:b/>
          <w:color w:val="000000"/>
          <w:sz w:val="24"/>
          <w:lang w:eastAsia="zh-CN"/>
        </w:rPr>
        <w:t>（一）主要发现</w:t>
      </w:r>
    </w:p>
    <w:p>
      <w:pPr>
        <w:ind w:firstLine="480"/>
        <w:jc w:val="both"/>
      </w:pPr>
      <w:r>
        <w:rPr>
          <w:rFonts w:ascii="宋体" w:eastAsia="宋体" w:hAnsi="宋体" w:cs="宋体" w:hint="eastAsia"/>
          <w:lang w:eastAsia="zh-CN"/>
        </w:rPr>
        <w:t>本文以</w:t>
      </w:r>
      <w:r>
        <w:t xml:space="preserve"> 2015—2023 </w:t>
      </w:r>
      <w:r>
        <w:rPr>
          <w:rFonts w:ascii="宋体" w:eastAsia="宋体" w:hAnsi="宋体" w:cs="宋体" w:hint="eastAsia"/>
          <w:lang w:eastAsia="zh-CN"/>
        </w:rPr>
        <w:t>年</w:t>
      </w:r>
      <w:r>
        <w:t xml:space="preserve"> 180 </w:t>
      </w:r>
      <w:r>
        <w:rPr>
          <w:rFonts w:ascii="宋体" w:eastAsia="宋体" w:hAnsi="宋体" w:cs="宋体" w:hint="eastAsia"/>
          <w:lang w:eastAsia="zh-CN"/>
        </w:rPr>
        <w:t>家制造业上市公司、</w:t>
      </w:r>
      <w:r>
        <w:t xml:space="preserve">1620 </w:t>
      </w:r>
      <w:r>
        <w:rPr>
          <w:rFonts w:ascii="宋体" w:eastAsia="宋体" w:hAnsi="宋体" w:cs="宋体" w:hint="eastAsia"/>
          <w:lang w:eastAsia="zh-CN"/>
        </w:rPr>
        <w:t>篇年报文本为样本，构建并检验了企业数字化转型的文本测度，得到三项主要发现。</w:t>
      </w:r>
    </w:p>
    <w:p>
      <w:pPr>
        <w:ind w:firstLine="480"/>
        <w:jc w:val="both"/>
      </w:pPr>
      <w:r>
        <w:rPr>
          <w:rFonts w:ascii="宋体" w:eastAsia="宋体" w:hAnsi="宋体" w:cs="宋体" w:hint="eastAsia"/>
          <w:lang w:eastAsia="zh-CN"/>
        </w:rPr>
        <w:t>第一，</w:t>
      </w:r>
      <w:r>
        <w:rPr>
          <w:rFonts w:ascii="宋体" w:eastAsia="宋体" w:hAnsi="宋体" w:cs="宋体" w:hint="eastAsia"/>
          <w:b/>
          <w:lang w:eastAsia="zh-CN"/>
        </w:rPr>
        <w:t>基于年报文本的数字化转型测度是可行且可验证的</w:t>
      </w:r>
      <w:r>
        <w:rPr>
          <w:rFonts w:ascii="宋体" w:eastAsia="宋体" w:hAnsi="宋体" w:cs="宋体" w:hint="eastAsia"/>
          <w:lang w:eastAsia="zh-CN"/>
        </w:rPr>
        <w:t>。五维</w:t>
      </w:r>
      <w:r>
        <w:t xml:space="preserve"> 69 </w:t>
      </w:r>
      <w:r>
        <w:rPr>
          <w:rFonts w:ascii="宋体" w:eastAsia="宋体" w:hAnsi="宋体" w:cs="宋体" w:hint="eastAsia"/>
          <w:lang w:eastAsia="zh-CN"/>
        </w:rPr>
        <w:t>个关键词的词典设计、最长优先匹配与否定语境识别等语境规则，使测度在内部一致性（</w:t>
      </w:r>
      <w:r>
        <w:t>α=0.714</w:t>
      </w:r>
      <w:r>
        <w:rPr>
          <w:rFonts w:ascii="宋体" w:eastAsia="宋体" w:hAnsi="宋体" w:cs="宋体" w:hint="eastAsia"/>
          <w:lang w:eastAsia="zh-CN"/>
        </w:rPr>
        <w:t>）、分半信度（</w:t>
      </w:r>
      <w:r>
        <w:t>0.884</w:t>
      </w:r>
      <w:r>
        <w:rPr>
          <w:rFonts w:ascii="宋体" w:eastAsia="宋体" w:hAnsi="宋体" w:cs="宋体" w:hint="eastAsia"/>
          <w:lang w:eastAsia="zh-CN"/>
        </w:rPr>
        <w:t>）、结构效度（</w:t>
      </w:r>
      <w:r>
        <w:t>KMO=0.795</w:t>
      </w:r>
      <w:r>
        <w:rPr>
          <w:rFonts w:ascii="宋体" w:eastAsia="宋体" w:hAnsi="宋体" w:cs="宋体" w:hint="eastAsia"/>
          <w:lang w:eastAsia="zh-CN"/>
        </w:rPr>
        <w:t>，第一主成分解释率</w:t>
      </w:r>
      <w:r>
        <w:t xml:space="preserve"> 49.01%</w:t>
      </w:r>
      <w:r>
        <w:rPr>
          <w:rFonts w:ascii="宋体" w:eastAsia="宋体" w:hAnsi="宋体" w:cs="宋体" w:hint="eastAsia"/>
          <w:lang w:eastAsia="zh-CN"/>
        </w:rPr>
        <w:t>）与效标效度（</w:t>
      </w:r>
      <w:r>
        <w:t>ρ=0.876</w:t>
      </w:r>
      <w:r>
        <w:rPr>
          <w:rFonts w:ascii="宋体" w:eastAsia="宋体" w:hAnsi="宋体" w:cs="宋体" w:hint="eastAsia"/>
          <w:lang w:eastAsia="zh-CN"/>
        </w:rPr>
        <w:t>）四个维度上均达到可接受水平，且与文档篇幅的相关性很低（</w:t>
      </w:r>
      <w:r>
        <w:t>−0.173</w:t>
      </w:r>
      <w:r>
        <w:rPr>
          <w:rFonts w:ascii="宋体" w:eastAsia="宋体" w:hAnsi="宋体" w:cs="宋体" w:hint="eastAsia"/>
          <w:lang w:eastAsia="zh-CN"/>
        </w:rPr>
        <w:t>），排除了</w:t>
      </w:r>
      <w:r>
        <w:t>“</w:t>
      </w:r>
      <w:r>
        <w:rPr>
          <w:rFonts w:ascii="宋体" w:eastAsia="宋体" w:hAnsi="宋体" w:cs="宋体" w:hint="eastAsia"/>
          <w:lang w:eastAsia="zh-CN"/>
        </w:rPr>
        <w:t>篇幅驱动</w:t>
      </w:r>
      <w:r>
        <w:t>”</w:t>
      </w:r>
      <w:r>
        <w:rPr>
          <w:rFonts w:ascii="宋体" w:eastAsia="宋体" w:hAnsi="宋体" w:cs="宋体" w:hint="eastAsia"/>
          <w:lang w:eastAsia="zh-CN"/>
        </w:rPr>
        <w:t>的替代解释。</w:t>
      </w:r>
    </w:p>
    <w:p>
      <w:pPr>
        <w:ind w:firstLine="480"/>
        <w:jc w:val="both"/>
      </w:pPr>
      <w:r>
        <w:rPr>
          <w:rFonts w:ascii="宋体" w:eastAsia="宋体" w:hAnsi="宋体" w:cs="宋体" w:hint="eastAsia"/>
          <w:lang w:eastAsia="zh-CN"/>
        </w:rPr>
        <w:t>第二，</w:t>
      </w:r>
      <w:r>
        <w:rPr>
          <w:rFonts w:ascii="宋体" w:eastAsia="宋体" w:hAnsi="宋体" w:cs="宋体" w:hint="eastAsia"/>
          <w:b/>
          <w:lang w:eastAsia="zh-CN"/>
        </w:rPr>
        <w:t>数字化转型显著提升企业绩效，且结论对测度方案不敏感</w:t>
      </w:r>
      <w:r>
        <w:rPr>
          <w:rFonts w:ascii="宋体" w:eastAsia="宋体" w:hAnsi="宋体" w:cs="宋体" w:hint="eastAsia"/>
          <w:lang w:eastAsia="zh-CN"/>
        </w:rPr>
        <w:t>。双向固定效应模型下，数字化转型每提高</w:t>
      </w:r>
      <w:r>
        <w:t xml:space="preserve"> 1 </w:t>
      </w:r>
      <w:r>
        <w:rPr>
          <w:rFonts w:ascii="宋体" w:eastAsia="宋体" w:hAnsi="宋体" w:cs="宋体" w:hint="eastAsia"/>
          <w:lang w:eastAsia="zh-CN"/>
        </w:rPr>
        <w:t>个单位对应</w:t>
      </w:r>
      <w:r>
        <w:t xml:space="preserve"> ROA </w:t>
      </w:r>
      <w:r>
        <w:rPr>
          <w:rFonts w:ascii="宋体" w:eastAsia="宋体" w:hAnsi="宋体" w:cs="宋体" w:hint="eastAsia"/>
          <w:lang w:eastAsia="zh-CN"/>
        </w:rPr>
        <w:t>提高约</w:t>
      </w:r>
      <w:r>
        <w:t xml:space="preserve"> 1.45 </w:t>
      </w:r>
      <w:r>
        <w:rPr>
          <w:rFonts w:ascii="宋体" w:eastAsia="宋体" w:hAnsi="宋体" w:cs="宋体" w:hint="eastAsia"/>
          <w:lang w:eastAsia="zh-CN"/>
        </w:rPr>
        <w:t>个百分点（</w:t>
      </w:r>
      <w:r>
        <w:t xml:space="preserve">1 </w:t>
      </w:r>
      <w:r>
        <w:rPr>
          <w:rFonts w:ascii="宋体" w:eastAsia="宋体" w:hAnsi="宋体" w:cs="宋体" w:hint="eastAsia"/>
          <w:lang w:eastAsia="zh-CN"/>
        </w:rPr>
        <w:t>个标准差约为</w:t>
      </w:r>
      <w:r>
        <w:t xml:space="preserve"> 0.38 </w:t>
      </w:r>
      <w:r>
        <w:rPr>
          <w:rFonts w:ascii="宋体" w:eastAsia="宋体" w:hAnsi="宋体" w:cs="宋体" w:hint="eastAsia"/>
          <w:lang w:eastAsia="zh-CN"/>
        </w:rPr>
        <w:t>个百分点）；替换被解释变量（</w:t>
      </w:r>
      <w:r>
        <w:t>TobinQ</w:t>
      </w:r>
      <w:r>
        <w:rPr>
          <w:rFonts w:ascii="宋体" w:eastAsia="宋体" w:hAnsi="宋体" w:cs="宋体" w:hint="eastAsia"/>
          <w:lang w:eastAsia="zh-CN"/>
        </w:rPr>
        <w:t>、</w:t>
      </w:r>
      <w:r>
        <w:t>TFP_LP</w:t>
      </w:r>
      <w:r>
        <w:rPr>
          <w:rFonts w:ascii="宋体" w:eastAsia="宋体" w:hAnsi="宋体" w:cs="宋体" w:hint="eastAsia"/>
          <w:lang w:eastAsia="zh-CN"/>
        </w:rPr>
        <w:t>）与替换核心解释变量（熵权法、因子得分）后系数均在</w:t>
      </w:r>
      <w:r>
        <w:t xml:space="preserve"> 1% </w:t>
      </w:r>
      <w:r>
        <w:rPr>
          <w:rFonts w:ascii="宋体" w:eastAsia="宋体" w:hAnsi="宋体" w:cs="宋体" w:hint="eastAsia"/>
          <w:lang w:eastAsia="zh-CN"/>
        </w:rPr>
        <w:t>水平显著为正。控制企业固定效应后系数明显下降，提示忽略企业异质性会高估转型效应。</w:t>
      </w:r>
    </w:p>
    <w:p>
      <w:pPr>
        <w:ind w:firstLine="480"/>
        <w:jc w:val="both"/>
      </w:pPr>
      <w:r>
        <w:rPr>
          <w:rFonts w:ascii="宋体" w:eastAsia="宋体" w:hAnsi="宋体" w:cs="宋体" w:hint="eastAsia"/>
          <w:lang w:eastAsia="zh-CN"/>
        </w:rPr>
        <w:t>第三，</w:t>
      </w:r>
      <w:r>
        <w:rPr>
          <w:rFonts w:ascii="宋体" w:eastAsia="宋体" w:hAnsi="宋体" w:cs="宋体" w:hint="eastAsia"/>
          <w:b/>
          <w:lang w:eastAsia="zh-CN"/>
        </w:rPr>
        <w:t>财务数据无法替代文本信息</w:t>
      </w:r>
      <w:r>
        <w:rPr>
          <w:rFonts w:ascii="宋体" w:eastAsia="宋体" w:hAnsi="宋体" w:cs="宋体" w:hint="eastAsia"/>
          <w:lang w:eastAsia="zh-CN"/>
        </w:rPr>
        <w:t>。以财务特征预测企业是否属于高数字化组的分类准确率仅</w:t>
      </w:r>
      <w:r>
        <w:t xml:space="preserve"> 0.535</w:t>
      </w:r>
      <w:r>
        <w:rPr>
          <w:rFonts w:ascii="宋体" w:eastAsia="宋体" w:hAnsi="宋体" w:cs="宋体" w:hint="eastAsia"/>
          <w:lang w:eastAsia="zh-CN"/>
        </w:rPr>
        <w:t>，</w:t>
      </w:r>
      <w:r>
        <w:t xml:space="preserve">AUC </w:t>
      </w:r>
      <w:r>
        <w:rPr>
          <w:rFonts w:ascii="宋体" w:eastAsia="宋体" w:hAnsi="宋体" w:cs="宋体" w:hint="eastAsia"/>
          <w:lang w:eastAsia="zh-CN"/>
        </w:rPr>
        <w:t>为</w:t>
      </w:r>
      <w:r>
        <w:t xml:space="preserve"> 0.549</w:t>
      </w:r>
      <w:r>
        <w:rPr>
          <w:rFonts w:ascii="宋体" w:eastAsia="宋体" w:hAnsi="宋体" w:cs="宋体" w:hint="eastAsia"/>
          <w:lang w:eastAsia="zh-CN"/>
        </w:rPr>
        <w:t>，说明数字化程度属于典型的软信息，这为文本挖掘在管理研究中的应用提供了必要性证据。</w:t>
      </w:r>
    </w:p>
    <w:p>
      <w:pPr>
        <w:pStyle w:val="Heading3"/>
      </w:pPr>
      <w:r>
        <w:rPr>
          <w:rFonts w:ascii="宋体" w:hAnsi="宋体" w:eastAsia="宋体" w:cs="宋体" w:hint="eastAsia"/>
          <w:b/>
          <w:color w:val="000000"/>
          <w:sz w:val="24"/>
          <w:lang w:eastAsia="zh-CN"/>
        </w:rPr>
        <w:t>（二）理论与实践启示</w:t>
      </w:r>
    </w:p>
    <w:p>
      <w:pPr>
        <w:ind w:firstLine="480"/>
        <w:jc w:val="both"/>
      </w:pPr>
      <w:r>
        <w:rPr>
          <w:rFonts w:ascii="宋体" w:eastAsia="宋体" w:hAnsi="宋体" w:cs="宋体" w:hint="eastAsia"/>
          <w:lang w:eastAsia="zh-CN"/>
        </w:rPr>
        <w:t>在理论层面，本文把</w:t>
      </w:r>
      <w:r>
        <w:t>“</w:t>
      </w:r>
      <w:r>
        <w:rPr>
          <w:rFonts w:ascii="宋体" w:eastAsia="宋体" w:hAnsi="宋体" w:cs="宋体" w:hint="eastAsia"/>
          <w:lang w:eastAsia="zh-CN"/>
        </w:rPr>
        <w:t>测度效度</w:t>
      </w:r>
      <w:r>
        <w:t>”</w:t>
      </w:r>
      <w:r>
        <w:rPr>
          <w:rFonts w:ascii="宋体" w:eastAsia="宋体" w:hAnsi="宋体" w:cs="宋体" w:hint="eastAsia"/>
          <w:lang w:eastAsia="zh-CN"/>
        </w:rPr>
        <w:t>作为实证结论可信度的前置条件，说明只有先证明测度</w:t>
      </w:r>
      <w:r>
        <w:t>“</w:t>
      </w:r>
      <w:r>
        <w:rPr>
          <w:rFonts w:ascii="宋体" w:eastAsia="宋体" w:hAnsi="宋体" w:cs="宋体" w:hint="eastAsia"/>
          <w:lang w:eastAsia="zh-CN"/>
        </w:rPr>
        <w:t>测得准</w:t>
      </w:r>
      <w:r>
        <w:t>”</w:t>
      </w:r>
      <w:r>
        <w:rPr>
          <w:rFonts w:ascii="宋体" w:eastAsia="宋体" w:hAnsi="宋体" w:cs="宋体" w:hint="eastAsia"/>
          <w:lang w:eastAsia="zh-CN"/>
        </w:rPr>
        <w:t>，后续回归系数才具有可解释意义；同时，效标检验所揭示的测度噪声为量化衰减偏误提供了直接依据（真实效应应大于估计值）。在实践层面，本文建议投资者在解读</w:t>
      </w:r>
      <w:r>
        <w:t>“</w:t>
      </w:r>
      <w:r>
        <w:rPr>
          <w:rFonts w:ascii="宋体" w:eastAsia="宋体" w:hAnsi="宋体" w:cs="宋体" w:hint="eastAsia"/>
          <w:lang w:eastAsia="zh-CN"/>
        </w:rPr>
        <w:t>数字化</w:t>
      </w:r>
      <w:r>
        <w:t>”</w:t>
      </w:r>
      <w:r>
        <w:rPr>
          <w:rFonts w:ascii="宋体" w:eastAsia="宋体" w:hAnsi="宋体" w:cs="宋体" w:hint="eastAsia"/>
          <w:lang w:eastAsia="zh-CN"/>
        </w:rPr>
        <w:t>叙事时结合词频强度与语境（是否存在</w:t>
      </w:r>
      <w:r>
        <w:t>“</w:t>
      </w:r>
      <w:r>
        <w:rPr>
          <w:rFonts w:ascii="宋体" w:eastAsia="宋体" w:hAnsi="宋体" w:cs="宋体" w:hint="eastAsia"/>
          <w:lang w:eastAsia="zh-CN"/>
        </w:rPr>
        <w:t>尚未布局</w:t>
      </w:r>
      <w:r>
        <w:t>”“</w:t>
      </w:r>
      <w:r>
        <w:rPr>
          <w:rFonts w:ascii="宋体" w:eastAsia="宋体" w:hAnsi="宋体" w:cs="宋体" w:hint="eastAsia"/>
          <w:lang w:eastAsia="zh-CN"/>
        </w:rPr>
        <w:t>暂未投入</w:t>
      </w:r>
      <w:r>
        <w:t>”</w:t>
      </w:r>
      <w:r>
        <w:rPr>
          <w:rFonts w:ascii="宋体" w:eastAsia="宋体" w:hAnsi="宋体" w:cs="宋体" w:hint="eastAsia"/>
          <w:lang w:eastAsia="zh-CN"/>
        </w:rPr>
        <w:t>表述）加以判别；建议企业以行业相对位置而非绝对词频作为自我评估参照；建议监管部门将否定语境识别纳入信息披露质量评价的技术工具箱。</w:t>
      </w:r>
    </w:p>
    <w:p>
      <w:pPr>
        <w:pStyle w:val="Heading3"/>
      </w:pPr>
      <w:r>
        <w:rPr>
          <w:rFonts w:ascii="宋体" w:hAnsi="宋体" w:eastAsia="宋体" w:cs="宋体" w:hint="eastAsia"/>
          <w:b/>
          <w:color w:val="000000"/>
          <w:sz w:val="24"/>
          <w:lang w:eastAsia="zh-CN"/>
        </w:rPr>
        <w:t>（三）研究局限</w:t>
      </w:r>
    </w:p>
    <w:p>
      <w:pPr>
        <w:ind w:firstLine="480"/>
        <w:jc w:val="both"/>
      </w:pPr>
      <w:r>
        <w:rPr>
          <w:rFonts w:ascii="宋体" w:eastAsia="宋体" w:hAnsi="宋体" w:cs="宋体" w:hint="eastAsia"/>
          <w:lang w:eastAsia="zh-CN"/>
        </w:rPr>
        <w:t>第一，</w:t>
      </w:r>
      <w:r>
        <w:rPr>
          <w:rFonts w:ascii="宋体" w:eastAsia="宋体" w:hAnsi="宋体" w:cs="宋体" w:hint="eastAsia"/>
          <w:b/>
          <w:lang w:eastAsia="zh-CN"/>
        </w:rPr>
        <w:t>数据代表性局限</w:t>
      </w:r>
      <w:r>
        <w:rPr>
          <w:rFonts w:ascii="宋体" w:eastAsia="宋体" w:hAnsi="宋体" w:cs="宋体" w:hint="eastAsia"/>
          <w:lang w:eastAsia="zh-CN"/>
        </w:rPr>
        <w:t>。本文为方法论预演稿，语料为按真实年报统计特征生成的仿真语料，虽完整保留了测量误差、序列相关与内生性等结构特征，但不能替代真实年报的证据，所有系数数值均不具有直接的政策含义。</w:t>
      </w:r>
    </w:p>
    <w:p>
      <w:pPr>
        <w:ind w:firstLine="480"/>
        <w:jc w:val="both"/>
      </w:pPr>
      <w:r>
        <w:rPr>
          <w:rFonts w:ascii="宋体" w:eastAsia="宋体" w:hAnsi="宋体" w:cs="宋体" w:hint="eastAsia"/>
          <w:lang w:eastAsia="zh-CN"/>
        </w:rPr>
        <w:t>第二，</w:t>
      </w:r>
      <w:r>
        <w:rPr>
          <w:rFonts w:ascii="宋体" w:eastAsia="宋体" w:hAnsi="宋体" w:cs="宋体" w:hint="eastAsia"/>
          <w:b/>
          <w:lang w:eastAsia="zh-CN"/>
        </w:rPr>
        <w:t>测度构造局限</w:t>
      </w:r>
      <w:r>
        <w:rPr>
          <w:rFonts w:ascii="宋体" w:eastAsia="宋体" w:hAnsi="宋体" w:cs="宋体" w:hint="eastAsia"/>
          <w:lang w:eastAsia="zh-CN"/>
        </w:rPr>
        <w:t>。词频法的隐含假设是</w:t>
      </w:r>
      <w:r>
        <w:t>“</w:t>
      </w:r>
      <w:r>
        <w:rPr>
          <w:rFonts w:ascii="宋体" w:eastAsia="宋体" w:hAnsi="宋体" w:cs="宋体" w:hint="eastAsia"/>
          <w:lang w:eastAsia="zh-CN"/>
        </w:rPr>
        <w:t>提及即投入</w:t>
      </w:r>
      <w:r>
        <w:t>”</w:t>
      </w:r>
      <w:r>
        <w:rPr>
          <w:rFonts w:ascii="宋体" w:eastAsia="宋体" w:hAnsi="宋体" w:cs="宋体" w:hint="eastAsia"/>
          <w:lang w:eastAsia="zh-CN"/>
        </w:rPr>
        <w:t>，但企业可能在年报中进行策略性表述；本文虽通过否定语境识别与程度加权部分缓解，仍无法完全剔除</w:t>
      </w:r>
      <w:r>
        <w:t>“</w:t>
      </w:r>
      <w:r>
        <w:rPr>
          <w:rFonts w:ascii="宋体" w:eastAsia="宋体" w:hAnsi="宋体" w:cs="宋体" w:hint="eastAsia"/>
          <w:lang w:eastAsia="zh-CN"/>
        </w:rPr>
        <w:t>数字化包装</w:t>
      </w:r>
      <w:r>
        <w:t>”</w:t>
      </w:r>
      <w:r>
        <w:rPr>
          <w:rFonts w:ascii="宋体" w:eastAsia="宋体" w:hAnsi="宋体" w:cs="宋体" w:hint="eastAsia"/>
          <w:lang w:eastAsia="zh-CN"/>
        </w:rPr>
        <w:t>。同时，等权与熵权均未纳入关键词语义相似度，可能低估语义相近词的累积强度。</w:t>
      </w:r>
    </w:p>
    <w:p>
      <w:pPr>
        <w:ind w:firstLine="480"/>
        <w:jc w:val="both"/>
      </w:pPr>
      <w:r>
        <w:rPr>
          <w:rFonts w:ascii="宋体" w:eastAsia="宋体" w:hAnsi="宋体" w:cs="宋体" w:hint="eastAsia"/>
          <w:lang w:eastAsia="zh-CN"/>
        </w:rPr>
        <w:t>第三，</w:t>
      </w:r>
      <w:r>
        <w:rPr>
          <w:rFonts w:ascii="宋体" w:eastAsia="宋体" w:hAnsi="宋体" w:cs="宋体" w:hint="eastAsia"/>
          <w:b/>
          <w:lang w:eastAsia="zh-CN"/>
        </w:rPr>
        <w:t>识别策略局限</w:t>
      </w:r>
      <w:r>
        <w:rPr>
          <w:rFonts w:ascii="宋体" w:eastAsia="宋体" w:hAnsi="宋体" w:cs="宋体" w:hint="eastAsia"/>
          <w:lang w:eastAsia="zh-CN"/>
        </w:rPr>
        <w:t>。受语料限制，本文未构造外生工具变量，双向固定效应与未来一期因变量的处理只能缓解部分内生性；异质性分析受分组样本规模限制，交互项检验未发现显著组间差异。</w:t>
      </w:r>
    </w:p>
    <w:p>
      <w:pPr>
        <w:ind w:firstLine="480"/>
        <w:jc w:val="both"/>
      </w:pPr>
      <w:r>
        <w:rPr>
          <w:rFonts w:ascii="宋体" w:eastAsia="宋体" w:hAnsi="宋体" w:cs="宋体" w:hint="eastAsia"/>
          <w:lang w:eastAsia="zh-CN"/>
        </w:rPr>
        <w:t>第四，</w:t>
      </w:r>
      <w:r>
        <w:rPr>
          <w:rFonts w:ascii="宋体" w:eastAsia="宋体" w:hAnsi="宋体" w:cs="宋体" w:hint="eastAsia"/>
          <w:b/>
          <w:lang w:eastAsia="zh-CN"/>
        </w:rPr>
        <w:t>边界条件局限</w:t>
      </w:r>
      <w:r>
        <w:rPr>
          <w:rFonts w:ascii="宋体" w:eastAsia="宋体" w:hAnsi="宋体" w:cs="宋体" w:hint="eastAsia"/>
          <w:lang w:eastAsia="zh-CN"/>
        </w:rPr>
        <w:t>。样本限定于制造业，结论不宜直接外推至服务业与金融业；样本区间跨越</w:t>
      </w:r>
      <w:r>
        <w:t xml:space="preserve"> 2020—2023 </w:t>
      </w:r>
      <w:r>
        <w:rPr>
          <w:rFonts w:ascii="宋体" w:eastAsia="宋体" w:hAnsi="宋体" w:cs="宋体" w:hint="eastAsia"/>
          <w:lang w:eastAsia="zh-CN"/>
        </w:rPr>
        <w:t>年，外部冲击对披露行为的影响虽通过剔除年份做了检验，但仍可能残留。</w:t>
      </w:r>
    </w:p>
    <w:p>
      <w:pPr>
        <w:pStyle w:val="Heading3"/>
      </w:pPr>
      <w:r>
        <w:rPr>
          <w:rFonts w:ascii="宋体" w:hAnsi="宋体" w:eastAsia="宋体" w:cs="宋体" w:hint="eastAsia"/>
          <w:b/>
          <w:color w:val="000000"/>
          <w:sz w:val="24"/>
          <w:lang w:eastAsia="zh-CN"/>
        </w:rPr>
        <w:t>（四）未来展望</w:t>
      </w:r>
    </w:p>
    <w:p>
      <w:pPr>
        <w:ind w:firstLine="480"/>
        <w:jc w:val="both"/>
      </w:pPr>
      <w:r>
        <w:rPr>
          <w:rFonts w:ascii="宋体" w:eastAsia="宋体" w:hAnsi="宋体" w:cs="宋体" w:hint="eastAsia"/>
          <w:lang w:eastAsia="zh-CN"/>
        </w:rPr>
        <w:t>后续研究可从四个方向推进：其一，接入巨潮资讯网年报全文本（含董事会报告、社会责任报告），把测度窗口从</w:t>
      </w:r>
      <w:r>
        <w:t xml:space="preserve"> MD&amp;A </w:t>
      </w:r>
      <w:r>
        <w:rPr>
          <w:rFonts w:ascii="宋体" w:eastAsia="宋体" w:hAnsi="宋体" w:cs="宋体" w:hint="eastAsia"/>
          <w:lang w:eastAsia="zh-CN"/>
        </w:rPr>
        <w:t>扩展到多文档，并检验跨文档测度一致性；其二，引入预训练语言模型（如</w:t>
      </w:r>
      <w:r>
        <w:t xml:space="preserve"> BERT </w:t>
      </w:r>
      <w:r>
        <w:rPr>
          <w:rFonts w:ascii="宋体" w:eastAsia="宋体" w:hAnsi="宋体" w:cs="宋体" w:hint="eastAsia"/>
          <w:lang w:eastAsia="zh-CN"/>
        </w:rPr>
        <w:t>系列）与有监督标注，比较词典法与语义模型测度的效标效度与回归系数差异；其三，寻找更合适的识别策略，如同行业</w:t>
      </w:r>
      <w:r>
        <w:t>—</w:t>
      </w:r>
      <w:r>
        <w:rPr>
          <w:rFonts w:ascii="宋体" w:eastAsia="宋体" w:hAnsi="宋体" w:cs="宋体" w:hint="eastAsia"/>
          <w:lang w:eastAsia="zh-CN"/>
        </w:rPr>
        <w:t>同年度同行均值、电信基础设施历史布局等工具变量，并采用衰减偏误校正方法估计真实效应量级；其四，把测度从</w:t>
      </w:r>
      <w:r>
        <w:t>“</w:t>
      </w:r>
      <w:r>
        <w:rPr>
          <w:rFonts w:ascii="宋体" w:eastAsia="宋体" w:hAnsi="宋体" w:cs="宋体" w:hint="eastAsia"/>
          <w:lang w:eastAsia="zh-CN"/>
        </w:rPr>
        <w:t>强度</w:t>
      </w:r>
      <w:r>
        <w:t>”</w:t>
      </w:r>
      <w:r>
        <w:rPr>
          <w:rFonts w:ascii="宋体" w:eastAsia="宋体" w:hAnsi="宋体" w:cs="宋体" w:hint="eastAsia"/>
          <w:lang w:eastAsia="zh-CN"/>
        </w:rPr>
        <w:t>扩展到</w:t>
      </w:r>
      <w:r>
        <w:t>“</w:t>
      </w:r>
      <w:r>
        <w:rPr>
          <w:rFonts w:ascii="宋体" w:eastAsia="宋体" w:hAnsi="宋体" w:cs="宋体" w:hint="eastAsia"/>
          <w:lang w:eastAsia="zh-CN"/>
        </w:rPr>
        <w:t>结构</w:t>
      </w:r>
      <w:r>
        <w:t>”</w:t>
      </w:r>
      <w:r>
        <w:rPr>
          <w:rFonts w:ascii="宋体" w:eastAsia="宋体" w:hAnsi="宋体" w:cs="宋体" w:hint="eastAsia"/>
          <w:lang w:eastAsia="zh-CN"/>
        </w:rPr>
        <w:t>，研究数字化不同维度（底层技术与应用场景）的差异化绩效效应，为企业转型路径选择提供证据。</w:t>
      </w:r>
    </w:p>
    <w:p>
      <w:bookmarkStart w:id="4" w:name="s5"/>
      <w:pPr>
        <w:pStyle w:val="Heading2"/>
      </w:pPr>
      <w:bookmarkEnd w:id="4"/>
      <w:r>
        <w:rPr>
          <w:rFonts w:ascii="宋体" w:hAnsi="宋体" w:eastAsia="宋体" w:cs="宋体" w:hint="eastAsia"/>
          <w:b/>
          <w:color w:val="000000"/>
          <w:sz w:val="28"/>
          <w:lang w:eastAsia="zh-CN"/>
        </w:rPr>
        <w:t>附录 A　数据来源说明</w:t>
      </w:r>
    </w:p>
    <w:p>
      <w:pPr>
        <w:ind w:firstLine="480"/>
        <w:jc w:val="both"/>
      </w:pPr>
      <w:r>
        <w:rPr>
          <w:rFonts w:ascii="宋体" w:eastAsia="宋体" w:hAnsi="宋体" w:cs="宋体" w:hint="eastAsia"/>
          <w:lang w:eastAsia="zh-CN"/>
        </w:rPr>
        <w:t>本附录汇总论文全部数据的来源渠道、获取方式与本稿所处状态。</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数据类别</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具体内容</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来源渠道</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获取方式</w:t>
            </w:r>
          </w:p>
        </w:tc>
        <w:tc>
          <w:tcPr>
            <w:tcW w:type="dxa" w:w="1728"/>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本稿状态</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年报文本</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MD&amp;A </w:t>
            </w:r>
            <w:r>
              <w:rPr>
                <w:sz w:val="21"/>
              </w:rPr>
              <w:t xml:space="preserve"> </w:t>
            </w:r>
            <w:r>
              <w:rPr>
                <w:sz w:val="21"/>
              </w:rPr>
              <w:t>章节全文</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巨潮资讯网</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按股票代码与年度批量下载</w:t>
            </w:r>
            <w:r>
              <w:rPr>
                <w:sz w:val="21"/>
              </w:rPr>
              <w:t xml:space="preserve"> </w:t>
            </w:r>
            <w:r>
              <w:rPr>
                <w:sz w:val="21"/>
              </w:rPr>
              <w:t xml:space="preserve"> PDF</w:t>
            </w:r>
            <w:r>
              <w:rPr>
                <w:sz w:val="21"/>
              </w:rPr>
              <w:t xml:space="preserve"> </w:t>
            </w:r>
            <w:r>
              <w:rPr>
                <w:sz w:val="21"/>
              </w:rPr>
              <w:t>，抽取文本</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预演阶段以仿真语料替代</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财务数据</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总资产、净利润、营业收入</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财务报表与财务指标子库导出</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预演阶段按</w:t>
            </w:r>
            <w:r>
              <w:rPr>
                <w:sz w:val="21"/>
              </w:rPr>
              <w:t xml:space="preserve"> </w:t>
            </w:r>
            <w:r>
              <w:rPr>
                <w:sz w:val="21"/>
              </w:rPr>
              <w:t xml:space="preserve"> DGP </w:t>
            </w:r>
            <w:r>
              <w:rPr>
                <w:sz w:val="21"/>
              </w:rPr>
              <w:t xml:space="preserve"> </w:t>
            </w:r>
            <w:r>
              <w:rPr>
                <w:sz w:val="21"/>
              </w:rPr>
              <w:t>生成</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公司治理</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第一大股东持股、独立董事占比、产权性质</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CSMAR</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治理结构子库导出</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预演阶段按</w:t>
            </w:r>
            <w:r>
              <w:rPr>
                <w:sz w:val="21"/>
              </w:rPr>
              <w:t xml:space="preserve"> </w:t>
            </w:r>
            <w:r>
              <w:rPr>
                <w:sz w:val="21"/>
              </w:rPr>
              <w:t xml:space="preserve"> DGP </w:t>
            </w:r>
            <w:r>
              <w:rPr>
                <w:sz w:val="21"/>
              </w:rPr>
              <w:t xml:space="preserve"> </w:t>
            </w:r>
            <w:r>
              <w:rPr>
                <w:sz w:val="21"/>
              </w:rPr>
              <w:t>生成</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行业分类</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证监会行业代码</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 xml:space="preserve">CSMAR / </w:t>
            </w:r>
            <w:r>
              <w:rPr>
                <w:sz w:val="21"/>
              </w:rPr>
              <w:t xml:space="preserve"> </w:t>
            </w:r>
            <w:r>
              <w:rPr>
                <w:sz w:val="21"/>
              </w:rPr>
              <w:t>证监会官网</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行业分类文件</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已按制造业</w:t>
            </w:r>
            <w:r>
              <w:rPr>
                <w:sz w:val="21"/>
              </w:rPr>
              <w:t xml:space="preserve"> </w:t>
            </w:r>
            <w:r>
              <w:rPr>
                <w:sz w:val="21"/>
              </w:rPr>
              <w:t xml:space="preserve"> C1—C4 </w:t>
            </w:r>
            <w:r>
              <w:rPr>
                <w:sz w:val="21"/>
              </w:rPr>
              <w:t xml:space="preserve"> </w:t>
            </w:r>
            <w:r>
              <w:rPr>
                <w:sz w:val="21"/>
              </w:rPr>
              <w:t>筛选</w:t>
            </w:r>
          </w:p>
        </w:tc>
      </w:tr>
      <w:tr>
        <w:tc>
          <w:tcPr>
            <w:tcW w:type="dxa" w:w="1728"/>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sz w:val="21"/>
              </w:rPr>
              <w:t>政策文本</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数字经济相关政策文件</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中国政府网</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公开检索下载</w:t>
            </w:r>
          </w:p>
        </w:tc>
        <w:tc>
          <w:tcPr>
            <w:tcW w:type="dxa" w:w="1728"/>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用于背景与词典校验</w:t>
            </w:r>
          </w:p>
        </w:tc>
      </w:tr>
      <w:tr>
        <w:tc>
          <w:tcPr>
            <w:tcW w:type="dxa" w:w="1728"/>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sz w:val="21"/>
              </w:rPr>
              <w:t>词典来源</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数字化转型关键词</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既有中文文献</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文献词典整理</w:t>
            </w:r>
            <w:r>
              <w:rPr>
                <w:sz w:val="21"/>
              </w:rPr>
              <w:t xml:space="preserve"> </w:t>
            </w:r>
            <w:r>
              <w:rPr>
                <w:sz w:val="21"/>
              </w:rPr>
              <w:t xml:space="preserve"> + </w:t>
            </w:r>
            <w:r>
              <w:rPr>
                <w:sz w:val="21"/>
              </w:rPr>
              <w:t xml:space="preserve"> </w:t>
            </w:r>
            <w:r>
              <w:rPr>
                <w:sz w:val="21"/>
              </w:rPr>
              <w:t>行业术语补充</w:t>
            </w:r>
          </w:p>
        </w:tc>
        <w:tc>
          <w:tcPr>
            <w:tcW w:type="dxa" w:w="1728"/>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共</w:t>
            </w:r>
            <w:r>
              <w:rPr>
                <w:sz w:val="21"/>
              </w:rPr>
              <w:t xml:space="preserve"> </w:t>
            </w:r>
            <w:r>
              <w:rPr>
                <w:sz w:val="21"/>
              </w:rPr>
              <w:t xml:space="preserve"> 5 </w:t>
            </w:r>
            <w:r>
              <w:rPr>
                <w:sz w:val="21"/>
              </w:rPr>
              <w:t xml:space="preserve"> </w:t>
            </w:r>
            <w:r>
              <w:rPr>
                <w:sz w:val="21"/>
              </w:rPr>
              <w:t>个维度、</w:t>
            </w:r>
            <w:r>
              <w:rPr>
                <w:sz w:val="21"/>
              </w:rPr>
              <w:t xml:space="preserve"> </w:t>
            </w:r>
            <w:r>
              <w:rPr>
                <w:sz w:val="21"/>
              </w:rPr>
              <w:t xml:space="preserve">69 </w:t>
            </w:r>
            <w:r>
              <w:rPr>
                <w:sz w:val="21"/>
              </w:rPr>
              <w:t xml:space="preserve"> </w:t>
            </w:r>
            <w:r>
              <w:rPr>
                <w:sz w:val="21"/>
              </w:rPr>
              <w:t>个关键词</w:t>
            </w:r>
          </w:p>
        </w:tc>
      </w:tr>
    </w:tbl>
    <w:p>
      <w:bookmarkStart w:id="5" w:name="s6"/>
      <w:pPr>
        <w:pStyle w:val="Heading2"/>
      </w:pPr>
      <w:bookmarkEnd w:id="5"/>
      <w:r>
        <w:rPr>
          <w:rFonts w:ascii="宋体" w:hAnsi="宋体" w:eastAsia="宋体" w:cs="宋体" w:hint="eastAsia"/>
          <w:b/>
          <w:color w:val="000000"/>
          <w:sz w:val="28"/>
          <w:lang w:eastAsia="zh-CN"/>
        </w:rPr>
        <w:t>附录 B　可复现代码与复现说明</w:t>
      </w:r>
    </w:p>
    <w:p>
      <w:pPr>
        <w:ind w:firstLine="480"/>
        <w:jc w:val="both"/>
      </w:pPr>
      <w:r>
        <w:rPr>
          <w:rFonts w:ascii="宋体" w:eastAsia="宋体" w:hAnsi="宋体" w:cs="宋体" w:hint="eastAsia"/>
          <w:lang w:eastAsia="zh-CN"/>
        </w:rPr>
        <w:t>本附录给出全部脚本的功能与产物对应关系，以及一键复现步骤。</w:t>
      </w:r>
    </w:p>
    <w:p>
      <w:pPr>
        <w:ind w:firstLine="480"/>
        <w:jc w:val="both"/>
      </w:pPr>
      <w:r>
        <w:rPr>
          <w:rFonts w:ascii="宋体" w:eastAsia="宋体" w:hAnsi="宋体" w:cs="宋体" w:hint="eastAsia"/>
          <w:lang w:eastAsia="zh-CN"/>
        </w:rPr>
        <w:t>全部代码以</w:t>
      </w:r>
      <w:r>
        <w:t xml:space="preserve"> Python 3.13 </w:t>
      </w:r>
      <w:r>
        <w:rPr>
          <w:rFonts w:ascii="宋体" w:eastAsia="宋体" w:hAnsi="宋体" w:cs="宋体" w:hint="eastAsia"/>
          <w:lang w:eastAsia="zh-CN"/>
        </w:rPr>
        <w:t>实现，采用</w:t>
      </w:r>
      <w:r>
        <w:t>“</w:t>
      </w:r>
      <w:r>
        <w:rPr>
          <w:rFonts w:ascii="宋体" w:eastAsia="宋体" w:hAnsi="宋体" w:cs="宋体" w:hint="eastAsia"/>
          <w:lang w:eastAsia="zh-CN"/>
        </w:rPr>
        <w:t>五步流水线</w:t>
      </w:r>
      <w:r>
        <w:t>”</w:t>
      </w:r>
      <w:r>
        <w:rPr>
          <w:rFonts w:ascii="宋体" w:eastAsia="宋体" w:hAnsi="宋体" w:cs="宋体" w:hint="eastAsia"/>
          <w:lang w:eastAsia="zh-CN"/>
        </w:rPr>
        <w:t>结构，每步可独立运行且中间结果全部落盘：</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Pr>
          <w:p>
            <w:pPr>
              <w:jc w:val="left"/>
              <w:spacing w:line="240" w:lineRule="auto" w:before="52" w:after="52"/>
              <w:ind w:firstLine="0"/>
            </w:pPr>
            <w:r>
              <w:rPr>
                <w:b/>
                <w:sz w:val="21"/>
              </w:rPr>
              <w:t>脚本</w:t>
            </w:r>
          </w:p>
        </w:tc>
        <w:tc>
          <w:tcPr>
            <w:tcW w:type="dxa" w:w="28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功能</w:t>
            </w:r>
          </w:p>
        </w:tc>
        <w:tc>
          <w:tcPr>
            <w:tcW w:type="dxa" w:w="2880"/>
            <w:tcBorders>
              <w:top w:val="single" w:sz="12" w:space="0" w:color="000000"/>
              <w:bottom w:val="single" w:sz="6" w:space="0" w:color="000000"/>
              <w:left w:val="none" w:sz="6" w:space="0" w:color="000000"/>
              <w:right w:val="none" w:sz="6" w:space="0" w:color="000000"/>
            </w:tcBorders>
            <w:vAlign w:val="center"/>
          </w:tcPr>
          <w:p>
            <w:pPr>
              <w:jc w:val="center"/>
              <w:spacing w:line="240" w:lineRule="auto" w:before="52" w:after="52"/>
              <w:ind w:firstLine="0"/>
            </w:pPr>
            <w:r>
              <w:rPr>
                <w:b/>
                <w:sz w:val="21"/>
              </w:rPr>
              <w:t>主要输出</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config.py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全局配置：路径、五维词典、变量定义</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s0_generate_corpus.py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语料与仿真数据生成（预演用，正式版替换为年报抓取）</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data/raw_text/*.txt</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s1_clean.py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文本清洗（</w:t>
            </w:r>
            <w:r>
              <w:rPr>
                <w:sz w:val="21"/>
              </w:rPr>
              <w:t xml:space="preserve"> </w:t>
            </w:r>
            <w:r>
              <w:rPr>
                <w:sz w:val="21"/>
              </w:rPr>
              <w:t xml:space="preserve">R1—R5 </w:t>
            </w:r>
            <w:r>
              <w:rPr>
                <w:sz w:val="21"/>
              </w:rPr>
              <w:t xml:space="preserve"> </w:t>
            </w:r>
            <w:r>
              <w:rPr>
                <w:sz w:val="21"/>
              </w:rPr>
              <w:t>规则）</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data/clean_text/*.txt</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s2_tokenize.py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分词与关键词计数（</w:t>
            </w:r>
            <w:r>
              <w:rPr>
                <w:sz w:val="21"/>
              </w:rPr>
              <w:t xml:space="preserve"> </w:t>
            </w:r>
            <w:r>
              <w:rPr>
                <w:sz w:val="21"/>
              </w:rPr>
              <w:t xml:space="preserve">T1—T4 </w:t>
            </w:r>
            <w:r>
              <w:rPr>
                <w:sz w:val="21"/>
              </w:rPr>
              <w:t xml:space="preserve"> </w:t>
            </w:r>
            <w:r>
              <w:rPr>
                <w:sz w:val="21"/>
              </w:rPr>
              <w:t>规则）</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data/tokens/doc_terms.csv</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s3_measure.py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测度构建与信效度检验（式</w:t>
            </w:r>
            <w:r>
              <w:rPr>
                <w:sz w:val="21"/>
              </w:rPr>
              <w:t xml:space="preserve"> </w:t>
            </w:r>
            <w:r>
              <w:rPr>
                <w:sz w:val="21"/>
              </w:rPr>
              <w:t xml:space="preserve"> 1—</w:t>
            </w:r>
            <w:r>
              <w:rPr>
                <w:sz w:val="21"/>
              </w:rPr>
              <w:t xml:space="preserve"> </w:t>
            </w:r>
            <w:r>
              <w:rPr>
                <w:sz w:val="21"/>
              </w:rPr>
              <w:t>式</w:t>
            </w:r>
            <w:r>
              <w:rPr>
                <w:sz w:val="21"/>
              </w:rPr>
              <w:t xml:space="preserve"> </w:t>
            </w:r>
            <w:r>
              <w:rPr>
                <w:sz w:val="21"/>
              </w:rPr>
              <w:t xml:space="preserve"> 5</w:t>
            </w:r>
            <w:r>
              <w:rPr>
                <w:sz w:val="21"/>
              </w:rPr>
              <w:t xml:space="preserve"> </w:t>
            </w:r>
            <w:r>
              <w:rPr>
                <w:sz w:val="21"/>
              </w:rPr>
              <w:t>）</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data/tokens/dig_index.csv</w:t>
            </w:r>
            <w:r>
              <w:rPr>
                <w:sz w:val="21"/>
              </w:rPr>
              <w:t xml:space="preserve"> </w:t>
            </w:r>
            <w:r>
              <w:rPr>
                <w:sz w:val="21"/>
              </w:rPr>
              <w:t>、表</w:t>
            </w:r>
            <w:r>
              <w:rPr>
                <w:sz w:val="21"/>
              </w:rPr>
              <w:t xml:space="preserve"> </w:t>
            </w:r>
            <w:r>
              <w:rPr>
                <w:sz w:val="21"/>
              </w:rPr>
              <w:t xml:space="preserve"> 3</w:t>
            </w:r>
            <w:r>
              <w:rPr>
                <w:sz w:val="21"/>
              </w:rPr>
              <w:t xml:space="preserve"> </w:t>
            </w:r>
            <w:r>
              <w:rPr>
                <w:sz w:val="21"/>
              </w:rPr>
              <w:t>、表</w:t>
            </w:r>
            <w:r>
              <w:rPr>
                <w:sz w:val="21"/>
              </w:rPr>
              <w:t xml:space="preserve"> </w:t>
            </w:r>
            <w:r>
              <w:rPr>
                <w:sz w:val="21"/>
              </w:rPr>
              <w:t xml:space="preserve"> 4</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s4_panel.py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面板构建、缩尾、描述性统计</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data/panel_firm_year.csv/.xlsx</w:t>
            </w:r>
            <w:r>
              <w:rPr>
                <w:sz w:val="21"/>
              </w:rPr>
              <w:t xml:space="preserve"> </w:t>
            </w:r>
            <w:r>
              <w:rPr>
                <w:sz w:val="21"/>
              </w:rPr>
              <w:t>、表</w:t>
            </w:r>
            <w:r>
              <w:rPr>
                <w:sz w:val="21"/>
              </w:rPr>
              <w:t xml:space="preserve"> </w:t>
            </w:r>
            <w:r>
              <w:rPr>
                <w:sz w:val="21"/>
              </w:rPr>
              <w:t xml:space="preserve"> 1</w:t>
            </w:r>
            <w:r>
              <w:rPr>
                <w:sz w:val="21"/>
              </w:rPr>
              <w:t xml:space="preserve"> </w:t>
            </w:r>
            <w:r>
              <w:rPr>
                <w:sz w:val="21"/>
              </w:rPr>
              <w:t>、表</w:t>
            </w:r>
            <w:r>
              <w:rPr>
                <w:sz w:val="21"/>
              </w:rPr>
              <w:t xml:space="preserve"> </w:t>
            </w:r>
            <w:r>
              <w:rPr>
                <w:sz w:val="21"/>
              </w:rPr>
              <w:t xml:space="preserve"> 2</w:t>
            </w:r>
          </w:p>
        </w:tc>
      </w:tr>
      <w:tr>
        <w:tc>
          <w:tcPr>
            <w:tcW w:type="dxa" w:w="2880"/>
            <w:tcBorders>
              <w:top w:val="none" w:sz="6" w:space="0" w:color="000000"/>
              <w:bottom w:val="none" w:sz="6"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s5_model.py</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基准回归、稳健性、异质性、内生性、分类任务</w:t>
            </w:r>
          </w:p>
        </w:tc>
        <w:tc>
          <w:tcPr>
            <w:tcW w:type="dxa" w:w="2880"/>
            <w:tcBorders>
              <w:top w:val="none" w:sz="6" w:space="0" w:color="000000"/>
              <w:bottom w:val="none" w:sz="6" w:space="0" w:color="000000"/>
              <w:left w:val="none" w:sz="6" w:space="0" w:color="000000"/>
              <w:right w:val="none" w:sz="6" w:space="0" w:color="000000"/>
            </w:tcBorders>
            <w:vAlign w:val="center"/>
          </w:tcPr>
          <w:p>
            <w:pPr>
              <w:jc w:val="center"/>
              <w:spacing w:line="240" w:lineRule="auto" w:before="52" w:after="52"/>
              <w:ind w:firstLine="0"/>
            </w:pPr>
            <w:r>
              <w:rPr>
                <w:sz w:val="21"/>
              </w:rPr>
              <w:t>output/tables/</w:t>
            </w:r>
            <w:r>
              <w:rPr>
                <w:sz w:val="21"/>
              </w:rPr>
              <w:t xml:space="preserve"> </w:t>
            </w:r>
            <w:r>
              <w:rPr>
                <w:sz w:val="21"/>
              </w:rPr>
              <w:t>表</w:t>
            </w:r>
            <w:r>
              <w:rPr>
                <w:sz w:val="21"/>
              </w:rPr>
              <w:t xml:space="preserve"> </w:t>
            </w:r>
            <w:r>
              <w:rPr>
                <w:sz w:val="21"/>
              </w:rPr>
              <w:t xml:space="preserve"> 6—</w:t>
            </w:r>
            <w:r>
              <w:rPr>
                <w:sz w:val="21"/>
              </w:rPr>
              <w:t xml:space="preserve"> </w:t>
            </w:r>
            <w:r>
              <w:rPr>
                <w:sz w:val="21"/>
              </w:rPr>
              <w:t>表</w:t>
            </w:r>
            <w:r>
              <w:rPr>
                <w:sz w:val="21"/>
              </w:rPr>
              <w:t xml:space="preserve"> </w:t>
            </w:r>
            <w:r>
              <w:rPr>
                <w:sz w:val="21"/>
              </w:rPr>
              <w:t xml:space="preserve"> 10</w:t>
            </w:r>
          </w:p>
        </w:tc>
      </w:tr>
      <w:tr>
        <w:tc>
          <w:tcPr>
            <w:tcW w:type="dxa" w:w="2880"/>
            <w:tcBorders>
              <w:top w:val="none" w:sz="6" w:space="0" w:color="000000"/>
              <w:bottom w:val="single" w:sz="12" w:space="0" w:color="000000"/>
              <w:left w:val="none" w:sz="6" w:space="0" w:color="000000"/>
              <w:right w:val="none" w:sz="6" w:space="0" w:color="000000"/>
            </w:tcBorders>
            <w:vAlign w:val="center"/>
          </w:tcPr>
          <w:p>
            <w:pPr>
              <w:jc w:val="left"/>
              <w:spacing w:line="240" w:lineRule="auto" w:before="52" w:after="52"/>
              <w:ind w:firstLine="0"/>
            </w:pPr>
            <w:r>
              <w:rPr>
                <w:rFonts w:ascii="Courier New" w:hAnsi="Courier New"/>
                <w:sz w:val="21"/>
              </w:rPr>
              <w:t>run_all.py</w:t>
            </w:r>
          </w:p>
        </w:tc>
        <w:tc>
          <w:tcPr>
            <w:tcW w:type="dxa" w:w="28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一键复现全流程</w:t>
            </w:r>
          </w:p>
        </w:tc>
        <w:tc>
          <w:tcPr>
            <w:tcW w:type="dxa" w:w="2880"/>
            <w:tcBorders>
              <w:top w:val="none" w:sz="6" w:space="0" w:color="000000"/>
              <w:bottom w:val="single" w:sz="12" w:space="0" w:color="000000"/>
              <w:left w:val="none" w:sz="6" w:space="0" w:color="000000"/>
              <w:right w:val="none" w:sz="6" w:space="0" w:color="000000"/>
            </w:tcBorders>
            <w:vAlign w:val="center"/>
          </w:tcPr>
          <w:p>
            <w:pPr>
              <w:jc w:val="center"/>
              <w:spacing w:line="240" w:lineRule="auto" w:before="52" w:after="52"/>
              <w:ind w:firstLine="0"/>
            </w:pPr>
            <w:r>
              <w:rPr>
                <w:sz w:val="21"/>
              </w:rPr>
              <w:t>全部结果</w:t>
            </w:r>
          </w:p>
        </w:tc>
      </w:tr>
    </w:tbl>
    <w:p>
      <w:pPr>
        <w:ind w:firstLine="480"/>
        <w:jc w:val="both"/>
      </w:pPr>
      <w:r>
        <w:rPr>
          <w:rFonts w:ascii="宋体" w:eastAsia="宋体" w:hAnsi="宋体" w:cs="宋体" w:hint="eastAsia"/>
          <w:lang w:eastAsia="zh-CN"/>
        </w:rPr>
        <w:t xml:space="preserve">复现步骤为：依次执行 </w:t>
      </w:r>
      <w:r>
        <w:rPr>
          <w:rFonts w:ascii="Courier New" w:hAnsi="Courier New"/>
          <w:sz w:val="21"/>
        </w:rPr>
        <w:t>pip install -r requirements.txt</w:t>
      </w:r>
      <w:r>
        <w:rPr>
          <w:rFonts w:ascii="宋体" w:eastAsia="宋体" w:hAnsi="宋体" w:cs="宋体" w:hint="eastAsia"/>
          <w:lang w:eastAsia="zh-CN"/>
        </w:rPr>
        <w:t xml:space="preserve"> 与 </w:t>
      </w:r>
      <w:r>
        <w:rPr>
          <w:rFonts w:ascii="Courier New" w:hAnsi="Courier New"/>
          <w:sz w:val="21"/>
        </w:rPr>
        <w:t>python run_all.py</w:t>
      </w:r>
      <w:r>
        <w:rPr>
          <w:rFonts w:ascii="宋体" w:eastAsia="宋体" w:hAnsi="宋体" w:cs="宋体" w:hint="eastAsia"/>
          <w:lang w:eastAsia="zh-CN"/>
        </w:rPr>
        <w:t>，全流程耗时约</w:t>
      </w:r>
      <w:r>
        <w:t xml:space="preserve"> 80 </w:t>
      </w:r>
      <w:r>
        <w:rPr>
          <w:rFonts w:ascii="宋体" w:eastAsia="宋体" w:hAnsi="宋体" w:cs="宋体" w:hint="eastAsia"/>
          <w:lang w:eastAsia="zh-CN"/>
        </w:rPr>
        <w:t>秒即可生成全部结果表与面板数据。随机种子固定为</w:t>
      </w:r>
      <w:r>
        <w:t xml:space="preserve"> 20260329</w:t>
      </w:r>
      <w:r>
        <w:rPr>
          <w:rFonts w:ascii="宋体" w:eastAsia="宋体" w:hAnsi="宋体" w:cs="宋体" w:hint="eastAsia"/>
          <w:lang w:eastAsia="zh-CN"/>
        </w:rPr>
        <w:t>，保证仿真结果可被完整复现。测量结果表（企业</w:t>
      </w:r>
      <w:r>
        <w:t>—</w:t>
      </w:r>
      <w:r>
        <w:rPr>
          <w:rFonts w:ascii="宋体" w:eastAsia="宋体" w:hAnsi="宋体" w:cs="宋体" w:hint="eastAsia"/>
          <w:lang w:eastAsia="zh-CN"/>
        </w:rPr>
        <w:t>年份面板）以</w:t>
      </w:r>
      <w:r>
        <w:t xml:space="preserve"> </w:t>
      </w:r>
      <w:r>
        <w:rPr>
          <w:rFonts w:ascii="Courier New" w:hAnsi="Courier New"/>
          <w:sz w:val="21"/>
        </w:rPr>
        <w:t>data/panel_firm_year.csv</w:t>
      </w:r>
      <w:r>
        <w:rPr>
          <w:rFonts w:ascii="宋体" w:eastAsia="宋体" w:hAnsi="宋体" w:cs="宋体" w:hint="eastAsia"/>
          <w:lang w:eastAsia="zh-CN"/>
        </w:rPr>
        <w:t xml:space="preserve"> 与 </w:t>
      </w:r>
      <w:r>
        <w:rPr>
          <w:rFonts w:ascii="Courier New" w:hAnsi="Courier New"/>
          <w:sz w:val="21"/>
        </w:rPr>
        <w:t>data/panel_firm_year.xlsx</w:t>
      </w:r>
      <w:r>
        <w:t xml:space="preserve"> </w:t>
      </w:r>
      <w:r>
        <w:rPr>
          <w:rFonts w:ascii="宋体" w:eastAsia="宋体" w:hAnsi="宋体" w:cs="宋体" w:hint="eastAsia"/>
          <w:lang w:eastAsia="zh-CN"/>
        </w:rPr>
        <w:t>两种格式提供，包含</w:t>
      </w:r>
      <w:r>
        <w:t xml:space="preserve"> 180 </w:t>
      </w:r>
      <w:r>
        <w:rPr>
          <w:rFonts w:ascii="宋体" w:eastAsia="宋体" w:hAnsi="宋体" w:cs="宋体" w:hint="eastAsia"/>
          <w:lang w:eastAsia="zh-CN"/>
        </w:rPr>
        <w:t>家企业</w:t>
      </w:r>
      <w:r>
        <w:t xml:space="preserve"> × 9 </w:t>
      </w:r>
      <w:r>
        <w:rPr>
          <w:rFonts w:ascii="宋体" w:eastAsia="宋体" w:hAnsi="宋体" w:cs="宋体" w:hint="eastAsia"/>
          <w:lang w:eastAsia="zh-CN"/>
        </w:rPr>
        <w:t>年共</w:t>
      </w:r>
      <w:r>
        <w:t xml:space="preserve"> 1620 </w:t>
      </w:r>
      <w:r>
        <w:rPr>
          <w:rFonts w:ascii="宋体" w:eastAsia="宋体" w:hAnsi="宋体" w:cs="宋体" w:hint="eastAsia"/>
          <w:lang w:eastAsia="zh-CN"/>
        </w:rPr>
        <w:t>行、</w:t>
      </w:r>
      <w:r>
        <w:t xml:space="preserve">22 </w:t>
      </w:r>
      <w:r>
        <w:rPr>
          <w:rFonts w:ascii="宋体" w:eastAsia="宋体" w:hAnsi="宋体" w:cs="宋体" w:hint="eastAsia"/>
          <w:lang w:eastAsia="zh-CN"/>
        </w:rPr>
        <w:t>个变量。</w:t>
      </w:r>
    </w:p>
    <w:p>
      <w:bookmarkStart w:id="6" w:name="s4"/>
      <w:pPr>
        <w:pStyle w:val="Heading2"/>
      </w:pPr>
      <w:bookmarkEnd w:id="6"/>
      <w:r>
        <w:rPr>
          <w:rFonts w:ascii="宋体" w:hAnsi="宋体" w:eastAsia="宋体" w:cs="宋体" w:hint="eastAsia"/>
          <w:b/>
          <w:color w:val="000000"/>
          <w:sz w:val="28"/>
          <w:lang w:eastAsia="zh-CN"/>
        </w:rPr>
        <w:t>参考文献</w:t>
      </w:r>
    </w:p>
    <w:p>
      <w:pPr>
        <w:ind w:firstLine="0"/>
        <w:jc w:val="both"/>
      </w:pPr>
      <w:r>
        <w:rPr>
          <w:sz w:val="21"/>
        </w:rPr>
        <w:t xml:space="preserve">[1] </w:t>
      </w:r>
      <w:r>
        <w:rPr>
          <w:rFonts w:ascii="宋体" w:eastAsia="宋体" w:hAnsi="宋体" w:cs="宋体" w:hint="eastAsia"/>
          <w:sz w:val="21"/>
          <w:lang w:eastAsia="zh-CN"/>
        </w:rPr>
        <w:t>吴非</w:t>
      </w:r>
      <w:r>
        <w:rPr>
          <w:sz w:val="21"/>
        </w:rPr>
        <w:t xml:space="preserve">, </w:t>
      </w:r>
      <w:r>
        <w:rPr>
          <w:rFonts w:ascii="宋体" w:eastAsia="宋体" w:hAnsi="宋体" w:cs="宋体" w:hint="eastAsia"/>
          <w:sz w:val="21"/>
          <w:lang w:eastAsia="zh-CN"/>
        </w:rPr>
        <w:t>胡慧芷</w:t>
      </w:r>
      <w:r>
        <w:rPr>
          <w:sz w:val="21"/>
        </w:rPr>
        <w:t xml:space="preserve">, </w:t>
      </w:r>
      <w:r>
        <w:rPr>
          <w:rFonts w:ascii="宋体" w:eastAsia="宋体" w:hAnsi="宋体" w:cs="宋体" w:hint="eastAsia"/>
          <w:sz w:val="21"/>
          <w:lang w:eastAsia="zh-CN"/>
        </w:rPr>
        <w:t>林慧妍</w:t>
      </w:r>
      <w:r>
        <w:rPr>
          <w:sz w:val="21"/>
        </w:rPr>
        <w:t xml:space="preserve">, </w:t>
      </w:r>
      <w:r>
        <w:rPr>
          <w:rFonts w:ascii="宋体" w:eastAsia="宋体" w:hAnsi="宋体" w:cs="宋体" w:hint="eastAsia"/>
          <w:sz w:val="21"/>
          <w:lang w:eastAsia="zh-CN"/>
        </w:rPr>
        <w:t>任晓怡</w:t>
      </w:r>
      <w:r>
        <w:rPr>
          <w:sz w:val="21"/>
        </w:rPr>
        <w:t xml:space="preserve">. </w:t>
      </w:r>
      <w:r>
        <w:rPr>
          <w:rFonts w:ascii="宋体" w:eastAsia="宋体" w:hAnsi="宋体" w:cs="宋体" w:hint="eastAsia"/>
          <w:sz w:val="21"/>
          <w:lang w:eastAsia="zh-CN"/>
        </w:rPr>
        <w:t>企业数字化转型与资本市场表现</w:t>
      </w:r>
      <w:r>
        <w:rPr>
          <w:sz w:val="21"/>
        </w:rPr>
        <w:t>——</w:t>
      </w:r>
      <w:r>
        <w:rPr>
          <w:rFonts w:ascii="宋体" w:eastAsia="宋体" w:hAnsi="宋体" w:cs="宋体" w:hint="eastAsia"/>
          <w:sz w:val="21"/>
          <w:lang w:eastAsia="zh-CN"/>
        </w:rPr>
        <w:t>来自股票流动性的经验证据</w:t>
      </w:r>
      <w:r>
        <w:rPr>
          <w:sz w:val="21"/>
        </w:rPr>
        <w:t xml:space="preserve">[J]. </w:t>
      </w:r>
      <w:r>
        <w:rPr>
          <w:rFonts w:ascii="宋体" w:eastAsia="宋体" w:hAnsi="宋体" w:cs="宋体" w:hint="eastAsia"/>
          <w:sz w:val="21"/>
          <w:lang w:eastAsia="zh-CN"/>
        </w:rPr>
        <w:t>管理世界</w:t>
      </w:r>
      <w:r>
        <w:rPr>
          <w:sz w:val="21"/>
        </w:rPr>
        <w:t xml:space="preserve">, 2021, 37(7): 130-144. </w:t>
      </w:r>
      <w:r>
        <w:rPr>
          <w:rFonts w:ascii="宋体" w:eastAsia="宋体" w:hAnsi="宋体" w:cs="宋体" w:hint="eastAsia"/>
          <w:sz w:val="21"/>
          <w:lang w:eastAsia="zh-CN"/>
        </w:rPr>
        <w:t>获取入口：</w:t>
      </w:r>
      <w:r>
        <w:rPr>
          <w:sz w:val="21"/>
        </w:rPr>
        <w:t>https://navi.cnki.net/knavi/journals/GLSJ/detail</w:t>
      </w:r>
    </w:p>
    <w:p>
      <w:pPr>
        <w:ind w:firstLine="0"/>
        <w:jc w:val="both"/>
      </w:pPr>
      <w:r>
        <w:rPr>
          <w:sz w:val="21"/>
        </w:rPr>
        <w:t xml:space="preserve">[2] </w:t>
      </w:r>
      <w:r>
        <w:rPr>
          <w:rFonts w:ascii="宋体" w:eastAsia="宋体" w:hAnsi="宋体" w:cs="宋体" w:hint="eastAsia"/>
          <w:sz w:val="21"/>
          <w:lang w:eastAsia="zh-CN"/>
        </w:rPr>
        <w:t>袁淳</w:t>
      </w:r>
      <w:r>
        <w:rPr>
          <w:sz w:val="21"/>
        </w:rPr>
        <w:t xml:space="preserve">, </w:t>
      </w:r>
      <w:r>
        <w:rPr>
          <w:rFonts w:ascii="宋体" w:eastAsia="宋体" w:hAnsi="宋体" w:cs="宋体" w:hint="eastAsia"/>
          <w:sz w:val="21"/>
          <w:lang w:eastAsia="zh-CN"/>
        </w:rPr>
        <w:t>肖土盛</w:t>
      </w:r>
      <w:r>
        <w:rPr>
          <w:sz w:val="21"/>
        </w:rPr>
        <w:t xml:space="preserve">, </w:t>
      </w:r>
      <w:r>
        <w:rPr>
          <w:rFonts w:ascii="宋体" w:eastAsia="宋体" w:hAnsi="宋体" w:cs="宋体" w:hint="eastAsia"/>
          <w:sz w:val="21"/>
          <w:lang w:eastAsia="zh-CN"/>
        </w:rPr>
        <w:t>耿春晓</w:t>
      </w:r>
      <w:r>
        <w:rPr>
          <w:sz w:val="21"/>
        </w:rPr>
        <w:t xml:space="preserve">, </w:t>
      </w:r>
      <w:r>
        <w:rPr>
          <w:rFonts w:ascii="宋体" w:eastAsia="宋体" w:hAnsi="宋体" w:cs="宋体" w:hint="eastAsia"/>
          <w:sz w:val="21"/>
          <w:lang w:eastAsia="zh-CN"/>
        </w:rPr>
        <w:t>盛誉</w:t>
      </w:r>
      <w:r>
        <w:rPr>
          <w:sz w:val="21"/>
        </w:rPr>
        <w:t xml:space="preserve">. </w:t>
      </w:r>
      <w:r>
        <w:rPr>
          <w:rFonts w:ascii="宋体" w:eastAsia="宋体" w:hAnsi="宋体" w:cs="宋体" w:hint="eastAsia"/>
          <w:sz w:val="21"/>
          <w:lang w:eastAsia="zh-CN"/>
        </w:rPr>
        <w:t>数字化转型与企业分工：专业化还是纵向一体化</w:t>
      </w:r>
      <w:r>
        <w:rPr>
          <w:sz w:val="21"/>
        </w:rPr>
        <w:t xml:space="preserve">[J]. </w:t>
      </w:r>
      <w:r>
        <w:rPr>
          <w:rFonts w:ascii="宋体" w:eastAsia="宋体" w:hAnsi="宋体" w:cs="宋体" w:hint="eastAsia"/>
          <w:sz w:val="21"/>
          <w:lang w:eastAsia="zh-CN"/>
        </w:rPr>
        <w:t>中国工业经济</w:t>
      </w:r>
      <w:r>
        <w:rPr>
          <w:sz w:val="21"/>
        </w:rPr>
        <w:t xml:space="preserve">, 2021(9): 137-155. </w:t>
      </w:r>
      <w:r>
        <w:rPr>
          <w:rFonts w:ascii="宋体" w:eastAsia="宋体" w:hAnsi="宋体" w:cs="宋体" w:hint="eastAsia"/>
          <w:sz w:val="21"/>
          <w:lang w:eastAsia="zh-CN"/>
        </w:rPr>
        <w:t>获取入口：</w:t>
      </w:r>
      <w:r>
        <w:rPr>
          <w:sz w:val="21"/>
        </w:rPr>
        <w:t>https://navi.cnki.net/knavi/journals/GGYY/detail</w:t>
      </w:r>
    </w:p>
    <w:p>
      <w:pPr>
        <w:ind w:firstLine="0"/>
        <w:jc w:val="both"/>
      </w:pPr>
      <w:r>
        <w:rPr>
          <w:sz w:val="21"/>
        </w:rPr>
        <w:t xml:space="preserve">[3] </w:t>
      </w:r>
      <w:r>
        <w:rPr>
          <w:rFonts w:ascii="宋体" w:eastAsia="宋体" w:hAnsi="宋体" w:cs="宋体" w:hint="eastAsia"/>
          <w:sz w:val="21"/>
          <w:lang w:eastAsia="zh-CN"/>
        </w:rPr>
        <w:t>赵宸宇</w:t>
      </w:r>
      <w:r>
        <w:rPr>
          <w:sz w:val="21"/>
        </w:rPr>
        <w:t xml:space="preserve">, </w:t>
      </w:r>
      <w:r>
        <w:rPr>
          <w:rFonts w:ascii="宋体" w:eastAsia="宋体" w:hAnsi="宋体" w:cs="宋体" w:hint="eastAsia"/>
          <w:sz w:val="21"/>
          <w:lang w:eastAsia="zh-CN"/>
        </w:rPr>
        <w:t>王文春</w:t>
      </w:r>
      <w:r>
        <w:rPr>
          <w:sz w:val="21"/>
        </w:rPr>
        <w:t xml:space="preserve">, </w:t>
      </w:r>
      <w:r>
        <w:rPr>
          <w:rFonts w:ascii="宋体" w:eastAsia="宋体" w:hAnsi="宋体" w:cs="宋体" w:hint="eastAsia"/>
          <w:sz w:val="21"/>
          <w:lang w:eastAsia="zh-CN"/>
        </w:rPr>
        <w:t>李雪松</w:t>
      </w:r>
      <w:r>
        <w:rPr>
          <w:sz w:val="21"/>
        </w:rPr>
        <w:t xml:space="preserve">. </w:t>
      </w:r>
      <w:r>
        <w:rPr>
          <w:rFonts w:ascii="宋体" w:eastAsia="宋体" w:hAnsi="宋体" w:cs="宋体" w:hint="eastAsia"/>
          <w:sz w:val="21"/>
          <w:lang w:eastAsia="zh-CN"/>
        </w:rPr>
        <w:t>数字化转型如何影响企业全要素生产率</w:t>
      </w:r>
      <w:r>
        <w:rPr>
          <w:sz w:val="21"/>
        </w:rPr>
        <w:t xml:space="preserve">[J]. </w:t>
      </w:r>
      <w:r>
        <w:rPr>
          <w:rFonts w:ascii="宋体" w:eastAsia="宋体" w:hAnsi="宋体" w:cs="宋体" w:hint="eastAsia"/>
          <w:sz w:val="21"/>
          <w:lang w:eastAsia="zh-CN"/>
        </w:rPr>
        <w:t>财贸经济</w:t>
      </w:r>
      <w:r>
        <w:rPr>
          <w:sz w:val="21"/>
        </w:rPr>
        <w:t xml:space="preserve">, 2021, 42(7): 114-129. </w:t>
      </w:r>
      <w:r>
        <w:rPr>
          <w:rFonts w:ascii="宋体" w:eastAsia="宋体" w:hAnsi="宋体" w:cs="宋体" w:hint="eastAsia"/>
          <w:sz w:val="21"/>
          <w:lang w:eastAsia="zh-CN"/>
        </w:rPr>
        <w:t>获取入口：</w:t>
      </w:r>
      <w:r>
        <w:rPr>
          <w:sz w:val="21"/>
        </w:rPr>
        <w:t>https://navi.cnki.net/knavi/journals/CMJJ/detail</w:t>
      </w:r>
    </w:p>
    <w:p>
      <w:pPr>
        <w:ind w:firstLine="0"/>
        <w:jc w:val="both"/>
      </w:pPr>
      <w:r>
        <w:rPr>
          <w:sz w:val="21"/>
        </w:rPr>
        <w:t xml:space="preserve">[4] </w:t>
      </w:r>
      <w:r>
        <w:rPr>
          <w:rFonts w:ascii="宋体" w:eastAsia="宋体" w:hAnsi="宋体" w:cs="宋体" w:hint="eastAsia"/>
          <w:sz w:val="21"/>
          <w:lang w:eastAsia="zh-CN"/>
        </w:rPr>
        <w:t>戚聿东</w:t>
      </w:r>
      <w:r>
        <w:rPr>
          <w:sz w:val="21"/>
        </w:rPr>
        <w:t xml:space="preserve">, </w:t>
      </w:r>
      <w:r>
        <w:rPr>
          <w:rFonts w:ascii="宋体" w:eastAsia="宋体" w:hAnsi="宋体" w:cs="宋体" w:hint="eastAsia"/>
          <w:sz w:val="21"/>
          <w:lang w:eastAsia="zh-CN"/>
        </w:rPr>
        <w:t>肖旭</w:t>
      </w:r>
      <w:r>
        <w:rPr>
          <w:sz w:val="21"/>
        </w:rPr>
        <w:t xml:space="preserve">. </w:t>
      </w:r>
      <w:r>
        <w:rPr>
          <w:rFonts w:ascii="宋体" w:eastAsia="宋体" w:hAnsi="宋体" w:cs="宋体" w:hint="eastAsia"/>
          <w:sz w:val="21"/>
          <w:lang w:eastAsia="zh-CN"/>
        </w:rPr>
        <w:t>数字经济时代的企业管理变革</w:t>
      </w:r>
      <w:r>
        <w:rPr>
          <w:sz w:val="21"/>
        </w:rPr>
        <w:t xml:space="preserve">[J]. </w:t>
      </w:r>
      <w:r>
        <w:rPr>
          <w:rFonts w:ascii="宋体" w:eastAsia="宋体" w:hAnsi="宋体" w:cs="宋体" w:hint="eastAsia"/>
          <w:sz w:val="21"/>
          <w:lang w:eastAsia="zh-CN"/>
        </w:rPr>
        <w:t>管理世界</w:t>
      </w:r>
      <w:r>
        <w:rPr>
          <w:sz w:val="21"/>
        </w:rPr>
        <w:t xml:space="preserve">, 2020, 36(6): 135-152. </w:t>
      </w:r>
      <w:r>
        <w:rPr>
          <w:rFonts w:ascii="宋体" w:eastAsia="宋体" w:hAnsi="宋体" w:cs="宋体" w:hint="eastAsia"/>
          <w:sz w:val="21"/>
          <w:lang w:eastAsia="zh-CN"/>
        </w:rPr>
        <w:t>获取入口：</w:t>
      </w:r>
      <w:r>
        <w:rPr>
          <w:sz w:val="21"/>
        </w:rPr>
        <w:t>https://navi.cnki.net/knavi/journals/GLSJ/detail</w:t>
      </w:r>
    </w:p>
    <w:p>
      <w:pPr>
        <w:ind w:firstLine="0"/>
        <w:jc w:val="both"/>
      </w:pPr>
      <w:r>
        <w:rPr>
          <w:sz w:val="21"/>
        </w:rPr>
        <w:t xml:space="preserve">[5] </w:t>
      </w:r>
      <w:r>
        <w:rPr>
          <w:rFonts w:ascii="宋体" w:eastAsia="宋体" w:hAnsi="宋体" w:cs="宋体" w:hint="eastAsia"/>
          <w:sz w:val="21"/>
          <w:lang w:eastAsia="zh-CN"/>
        </w:rPr>
        <w:t>中国政府网</w:t>
      </w:r>
      <w:r>
        <w:rPr>
          <w:sz w:val="21"/>
        </w:rPr>
        <w:t>. “</w:t>
      </w:r>
      <w:r>
        <w:rPr>
          <w:rFonts w:ascii="宋体" w:eastAsia="宋体" w:hAnsi="宋体" w:cs="宋体" w:hint="eastAsia"/>
          <w:sz w:val="21"/>
          <w:lang w:eastAsia="zh-CN"/>
        </w:rPr>
        <w:t>十四五</w:t>
      </w:r>
      <w:r>
        <w:rPr>
          <w:sz w:val="21"/>
        </w:rPr>
        <w:t>”</w:t>
      </w:r>
      <w:r>
        <w:rPr>
          <w:rFonts w:ascii="宋体" w:eastAsia="宋体" w:hAnsi="宋体" w:cs="宋体" w:hint="eastAsia"/>
          <w:sz w:val="21"/>
          <w:lang w:eastAsia="zh-CN"/>
        </w:rPr>
        <w:t>数字经济发展规划</w:t>
      </w:r>
      <w:r>
        <w:rPr>
          <w:sz w:val="21"/>
        </w:rPr>
        <w:t xml:space="preserve">[EB/OL]. (2022-01-12). </w:t>
      </w:r>
      <w:r>
        <w:rPr>
          <w:rFonts w:ascii="宋体" w:eastAsia="宋体" w:hAnsi="宋体" w:cs="宋体" w:hint="eastAsia"/>
          <w:sz w:val="21"/>
          <w:lang w:eastAsia="zh-CN"/>
        </w:rPr>
        <w:t>检索入口：</w:t>
      </w:r>
      <w:r>
        <w:rPr>
          <w:sz w:val="21"/>
        </w:rPr>
        <w:t>https://sousuo.www.gov.cn/sousuo/search.shtml?searchWord=</w:t>
      </w:r>
      <w:r>
        <w:rPr>
          <w:rFonts w:ascii="宋体" w:eastAsia="宋体" w:hAnsi="宋体" w:cs="宋体" w:hint="eastAsia"/>
          <w:sz w:val="21"/>
          <w:lang w:eastAsia="zh-CN"/>
        </w:rPr>
        <w:t>十四五数字经济发展规划</w:t>
      </w:r>
    </w:p>
    <w:p>
      <w:pPr>
        <w:ind w:firstLine="0"/>
        <w:jc w:val="both"/>
      </w:pPr>
      <w:r>
        <w:rPr>
          <w:sz w:val="21"/>
        </w:rPr>
        <w:t xml:space="preserve">[6] </w:t>
      </w:r>
      <w:r>
        <w:rPr>
          <w:rFonts w:ascii="宋体" w:eastAsia="宋体" w:hAnsi="宋体" w:cs="宋体" w:hint="eastAsia"/>
          <w:sz w:val="21"/>
          <w:lang w:eastAsia="zh-CN"/>
        </w:rPr>
        <w:t>中国信息通信研究院</w:t>
      </w:r>
      <w:r>
        <w:rPr>
          <w:sz w:val="21"/>
        </w:rPr>
        <w:t xml:space="preserve">. </w:t>
      </w:r>
      <w:r>
        <w:rPr>
          <w:rFonts w:ascii="宋体" w:eastAsia="宋体" w:hAnsi="宋体" w:cs="宋体" w:hint="eastAsia"/>
          <w:sz w:val="21"/>
          <w:lang w:eastAsia="zh-CN"/>
        </w:rPr>
        <w:t>中国数字经济发展研究报告</w:t>
      </w:r>
      <w:r>
        <w:rPr>
          <w:sz w:val="21"/>
        </w:rPr>
        <w:t>[R/OL]. http://www.caict.ac.cn/</w:t>
      </w:r>
    </w:p>
    <w:p>
      <w:pPr>
        <w:ind w:firstLine="0"/>
        <w:jc w:val="both"/>
      </w:pPr>
      <w:r>
        <w:rPr>
          <w:sz w:val="21"/>
        </w:rPr>
        <w:t xml:space="preserve">[7] Gentzkow, M., Kelly, B., &amp; Taddy, M. (2019). Text as Data. Journal of Economic Literature, 57(3), 535-574. </w:t>
      </w:r>
      <w:r>
        <w:rPr>
          <w:rFonts w:ascii="宋体" w:eastAsia="宋体" w:hAnsi="宋体" w:cs="宋体" w:hint="eastAsia"/>
          <w:sz w:val="21"/>
          <w:lang w:eastAsia="zh-CN"/>
        </w:rPr>
        <w:t>检索入口：</w:t>
      </w:r>
      <w:r>
        <w:rPr>
          <w:sz w:val="21"/>
        </w:rPr>
        <w:t>https://scholar.google.com/scholar?q=Text+as+Data+Gentzkow+Kelly+Taddy</w:t>
      </w:r>
    </w:p>
    <w:p>
      <w:pPr>
        <w:ind w:firstLine="0"/>
        <w:jc w:val="both"/>
      </w:pPr>
      <w:r>
        <w:rPr>
          <w:sz w:val="21"/>
        </w:rPr>
        <w:t xml:space="preserve">[8] Brynjolfsson, E., Rock, D., &amp; Syverson, C. (2021). The Productivity J-Curve: How Intangibles Complement General Purpose Technologies. American Economic Journal: Macroeconomics, 13(1), 333-372. </w:t>
      </w:r>
      <w:r>
        <w:rPr>
          <w:rFonts w:ascii="宋体" w:eastAsia="宋体" w:hAnsi="宋体" w:cs="宋体" w:hint="eastAsia"/>
          <w:sz w:val="21"/>
          <w:lang w:eastAsia="zh-CN"/>
        </w:rPr>
        <w:t>检索入口：</w:t>
      </w:r>
      <w:r>
        <w:rPr>
          <w:sz w:val="21"/>
        </w:rPr>
        <w:t>https://scholar.google.com/scholar?q=The+Productivity+J-Curve+Brynjolfsson</w:t>
      </w:r>
    </w:p>
    <w:p>
      <w:pPr>
        <w:ind w:firstLine="0"/>
        <w:jc w:val="both"/>
      </w:pPr>
      <w:r>
        <w:rPr>
          <w:sz w:val="21"/>
        </w:rPr>
        <w:t xml:space="preserve">[9] Acemoglu, D., &amp; Restrepo, P. (2020). Robots and Jobs: Evidence from US Labor Markets. Journal of Political Economy, 128(6), 2188-2244. </w:t>
      </w:r>
      <w:r>
        <w:rPr>
          <w:rFonts w:ascii="宋体" w:eastAsia="宋体" w:hAnsi="宋体" w:cs="宋体" w:hint="eastAsia"/>
          <w:sz w:val="21"/>
          <w:lang w:eastAsia="zh-CN"/>
        </w:rPr>
        <w:t>检索入口：</w:t>
      </w:r>
      <w:r>
        <w:rPr>
          <w:sz w:val="21"/>
        </w:rPr>
        <w:t>https://scholar.google.com/scholar?q=Robots+and+Jobs+Evidence+from+US+Labor+Markets</w:t>
      </w:r>
    </w:p>
    <w:p>
      <w:pPr>
        <w:ind w:firstLine="0"/>
        <w:jc w:val="both"/>
      </w:pPr>
      <w:r>
        <w:rPr>
          <w:sz w:val="21"/>
        </w:rPr>
        <w:t xml:space="preserve">[10] Hassan, T. A., Hollander, S., van Lent, L., &amp; Tahoun, A. (2019). Firm-Level Political Risk: Measurement and Effects. Quarterly Journal of Economics, 134(4), 2135-2202. </w:t>
      </w:r>
      <w:r>
        <w:rPr>
          <w:rFonts w:ascii="宋体" w:eastAsia="宋体" w:hAnsi="宋体" w:cs="宋体" w:hint="eastAsia"/>
          <w:sz w:val="21"/>
          <w:lang w:eastAsia="zh-CN"/>
        </w:rPr>
        <w:t>检索入口：</w:t>
      </w:r>
      <w:r>
        <w:rPr>
          <w:sz w:val="21"/>
        </w:rPr>
        <w:t>https://scholar.google.com/scholar?q=Firm-Level+Political+Risk+Measurement+and+Effects</w:t>
      </w:r>
    </w:p>
    <w:p>
      <w:pPr>
        <w:ind w:firstLine="0"/>
        <w:jc w:val="both"/>
      </w:pPr>
      <w:r>
        <w:rPr>
          <w:sz w:val="21"/>
        </w:rPr>
        <w:t xml:space="preserve">[11] </w:t>
      </w:r>
      <w:r>
        <w:rPr>
          <w:rFonts w:ascii="宋体" w:eastAsia="宋体" w:hAnsi="宋体" w:cs="宋体" w:hint="eastAsia"/>
          <w:sz w:val="21"/>
          <w:lang w:eastAsia="zh-CN"/>
        </w:rPr>
        <w:t>巨潮资讯网</w:t>
      </w:r>
      <w:r>
        <w:rPr>
          <w:sz w:val="21"/>
        </w:rPr>
        <w:t xml:space="preserve">. </w:t>
      </w:r>
      <w:r>
        <w:rPr>
          <w:rFonts w:ascii="宋体" w:eastAsia="宋体" w:hAnsi="宋体" w:cs="宋体" w:hint="eastAsia"/>
          <w:sz w:val="21"/>
          <w:lang w:eastAsia="zh-CN"/>
        </w:rPr>
        <w:t>上市公司定期报告数据库</w:t>
      </w:r>
      <w:r>
        <w:rPr>
          <w:sz w:val="21"/>
        </w:rPr>
        <w:t>[DB/OL]. http://www.cninfo.com.cn/</w:t>
      </w:r>
    </w:p>
    <w:p>
      <w:pPr>
        <w:ind w:firstLine="0"/>
        <w:jc w:val="both"/>
      </w:pPr>
      <w:r>
        <w:rPr>
          <w:sz w:val="21"/>
        </w:rPr>
        <w:t xml:space="preserve">[12] </w:t>
      </w:r>
      <w:r>
        <w:rPr>
          <w:rFonts w:ascii="宋体" w:eastAsia="宋体" w:hAnsi="宋体" w:cs="宋体" w:hint="eastAsia"/>
          <w:sz w:val="21"/>
          <w:lang w:eastAsia="zh-CN"/>
        </w:rPr>
        <w:t>国泰安信息技术有限公司</w:t>
      </w:r>
      <w:r>
        <w:rPr>
          <w:sz w:val="21"/>
        </w:rPr>
        <w:t xml:space="preserve">. CSMAR </w:t>
      </w:r>
      <w:r>
        <w:rPr>
          <w:rFonts w:ascii="宋体" w:eastAsia="宋体" w:hAnsi="宋体" w:cs="宋体" w:hint="eastAsia"/>
          <w:sz w:val="21"/>
          <w:lang w:eastAsia="zh-CN"/>
        </w:rPr>
        <w:t>中国经济金融研究数据库</w:t>
      </w:r>
      <w:r>
        <w:rPr>
          <w:sz w:val="21"/>
        </w:rPr>
        <w:t>[DB/OL]. https://data.csmar.com/</w:t>
      </w:r>
    </w:p>
    <w:p>
      <w:pPr>
        <w:ind w:firstLine="0"/>
        <w:jc w:val="both"/>
      </w:pPr>
      <w:r>
        <w:rPr>
          <w:sz w:val="21"/>
        </w:rPr>
        <w:t xml:space="preserve">[13] fxsjy. jieba </w:t>
      </w:r>
      <w:r>
        <w:rPr>
          <w:rFonts w:ascii="宋体" w:eastAsia="宋体" w:hAnsi="宋体" w:cs="宋体" w:hint="eastAsia"/>
          <w:sz w:val="21"/>
          <w:lang w:eastAsia="zh-CN"/>
        </w:rPr>
        <w:t>中文分词组件</w:t>
      </w:r>
      <w:r>
        <w:rPr>
          <w:sz w:val="21"/>
        </w:rPr>
        <w:t>[CP/OL]. https://github.com/fxsjy/jieba</w:t>
      </w:r>
    </w:p>
    <w:p>
      <w:pPr>
        <w:ind w:firstLine="0"/>
        <w:jc w:val="both"/>
      </w:pPr>
      <w:r>
        <w:rPr>
          <w:sz w:val="21"/>
        </w:rPr>
        <w:t>[14] hankcs. HanLP</w:t>
      </w:r>
      <w:r>
        <w:rPr>
          <w:rFonts w:ascii="宋体" w:eastAsia="宋体" w:hAnsi="宋体" w:cs="宋体" w:hint="eastAsia"/>
          <w:sz w:val="21"/>
          <w:lang w:eastAsia="zh-CN"/>
        </w:rPr>
        <w:t>：汉语言处理包</w:t>
      </w:r>
      <w:r>
        <w:rPr>
          <w:sz w:val="21"/>
        </w:rPr>
        <w:t>[CP/OL]. https://github.com/hankcs/HanLP</w:t>
      </w:r>
    </w:p>
    <w:p>
      <w:pPr>
        <w:ind w:firstLine="0"/>
        <w:jc w:val="both"/>
      </w:pPr>
      <w:r>
        <w:rPr>
          <w:sz w:val="21"/>
        </w:rPr>
        <w:t>[15] statsmodels developers. statsmodels: Statistical Models in Python[CP/OL]. https://www.statsmodels.org/</w:t>
      </w:r>
    </w:p>
    <w:p>
      <w:pPr>
        <w:ind w:firstLine="0"/>
        <w:jc w:val="both"/>
      </w:pPr>
      <w:r>
        <w:rPr>
          <w:sz w:val="21"/>
        </w:rPr>
        <w:t xml:space="preserve">[16] </w:t>
      </w:r>
      <w:r>
        <w:rPr>
          <w:rFonts w:ascii="宋体" w:eastAsia="宋体" w:hAnsi="宋体" w:cs="宋体" w:hint="eastAsia"/>
          <w:sz w:val="21"/>
          <w:lang w:eastAsia="zh-CN"/>
        </w:rPr>
        <w:t>国家统计局</w:t>
      </w:r>
      <w:r>
        <w:rPr>
          <w:sz w:val="21"/>
        </w:rPr>
        <w:t xml:space="preserve">. </w:t>
      </w:r>
      <w:r>
        <w:rPr>
          <w:rFonts w:ascii="宋体" w:eastAsia="宋体" w:hAnsi="宋体" w:cs="宋体" w:hint="eastAsia"/>
          <w:sz w:val="21"/>
          <w:lang w:eastAsia="zh-CN"/>
        </w:rPr>
        <w:t>国家数据平台</w:t>
      </w:r>
      <w:r>
        <w:rPr>
          <w:sz w:val="21"/>
        </w:rPr>
        <w:t>[DB/OL]. https://data.stats.gov.cn/</w:t>
      </w:r>
      <w:r/>
      <w:r/>
      <w:r/>
    </w:p>
    <w:sectPr w:rsidR="00FC693F" w:rsidRPr="0006063C" w:rsidSect="00034616">
      <w:footerReference w:type="default" r:id="rId9"/>
      <w:pgSz w:w="11906" w:h="16838"/>
      <w:pgMar w:top="1701"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94" w:val="center"/>
        <w:tab w:pos="8788"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jc w:val="both"/>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