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020E39B6"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School of Humanities and Languages</w:t>
      </w:r>
      <w:r w:rsidR="001A3B3D" w:rsidRPr="00F847A6">
        <w:rPr>
          <w:sz w:val="18"/>
          <w:szCs w:val="18"/>
        </w:rPr>
        <w:br/>
      </w:r>
      <w:r w:rsidR="00A67C5C" w:rsidRPr="00A67C5C">
        <w:rPr>
          <w:i/>
          <w:sz w:val="18"/>
          <w:szCs w:val="18"/>
        </w:rPr>
        <w:t>Saint Francis University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Fall Detection, gyroscope, 1D-CNN, WEDA-FALL</w:t>
      </w:r>
    </w:p>
    <w:p w14:paraId="4D3DCF07" w14:textId="211477E3" w:rsidR="009303D9" w:rsidRPr="00D632BE" w:rsidRDefault="009303D9" w:rsidP="006B6B66">
      <w:pPr>
        <w:pStyle w:val="Heading1"/>
      </w:pPr>
      <w:r w:rsidRPr="00D632BE">
        <w:t>Introduction</w:t>
      </w:r>
    </w:p>
    <w:p w14:paraId="573C0F6A" w14:textId="461D3B7F" w:rsidR="009303D9" w:rsidRDefault="00827445" w:rsidP="00827445">
      <w:pPr>
        <w:pStyle w:val="BodyText"/>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Pr="00827445">
        <w:t>Reduced risk of serious injury</w:t>
      </w:r>
      <w:r>
        <w:t xml:space="preserve"> as f</w:t>
      </w:r>
      <w:r w:rsidRPr="00827445">
        <w:t>all detection systems can alert caregivers or emergency services immediately</w:t>
      </w:r>
      <w:r w:rsidR="009303D9" w:rsidRPr="005B520E">
        <w:t xml:space="preserve">, (2) </w:t>
      </w:r>
      <w:r>
        <w:t>Maintaining independence because f</w:t>
      </w:r>
      <w:r w:rsidRPr="00827445">
        <w:t>all detection empowers individuals to remain active and engaged in their daily lives without fear of falling.</w:t>
      </w:r>
      <w:r>
        <w:t xml:space="preserve"> </w:t>
      </w:r>
      <w:r w:rsidRPr="00827445">
        <w:t xml:space="preserve">(3) </w:t>
      </w:r>
      <w:r>
        <w:t>Peace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Pr="00827445">
        <w:t>Early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BodyText"/>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Heading2"/>
        <w:tabs>
          <w:tab w:val="clear" w:pos="18pt"/>
          <w:tab w:val="num" w:pos="14.40pt"/>
        </w:tabs>
      </w:pPr>
      <w:r w:rsidRPr="00827445">
        <w:t>Wearable Sensor-Based Algorithms</w:t>
      </w:r>
    </w:p>
    <w:p w14:paraId="116D796A" w14:textId="6923D714" w:rsidR="00827445" w:rsidRPr="00827445" w:rsidRDefault="00827445" w:rsidP="00BF18E9">
      <w:pPr>
        <w:pStyle w:val="BodyText"/>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r w:rsidR="000132E2">
        <w:rPr>
          <w:lang w:val="en-AU"/>
        </w:rPr>
        <w:t xml:space="preserve">There are 3 popular </w:t>
      </w:r>
      <w:r w:rsidR="000132E2">
        <w:rPr>
          <w:lang w:val="en-AU"/>
        </w:rPr>
        <w:t>methods</w:t>
      </w:r>
      <w:r w:rsidR="00BF18E9">
        <w:rPr>
          <w:lang w:val="en-AU"/>
        </w:rPr>
        <w:t>: (1) T</w:t>
      </w:r>
      <w:proofErr w:type="spellStart"/>
      <w:r w:rsidRPr="00827445">
        <w:t>hreshold</w:t>
      </w:r>
      <w:proofErr w:type="spellEnd"/>
      <w:r w:rsidRPr="00827445">
        <w:t>-based methods</w:t>
      </w:r>
      <w:r w:rsidR="000132E2">
        <w:t>, p</w:t>
      </w:r>
      <w:r w:rsidR="003C1663">
        <w:t>aper</w:t>
      </w:r>
      <w:r w:rsidR="003C1663" w:rsidRPr="005B520E">
        <w:t xml:space="preserve"> [</w:t>
      </w:r>
      <w:r w:rsidR="003C1663">
        <w:t>1</w:t>
      </w:r>
      <w:r w:rsidR="003C1663" w:rsidRPr="005B520E">
        <w:t>]</w:t>
      </w:r>
      <w:r w:rsidR="003C1663">
        <w:t xml:space="preserve"> and [2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(2) </w:t>
      </w:r>
      <w:r w:rsidRPr="00827445">
        <w:t>Machine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(3)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Heading2"/>
        <w:tabs>
          <w:tab w:val="clear" w:pos="18pt"/>
          <w:tab w:val="num" w:pos="14.40pt"/>
        </w:tabs>
      </w:pPr>
      <w:r w:rsidRPr="00827445">
        <w:t>Camera-Based Algorithms</w:t>
      </w:r>
    </w:p>
    <w:p w14:paraId="4C3AAB2A" w14:textId="78DD7341" w:rsidR="00827445" w:rsidRPr="00827445" w:rsidRDefault="00827445" w:rsidP="004F7DA9">
      <w:pPr>
        <w:pStyle w:val="BodyText"/>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Heading2"/>
        <w:tabs>
          <w:tab w:val="clear" w:pos="18pt"/>
          <w:tab w:val="num" w:pos="14.40pt"/>
        </w:tabs>
      </w:pPr>
      <w:r w:rsidRPr="00827445">
        <w:t>Ambient Sensor-Based Algorithms</w:t>
      </w:r>
    </w:p>
    <w:p w14:paraId="08481F75" w14:textId="77777777" w:rsidR="00827445" w:rsidRPr="00827445" w:rsidRDefault="00827445" w:rsidP="00827445">
      <w:pPr>
        <w:pStyle w:val="BodyText"/>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A3838C1"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914DAE" w:rsidRPr="00914DAE">
        <w:t xml:space="preserve"> support vector machine</w:t>
      </w:r>
      <w:r w:rsidR="00914DAE">
        <w:t xml:space="preserve"> (SVM) </w:t>
      </w:r>
      <w:r w:rsidR="00FC0CEB">
        <w:t>, a binary result of fall or not will be obtained by the algorithm.</w:t>
      </w:r>
    </w:p>
    <w:p w14:paraId="4A042E8F" w14:textId="19E61916"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w:t>
      </w:r>
      <w:r w:rsidR="007F1266" w:rsidRPr="007F1266">
        <w:t xml:space="preserve"> </w:t>
      </w:r>
      <w:r w:rsidR="007F1266" w:rsidRPr="007F1266">
        <w:t xml:space="preserve">signal data containing the motion information of objects was using a impulse-radio </w:t>
      </w:r>
      <w:r w:rsidR="007F1266" w:rsidRPr="007F1266">
        <w:t>ultra-wideband</w:t>
      </w:r>
      <w:r w:rsidR="007F1266" w:rsidRPr="007F1266">
        <w:t xml:space="preserve"> (IR-UWB) radar</w:t>
      </w:r>
      <w:r w:rsidR="007F1266">
        <w:t>, then feed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BodyText"/>
        <w:rPr>
          <w:lang w:val="en-AU"/>
        </w:rPr>
      </w:pPr>
      <w:r w:rsidRPr="00827445">
        <w:rPr>
          <w:lang w:val="en-AU"/>
        </w:rPr>
        <w:t xml:space="preserve">It's important to note that the choice of algorithm depends on factors such as desired accuracy, computational resources, </w:t>
      </w:r>
      <w:r w:rsidRPr="00827445">
        <w:rPr>
          <w:lang w:val="en-AU"/>
        </w:rPr>
        <w:lastRenderedPageBreak/>
        <w:t>user preferences, and the specific environment where the system will be deployed. Additionally, many systems combine multiple algorithm types to improve overall performance and robustness.</w:t>
      </w:r>
    </w:p>
    <w:p w14:paraId="1311F215" w14:textId="77777777" w:rsidR="00827445" w:rsidRPr="00827445" w:rsidRDefault="00827445" w:rsidP="00827445">
      <w:pPr>
        <w:pStyle w:val="BodyText"/>
        <w:rPr>
          <w:lang w:val="en-AU"/>
        </w:rPr>
      </w:pPr>
      <w:r w:rsidRPr="00827445">
        <w:rPr>
          <w:lang w:val="en-AU"/>
        </w:rPr>
        <w:t>Developing robust fall detection algorithms requires access to high-quality datasets that accurately represent real-world scenarios. Several public datasets have been made available to facilitate research in this area.</w:t>
      </w:r>
    </w:p>
    <w:p w14:paraId="3280D2EA" w14:textId="77777777" w:rsidR="00827445" w:rsidRPr="00827445" w:rsidRDefault="00827445" w:rsidP="00827445">
      <w:pPr>
        <w:pStyle w:val="BodyText"/>
        <w:rPr>
          <w:lang w:val="en-AU"/>
        </w:rPr>
      </w:pPr>
    </w:p>
    <w:p w14:paraId="13283932" w14:textId="77777777" w:rsidR="00827445" w:rsidRPr="00827445" w:rsidRDefault="00827445" w:rsidP="00827445">
      <w:pPr>
        <w:pStyle w:val="BodyText"/>
        <w:rPr>
          <w:lang w:val="en-AU"/>
        </w:rPr>
      </w:pPr>
      <w:r w:rsidRPr="00827445">
        <w:rPr>
          <w:lang w:val="en-AU"/>
        </w:rPr>
        <w:t>Key Considerations for Fall Detection Datasets</w:t>
      </w:r>
    </w:p>
    <w:p w14:paraId="0926F302" w14:textId="77777777" w:rsidR="00827445" w:rsidRPr="00827445" w:rsidRDefault="00827445" w:rsidP="00827445">
      <w:pPr>
        <w:pStyle w:val="BodyText"/>
        <w:rPr>
          <w:lang w:val="en-AU"/>
        </w:rPr>
      </w:pPr>
      <w:r w:rsidRPr="00827445">
        <w:rPr>
          <w:lang w:val="en-AU"/>
        </w:rPr>
        <w:t>Sensor data: Accelerometer, gyroscope, and magnetometer data are commonly used.</w:t>
      </w:r>
    </w:p>
    <w:p w14:paraId="36453DEA" w14:textId="77777777" w:rsidR="00827445" w:rsidRPr="00827445" w:rsidRDefault="00827445" w:rsidP="00827445">
      <w:pPr>
        <w:pStyle w:val="BodyText"/>
        <w:rPr>
          <w:lang w:val="en-AU"/>
        </w:rPr>
      </w:pPr>
      <w:r w:rsidRPr="00827445">
        <w:rPr>
          <w:lang w:val="en-AU"/>
        </w:rPr>
        <w:t>Fall types: Datasets should include various fall scenarios, such as forward falls, backward falls, and side falls.</w:t>
      </w:r>
    </w:p>
    <w:p w14:paraId="1964F79A" w14:textId="77777777" w:rsidR="00827445" w:rsidRPr="00827445" w:rsidRDefault="00827445" w:rsidP="00827445">
      <w:pPr>
        <w:pStyle w:val="BodyText"/>
        <w:rPr>
          <w:lang w:val="en-AU"/>
        </w:rPr>
      </w:pPr>
      <w:r w:rsidRPr="00827445">
        <w:rPr>
          <w:lang w:val="en-AU"/>
        </w:rPr>
        <w:t>Activities of Daily Living (ADLs): A comprehensive dataset should include a wide range of ADLs to ensure accurate fall discrimination.</w:t>
      </w:r>
    </w:p>
    <w:p w14:paraId="517B8E42" w14:textId="77777777" w:rsidR="00827445" w:rsidRPr="00827445" w:rsidRDefault="00827445" w:rsidP="00827445">
      <w:pPr>
        <w:pStyle w:val="BodyText"/>
        <w:rPr>
          <w:lang w:val="en-AU"/>
        </w:rPr>
      </w:pPr>
      <w:r w:rsidRPr="00827445">
        <w:rPr>
          <w:lang w:val="en-AU"/>
        </w:rPr>
        <w:t>Subject diversity: The dataset should represent a diverse population in terms of age, gender, and physical condition.</w:t>
      </w:r>
    </w:p>
    <w:p w14:paraId="0C0D667A" w14:textId="77777777" w:rsidR="00827445" w:rsidRPr="00827445" w:rsidRDefault="00827445" w:rsidP="00827445">
      <w:pPr>
        <w:pStyle w:val="BodyText"/>
        <w:rPr>
          <w:lang w:val="en-AU"/>
        </w:rPr>
      </w:pPr>
      <w:r w:rsidRPr="00827445">
        <w:rPr>
          <w:lang w:val="en-AU"/>
        </w:rPr>
        <w:t>Popular Public Datasets</w:t>
      </w:r>
    </w:p>
    <w:p w14:paraId="0398A7C0" w14:textId="65BB118F" w:rsidR="00827445" w:rsidRPr="00827445" w:rsidRDefault="00827445" w:rsidP="00827445">
      <w:pPr>
        <w:pStyle w:val="BodyText"/>
        <w:rPr>
          <w:lang w:val="en-AU"/>
        </w:rPr>
      </w:pPr>
      <w:r w:rsidRPr="00827445">
        <w:rPr>
          <w:lang w:val="en-AU"/>
        </w:rPr>
        <w:t>While the field is continuously evolving, here are some notable datasets:</w:t>
      </w:r>
    </w:p>
    <w:p w14:paraId="1268292D" w14:textId="77777777" w:rsidR="00827445" w:rsidRPr="00827445" w:rsidRDefault="00827445" w:rsidP="00827445">
      <w:pPr>
        <w:pStyle w:val="BodyText"/>
        <w:rPr>
          <w:lang w:val="en-AU"/>
        </w:rPr>
      </w:pPr>
      <w:proofErr w:type="spellStart"/>
      <w:r w:rsidRPr="00827445">
        <w:rPr>
          <w:lang w:val="en-AU"/>
        </w:rPr>
        <w:t>SisFall</w:t>
      </w:r>
      <w:proofErr w:type="spellEnd"/>
      <w:r w:rsidRPr="00827445">
        <w:rPr>
          <w:lang w:val="en-AU"/>
        </w:rPr>
        <w:t xml:space="preserve">, </w:t>
      </w:r>
      <w:proofErr w:type="spellStart"/>
      <w:r w:rsidRPr="00827445">
        <w:rPr>
          <w:lang w:val="en-AU"/>
        </w:rPr>
        <w:t>tFall</w:t>
      </w:r>
      <w:proofErr w:type="spellEnd"/>
      <w:r w:rsidRPr="00827445">
        <w:rPr>
          <w:lang w:val="en-AU"/>
        </w:rPr>
        <w:t xml:space="preserve">, </w:t>
      </w:r>
      <w:proofErr w:type="spellStart"/>
      <w:r w:rsidRPr="00827445">
        <w:rPr>
          <w:lang w:val="en-AU"/>
        </w:rPr>
        <w:t>MobiFall</w:t>
      </w:r>
      <w:proofErr w:type="spellEnd"/>
      <w:r w:rsidRPr="00827445">
        <w:rPr>
          <w:lang w:val="en-AU"/>
        </w:rPr>
        <w:t xml:space="preserve">, and </w:t>
      </w:r>
      <w:proofErr w:type="spellStart"/>
      <w:r w:rsidRPr="00827445">
        <w:rPr>
          <w:lang w:val="en-AU"/>
        </w:rPr>
        <w:t>FallAllD</w:t>
      </w:r>
      <w:proofErr w:type="spellEnd"/>
      <w:r w:rsidRPr="00827445">
        <w:rPr>
          <w:lang w:val="en-AU"/>
        </w:rPr>
        <w:t>: These datasets primarily focus on post-fall detection and include data from wearable sensors.</w:t>
      </w:r>
    </w:p>
    <w:p w14:paraId="41004E35" w14:textId="77777777" w:rsidR="00827445" w:rsidRPr="00827445" w:rsidRDefault="00827445" w:rsidP="00827445">
      <w:pPr>
        <w:pStyle w:val="BodyText"/>
        <w:rPr>
          <w:lang w:val="en-AU"/>
        </w:rPr>
      </w:pPr>
      <w:proofErr w:type="spellStart"/>
      <w:r w:rsidRPr="00827445">
        <w:rPr>
          <w:lang w:val="en-AU"/>
        </w:rPr>
        <w:t>KFall</w:t>
      </w:r>
      <w:proofErr w:type="spellEnd"/>
      <w:r w:rsidRPr="00827445">
        <w:rPr>
          <w:lang w:val="en-AU"/>
        </w:rPr>
        <w:t>: A larger dataset that includes pre-impact fall detection, making it more suitable for real-world applications. It also incorporates synchronized video data for analysis.</w:t>
      </w:r>
    </w:p>
    <w:p w14:paraId="43C51D32" w14:textId="77777777" w:rsidR="00827445" w:rsidRPr="00827445" w:rsidRDefault="00827445" w:rsidP="00827445">
      <w:pPr>
        <w:pStyle w:val="BodyText"/>
        <w:rPr>
          <w:lang w:val="en-AU"/>
        </w:rPr>
      </w:pPr>
      <w:r w:rsidRPr="00827445">
        <w:rPr>
          <w:lang w:val="en-AU"/>
        </w:rPr>
        <w:t>UP-Fall Detection: This dataset offers a multimodal approach, including data from wearable sensors, ambient sensors, and vision equipment.</w:t>
      </w:r>
    </w:p>
    <w:p w14:paraId="7BFDEE1D" w14:textId="77777777" w:rsidR="00827445" w:rsidRPr="00827445" w:rsidRDefault="00827445" w:rsidP="00827445">
      <w:pPr>
        <w:pStyle w:val="BodyText"/>
        <w:rPr>
          <w:lang w:val="en-AU"/>
        </w:rPr>
      </w:pPr>
      <w:r w:rsidRPr="00827445">
        <w:rPr>
          <w:lang w:val="en-AU"/>
        </w:rPr>
        <w:t>Other datasets: Depending on specific research needs, additional datasets may be available from academic institutions or research projects.</w:t>
      </w:r>
    </w:p>
    <w:p w14:paraId="3DADF64A" w14:textId="57A4BE67" w:rsidR="00827445" w:rsidRPr="00827445" w:rsidRDefault="00827445" w:rsidP="00827445">
      <w:pPr>
        <w:pStyle w:val="BodyText"/>
        <w:rPr>
          <w:lang w:val="en-AU"/>
        </w:rPr>
      </w:pPr>
      <w:r w:rsidRPr="00827445">
        <w:rPr>
          <w:lang w:val="en-AU"/>
        </w:rPr>
        <w:t>It's important to note that the suitability of a dataset depends on the specific research objectives and the type of fall detection system being developed.</w:t>
      </w:r>
    </w:p>
    <w:p w14:paraId="3628477A" w14:textId="6214AE80" w:rsidR="009303D9" w:rsidRPr="006B6B66" w:rsidRDefault="00AB4C6D" w:rsidP="00AC157F">
      <w:pPr>
        <w:pStyle w:val="Heading1"/>
      </w:pPr>
      <w:r>
        <w:t>M</w:t>
      </w:r>
      <w:r w:rsidR="009E1295" w:rsidRPr="009E1295">
        <w:t>ethods</w:t>
      </w:r>
    </w:p>
    <w:p w14:paraId="424AD15C" w14:textId="454AA436" w:rsidR="009303D9" w:rsidRDefault="001D312C" w:rsidP="001D312C">
      <w:pPr>
        <w:pStyle w:val="Heading2"/>
        <w:tabs>
          <w:tab w:val="clear" w:pos="18pt"/>
          <w:tab w:val="num" w:pos="14.40pt"/>
        </w:tabs>
      </w:pPr>
      <w:r w:rsidRPr="001D312C">
        <w:t>Fall pattern</w:t>
      </w:r>
    </w:p>
    <w:p w14:paraId="4B4E9F8C"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24B91A2" w14:textId="23018AAC" w:rsidR="009303D9" w:rsidRPr="005B520E" w:rsidRDefault="001D312C" w:rsidP="00ED0149">
      <w:pPr>
        <w:pStyle w:val="Heading2"/>
      </w:pPr>
      <w:r>
        <w:t>CNN</w:t>
      </w:r>
    </w:p>
    <w:p w14:paraId="481EAA2D" w14:textId="35FF556D" w:rsidR="009303D9" w:rsidRDefault="003C3BAE" w:rsidP="00E7596C">
      <w:pPr>
        <w:pStyle w:val="BodyText"/>
      </w:pPr>
      <w:r w:rsidRPr="003C3BAE">
        <w:t xml:space="preserve">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For time-series data like sensor readings, a </w:t>
      </w:r>
      <w:r w:rsidRPr="003C3BAE">
        <w:t>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p>
    <w:p w14:paraId="1F7D0EF1" w14:textId="707E0665" w:rsidR="003D5DE9" w:rsidRDefault="003D5DE9" w:rsidP="003D5DE9">
      <w:pPr>
        <w:pStyle w:val="BodyText"/>
        <w:jc w:val="center"/>
        <w:rPr>
          <w:lang w:val="en-US"/>
        </w:rPr>
      </w:pPr>
      <w:r>
        <w:rPr>
          <w:noProof/>
          <w:lang w:val="en-US"/>
        </w:rPr>
        <w:drawing>
          <wp:inline distT="0" distB="0" distL="0" distR="0" wp14:anchorId="3B1817B1" wp14:editId="71F30798">
            <wp:extent cx="2909570" cy="1096419"/>
            <wp:effectExtent l="0" t="0" r="5080" b="889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4519" cy="1102052"/>
                    </a:xfrm>
                    <a:prstGeom prst="rect">
                      <a:avLst/>
                    </a:prstGeom>
                    <a:noFill/>
                  </pic:spPr>
                </pic:pic>
              </a:graphicData>
            </a:graphic>
          </wp:inline>
        </w:drawing>
      </w:r>
    </w:p>
    <w:p w14:paraId="75591B07" w14:textId="6CB58876" w:rsidR="003D5DE9" w:rsidRDefault="003D5DE9" w:rsidP="003D5DE9">
      <w:pPr>
        <w:pStyle w:val="figurecaption"/>
      </w:pPr>
      <w:r>
        <w:t>Principle of CNN</w:t>
      </w:r>
      <w:r w:rsidR="00AA3804">
        <w:fldChar w:fldCharType="begin"/>
      </w:r>
      <w:r w:rsidR="00AA3804">
        <w:instrText xml:space="preserve"> ADDIN ZOTERO_ITEM CSL_CITATION {"citationID":"LhbAiGsM","properties":{"formattedCitation":"[1]","plainCitation":"[1]","noteIndex":0},"citationItems":[{"id":5,"uris":["http://zotero.org/users/6113138/items/Y5N74PU2"],"itemData":{"id":5,"type":"article-journal","abstract":"It is common for older people to live alone, which can have tragic consequences if they have an accident and can’t call for help in time. This is particularly acute in an aging society where falling is one of the most common accidents. According to the CDC, 1/4 of people over the age of 65 in the United States fall each year. The development of IoT and MEMS has made it possible to detect falls in time and automatically call for help. The presented fall detection system focuses on the walk-fall-still pattern, collects accelerations through the wrist-worn M5StickC-Plus watch, analyses the data locally in the watch, detects falls using an algorithm based on observations in the statistics of acceleration in one second, and then transmits the alarm signal to a remote healthcare system in real-time via WIFI. The lightweight algorithm has been proven to be 90% accurate in detecting falls, and the system can notify service staff of accidents within 1 second. The features of comfort, lightness, and timeliness make the device more practical than similar products. The low-cost, non-intrusive device can be used in care homes and is also suitable for elderly people living alone.","container-title":"IEEE Access","DOI":"10.1109/ACCESS.2023.3249191","ISSN":"2169-3536","license":"All rights reserved","note":"event-title: IEEE Access","page":"19567-19578","source":"IEEE Xplore","title":"Fall Detection With Wrist-Worn Watch by Observations in Statistics of Acceleration","volume":"11","author":[{"family":"Li","given":"Songsheng"}],"issued":{"date-parts":[["2023"]]}}}],"schema":"https://github.com/citation-style-language/schema/raw/master/csl-citation.json"} </w:instrText>
      </w:r>
      <w:r w:rsidR="00AA3804">
        <w:fldChar w:fldCharType="separate"/>
      </w:r>
      <w:r w:rsidR="00AA3804" w:rsidRPr="00AA3804">
        <w:t>[1]</w:t>
      </w:r>
      <w:r w:rsidR="00AA3804">
        <w:fldChar w:fldCharType="end"/>
      </w:r>
      <w:r>
        <w:t>.</w:t>
      </w:r>
    </w:p>
    <w:p w14:paraId="2DC839AB" w14:textId="77777777" w:rsidR="003D5DE9" w:rsidRPr="003D5DE9" w:rsidRDefault="003D5DE9" w:rsidP="003D5DE9">
      <w:pPr>
        <w:pStyle w:val="BodyText"/>
        <w:jc w:val="center"/>
        <w:rPr>
          <w:lang w:val="en-US"/>
        </w:rPr>
      </w:pPr>
    </w:p>
    <w:p w14:paraId="0ED9438B" w14:textId="3C1F891B" w:rsidR="007839DC" w:rsidRPr="007839DC" w:rsidRDefault="007839DC" w:rsidP="007839DC">
      <w:pPr>
        <w:pStyle w:val="Heading2"/>
        <w:tabs>
          <w:tab w:val="clear" w:pos="18pt"/>
          <w:tab w:val="num" w:pos="14.40pt"/>
        </w:tabs>
      </w:pPr>
      <w:r w:rsidRPr="007839DC">
        <w:t>Dataset selection</w:t>
      </w:r>
    </w:p>
    <w:p w14:paraId="234437E3" w14:textId="2C3EB0D0" w:rsidR="007839DC" w:rsidRPr="003C3BAE" w:rsidRDefault="007839DC" w:rsidP="007839DC">
      <w:pPr>
        <w:pStyle w:val="Heading2"/>
        <w:tabs>
          <w:tab w:val="clear" w:pos="18pt"/>
          <w:tab w:val="num" w:pos="14.40pt"/>
        </w:tabs>
      </w:pPr>
      <w:r w:rsidRPr="007839DC">
        <w:t>Data Preparation</w:t>
      </w:r>
    </w:p>
    <w:p w14:paraId="5B734E46" w14:textId="30A658E2" w:rsidR="009303D9" w:rsidRDefault="00AB4C6D" w:rsidP="006B6B66">
      <w:pPr>
        <w:pStyle w:val="Heading1"/>
      </w:pPr>
      <w:r>
        <w:t>Results</w:t>
      </w:r>
    </w:p>
    <w:p w14:paraId="718EA9AB"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91007F3"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470DAE73" w14:textId="77777777" w:rsidR="009303D9" w:rsidRDefault="009303D9" w:rsidP="00ED0149">
      <w:pPr>
        <w:pStyle w:val="Heading2"/>
      </w:pPr>
      <w:r w:rsidRPr="00ED0149">
        <w:t>Abbreviations</w:t>
      </w:r>
      <w:r>
        <w:t xml:space="preserve"> and Acronyms</w:t>
      </w:r>
    </w:p>
    <w:p w14:paraId="72EA3BF4"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F0AF91A" w14:textId="77777777" w:rsidR="009303D9" w:rsidRDefault="009303D9" w:rsidP="00ED0149">
      <w:pPr>
        <w:pStyle w:val="Heading2"/>
      </w:pPr>
      <w:r>
        <w:t>Units</w:t>
      </w:r>
    </w:p>
    <w:p w14:paraId="03031EDC"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9C38B2E"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DBF3276"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015D3A10"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08935C7" w14:textId="77777777" w:rsidR="009303D9" w:rsidRPr="005B520E" w:rsidRDefault="009303D9" w:rsidP="00ED0149">
      <w:pPr>
        <w:pStyle w:val="Heading2"/>
      </w:pPr>
      <w:r w:rsidRPr="005B520E">
        <w:t>Equations</w:t>
      </w:r>
    </w:p>
    <w:p w14:paraId="5AE0F573" w14:textId="77777777" w:rsidR="009303D9" w:rsidRPr="005B520E" w:rsidRDefault="009303D9" w:rsidP="00E7596C">
      <w:pPr>
        <w:pStyle w:val="BodyText"/>
      </w:pPr>
      <w:r w:rsidRPr="005B520E">
        <w:t xml:space="preserve">The equations are an exception to the prescribed specifications of this template. You will need to determine </w:t>
      </w:r>
      <w:r w:rsidRPr="005B520E">
        <w:lastRenderedPageBreak/>
        <w:t>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3352036"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28216C85"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54CE6F0"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12444DA5" w14:textId="77777777" w:rsidR="009303D9" w:rsidRDefault="009303D9" w:rsidP="00ED0149">
      <w:pPr>
        <w:pStyle w:val="Heading2"/>
      </w:pPr>
      <w:r>
        <w:t>Some Common Mistakes</w:t>
      </w:r>
    </w:p>
    <w:p w14:paraId="61637F37" w14:textId="77777777" w:rsidR="009303D9" w:rsidRPr="005B520E" w:rsidRDefault="009303D9" w:rsidP="00E7596C">
      <w:pPr>
        <w:pStyle w:val="bulletlist"/>
      </w:pPr>
      <w:r w:rsidRPr="005B520E">
        <w:t>The word “data” is plural, not singular.</w:t>
      </w:r>
    </w:p>
    <w:p w14:paraId="41145DBD"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55CDFB2"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16FE86CF"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3D867031" w14:textId="77777777" w:rsidR="009303D9" w:rsidRPr="005B520E" w:rsidRDefault="009303D9" w:rsidP="00E7596C">
      <w:pPr>
        <w:pStyle w:val="bulletlist"/>
      </w:pPr>
      <w:r w:rsidRPr="005B520E">
        <w:t>Do not use the word “essentially” to mean “approximately” or “effectively”.</w:t>
      </w:r>
    </w:p>
    <w:p w14:paraId="698ADC18"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0F2A6BD3"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9772EBA" w14:textId="77777777" w:rsidR="009303D9" w:rsidRPr="005B520E" w:rsidRDefault="009303D9" w:rsidP="00E7596C">
      <w:pPr>
        <w:pStyle w:val="bulletlist"/>
      </w:pPr>
      <w:r w:rsidRPr="005B520E">
        <w:t>Do not confuse “imply” and “infer”.</w:t>
      </w:r>
    </w:p>
    <w:p w14:paraId="1C4894CD" w14:textId="77777777" w:rsidR="009303D9" w:rsidRPr="005B520E" w:rsidRDefault="009303D9" w:rsidP="00E7596C">
      <w:pPr>
        <w:pStyle w:val="bulletlist"/>
      </w:pPr>
      <w:r w:rsidRPr="005B520E">
        <w:t>The prefix “non” is not a word; it should be joined to the word it modifies, usually without a hyphen.</w:t>
      </w:r>
    </w:p>
    <w:p w14:paraId="27814049" w14:textId="77777777" w:rsidR="009303D9" w:rsidRPr="005B520E" w:rsidRDefault="009303D9" w:rsidP="00E7596C">
      <w:pPr>
        <w:pStyle w:val="bulletlist"/>
      </w:pPr>
      <w:r w:rsidRPr="005B520E">
        <w:t>There is no period after the “et” in the Latin abbreviation “et al.”.</w:t>
      </w:r>
    </w:p>
    <w:p w14:paraId="248BF2C2" w14:textId="77777777" w:rsidR="009303D9" w:rsidRPr="005B520E" w:rsidRDefault="009303D9" w:rsidP="00E7596C">
      <w:pPr>
        <w:pStyle w:val="bulletlist"/>
      </w:pPr>
      <w:r w:rsidRPr="005B520E">
        <w:t>The abbreviation “i.e.” means “that is”, and the abbreviation “e.g.” means “for example”.</w:t>
      </w:r>
    </w:p>
    <w:p w14:paraId="27ECC5D5" w14:textId="77777777" w:rsidR="009303D9" w:rsidRPr="005B520E" w:rsidRDefault="009303D9" w:rsidP="00E7596C">
      <w:pPr>
        <w:pStyle w:val="BodyText"/>
      </w:pPr>
      <w:r w:rsidRPr="005B520E">
        <w:t>An excellent style manual for science writers is [7].</w:t>
      </w:r>
    </w:p>
    <w:p w14:paraId="416E4F8D" w14:textId="7621A6C6" w:rsidR="009303D9" w:rsidRDefault="00AB4C6D" w:rsidP="006B6B66">
      <w:pPr>
        <w:pStyle w:val="Heading1"/>
      </w:pPr>
      <w:r>
        <w:t>Conclusions</w:t>
      </w:r>
    </w:p>
    <w:p w14:paraId="3FEE9F87"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06AC693" w14:textId="77777777" w:rsidR="009303D9" w:rsidRDefault="009303D9" w:rsidP="00ED0149">
      <w:pPr>
        <w:pStyle w:val="Heading2"/>
      </w:pPr>
      <w:r w:rsidRPr="005B520E">
        <w:t>Authors</w:t>
      </w:r>
      <w:r>
        <w:t xml:space="preserve"> and Affiliations</w:t>
      </w:r>
    </w:p>
    <w:p w14:paraId="5B50C8A5"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52E5A93"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1E55A42D"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68825F7"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02569D8"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5A59A2"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032D97B6" w14:textId="77777777" w:rsidR="006F6D3D" w:rsidRDefault="006F6D3D" w:rsidP="006F6D3D">
      <w:pPr>
        <w:jc w:val="start"/>
        <w:rPr>
          <w:i/>
          <w:iCs/>
          <w:noProof/>
        </w:rPr>
      </w:pPr>
    </w:p>
    <w:p w14:paraId="0721DE56" w14:textId="77777777" w:rsidR="009303D9" w:rsidRDefault="009303D9" w:rsidP="00ED0149">
      <w:pPr>
        <w:pStyle w:val="Heading2"/>
      </w:pPr>
      <w:r w:rsidRPr="005B520E">
        <w:t>Identify</w:t>
      </w:r>
      <w:r>
        <w:t xml:space="preserve"> the Headings</w:t>
      </w:r>
    </w:p>
    <w:p w14:paraId="395B4C15"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7E828CFE"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167F936"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CD08015" w14:textId="77777777" w:rsidR="009303D9" w:rsidRDefault="009303D9" w:rsidP="00ED0149">
      <w:pPr>
        <w:pStyle w:val="Heading2"/>
      </w:pPr>
      <w:r>
        <w:t>Figures and Tables</w:t>
      </w:r>
    </w:p>
    <w:p w14:paraId="25CE7C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 xml:space="preserve">Place figures and tables at the top and bottom of columns. Avoid placing them in the middle of columns. Large figures and tables may span across both columns. Figure captions should be below the </w:t>
      </w:r>
      <w:r w:rsidR="009303D9" w:rsidRPr="00FA4C32">
        <w:rPr>
          <w:i w:val="0"/>
        </w:rPr>
        <w:lastRenderedPageBreak/>
        <w:t>figures; table heads should appear above the tables. Insert figures and tables after they are cited in the text. Use the abbreviation “Fig. 1”, even at the beginning of a sentence.</w:t>
      </w:r>
    </w:p>
    <w:p w14:paraId="7D78B636"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D4FD490" w14:textId="77777777">
        <w:trPr>
          <w:cantSplit/>
          <w:trHeight w:val="240"/>
          <w:tblHeader/>
          <w:jc w:val="center"/>
        </w:trPr>
        <w:tc>
          <w:tcPr>
            <w:tcW w:w="36pt" w:type="dxa"/>
            <w:vMerge w:val="restart"/>
            <w:vAlign w:val="center"/>
          </w:tcPr>
          <w:p w14:paraId="1AF33320" w14:textId="77777777" w:rsidR="009303D9" w:rsidRDefault="009303D9">
            <w:pPr>
              <w:pStyle w:val="tablecolhead"/>
            </w:pPr>
            <w:r>
              <w:t>Table Head</w:t>
            </w:r>
          </w:p>
        </w:tc>
        <w:tc>
          <w:tcPr>
            <w:tcW w:w="207pt" w:type="dxa"/>
            <w:gridSpan w:val="3"/>
            <w:vAlign w:val="center"/>
          </w:tcPr>
          <w:p w14:paraId="7EFD0FB0" w14:textId="77777777" w:rsidR="009303D9" w:rsidRDefault="009303D9">
            <w:pPr>
              <w:pStyle w:val="tablecolhead"/>
            </w:pPr>
            <w:r>
              <w:t>Table Column Head</w:t>
            </w:r>
          </w:p>
        </w:tc>
      </w:tr>
      <w:tr w:rsidR="009303D9" w14:paraId="22A1834C" w14:textId="77777777">
        <w:trPr>
          <w:cantSplit/>
          <w:trHeight w:val="240"/>
          <w:tblHeader/>
          <w:jc w:val="center"/>
        </w:trPr>
        <w:tc>
          <w:tcPr>
            <w:tcW w:w="36pt" w:type="dxa"/>
            <w:vMerge/>
          </w:tcPr>
          <w:p w14:paraId="0A9A7B72" w14:textId="77777777" w:rsidR="009303D9" w:rsidRDefault="009303D9">
            <w:pPr>
              <w:rPr>
                <w:sz w:val="16"/>
                <w:szCs w:val="16"/>
              </w:rPr>
            </w:pPr>
          </w:p>
        </w:tc>
        <w:tc>
          <w:tcPr>
            <w:tcW w:w="117pt" w:type="dxa"/>
            <w:vAlign w:val="center"/>
          </w:tcPr>
          <w:p w14:paraId="637E83CD" w14:textId="77777777" w:rsidR="009303D9" w:rsidRDefault="009303D9">
            <w:pPr>
              <w:pStyle w:val="tablecolsubhead"/>
            </w:pPr>
            <w:r>
              <w:t>Table column subhead</w:t>
            </w:r>
          </w:p>
        </w:tc>
        <w:tc>
          <w:tcPr>
            <w:tcW w:w="45pt" w:type="dxa"/>
            <w:vAlign w:val="center"/>
          </w:tcPr>
          <w:p w14:paraId="079342F1" w14:textId="77777777" w:rsidR="009303D9" w:rsidRDefault="009303D9">
            <w:pPr>
              <w:pStyle w:val="tablecolsubhead"/>
            </w:pPr>
            <w:r>
              <w:t>Subhead</w:t>
            </w:r>
          </w:p>
        </w:tc>
        <w:tc>
          <w:tcPr>
            <w:tcW w:w="45pt" w:type="dxa"/>
            <w:vAlign w:val="center"/>
          </w:tcPr>
          <w:p w14:paraId="377BC781" w14:textId="77777777" w:rsidR="009303D9" w:rsidRDefault="009303D9">
            <w:pPr>
              <w:pStyle w:val="tablecolsubhead"/>
            </w:pPr>
            <w:r>
              <w:t>Subhead</w:t>
            </w:r>
          </w:p>
        </w:tc>
      </w:tr>
      <w:tr w:rsidR="009303D9" w14:paraId="21B344AC" w14:textId="77777777">
        <w:trPr>
          <w:trHeight w:val="320"/>
          <w:jc w:val="center"/>
        </w:trPr>
        <w:tc>
          <w:tcPr>
            <w:tcW w:w="36pt" w:type="dxa"/>
            <w:vAlign w:val="center"/>
          </w:tcPr>
          <w:p w14:paraId="2936AF83" w14:textId="77777777" w:rsidR="009303D9" w:rsidRDefault="009303D9">
            <w:pPr>
              <w:pStyle w:val="tablecopy"/>
              <w:rPr>
                <w:sz w:val="8"/>
                <w:szCs w:val="8"/>
              </w:rPr>
            </w:pPr>
            <w:r>
              <w:t>copy</w:t>
            </w:r>
          </w:p>
        </w:tc>
        <w:tc>
          <w:tcPr>
            <w:tcW w:w="117pt" w:type="dxa"/>
            <w:vAlign w:val="center"/>
          </w:tcPr>
          <w:p w14:paraId="31F7F135" w14:textId="77777777" w:rsidR="009303D9" w:rsidRDefault="009303D9">
            <w:pPr>
              <w:pStyle w:val="tablecopy"/>
            </w:pPr>
            <w:r>
              <w:t>More table copy</w:t>
            </w:r>
            <w:r>
              <w:rPr>
                <w:vertAlign w:val="superscript"/>
              </w:rPr>
              <w:t>a</w:t>
            </w:r>
          </w:p>
        </w:tc>
        <w:tc>
          <w:tcPr>
            <w:tcW w:w="45pt" w:type="dxa"/>
            <w:vAlign w:val="center"/>
          </w:tcPr>
          <w:p w14:paraId="0FED5613" w14:textId="77777777" w:rsidR="009303D9" w:rsidRDefault="009303D9">
            <w:pPr>
              <w:rPr>
                <w:sz w:val="16"/>
                <w:szCs w:val="16"/>
              </w:rPr>
            </w:pPr>
          </w:p>
        </w:tc>
        <w:tc>
          <w:tcPr>
            <w:tcW w:w="45pt" w:type="dxa"/>
            <w:vAlign w:val="center"/>
          </w:tcPr>
          <w:p w14:paraId="1F0BC5E2" w14:textId="77777777" w:rsidR="009303D9" w:rsidRDefault="009303D9">
            <w:pPr>
              <w:rPr>
                <w:sz w:val="16"/>
                <w:szCs w:val="16"/>
              </w:rPr>
            </w:pPr>
          </w:p>
        </w:tc>
      </w:tr>
    </w:tbl>
    <w:p w14:paraId="755E3E97"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B942B5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E4F14C0"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2B2F2F0E" w14:textId="77777777" w:rsidR="009303D9" w:rsidRDefault="009303D9" w:rsidP="00A059B3">
      <w:pPr>
        <w:pStyle w:val="Heading5"/>
      </w:pPr>
      <w:r w:rsidRPr="005B520E">
        <w:t>References</w:t>
      </w:r>
    </w:p>
    <w:p w14:paraId="4C2CE76E"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71B73B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D6ED375"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3FB2FEDA"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10"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r>
        <w:t>.</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IEEE Journal of Biomedical and Health Informatics</w:t>
      </w:r>
      <w:r>
        <w:t xml:space="preserve">, vol. 24, no. 2, pp. 524–532, Feb. 2020, doi: </w:t>
      </w:r>
      <w:hyperlink r:id="rId11" w:history="1">
        <w:r>
          <w:rPr>
            <w:rStyle w:val="Hyperlink"/>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12" w:history="1">
        <w:r>
          <w:rPr>
            <w:rStyle w:val="Hyperlink"/>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13" w:history="1">
        <w:r>
          <w:rPr>
            <w:rStyle w:val="Hyperlink"/>
          </w:rPr>
          <w:t>10.3390/s20205948</w:t>
        </w:r>
      </w:hyperlink>
      <w:r>
        <w:t>.</w:t>
      </w:r>
    </w:p>
    <w:p w14:paraId="60B81CCD" w14:textId="709FBB8E" w:rsidR="00EC5814" w:rsidRP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74A401C8" w14:textId="77777777" w:rsidR="00836367" w:rsidRPr="00E52ECB" w:rsidRDefault="00836367" w:rsidP="00E52ECB">
      <w:pPr>
        <w:pStyle w:val="references"/>
        <w:numPr>
          <w:ilvl w:val="0"/>
          <w:numId w:val="0"/>
        </w:numPr>
        <w:spacing w:line="12pt" w:lineRule="auto"/>
        <w:ind w:start="18pt" w:hanging="18pt"/>
        <w:rPr>
          <w:rFonts w:eastAsia="SimSun"/>
          <w:b/>
          <w:noProof w:val="0"/>
          <w:color w:val="FF0000"/>
          <w:spacing w:val="-1"/>
          <w:sz w:val="20"/>
          <w:szCs w:val="20"/>
          <w:lang w:eastAsia="x-none"/>
        </w:rPr>
      </w:pPr>
    </w:p>
    <w:p w14:paraId="42209E20" w14:textId="33704215" w:rsidR="00120C70" w:rsidRPr="00F96569" w:rsidRDefault="00120C70"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120C70" w:rsidRPr="00F96569" w:rsidSect="003B4E04">
          <w:type w:val="continuous"/>
          <w:pgSz w:w="595.30pt" w:h="841.90pt" w:code="9"/>
          <w:pgMar w:top="54pt" w:right="45.35pt" w:bottom="72pt" w:left="45.35pt" w:header="36pt" w:footer="36pt" w:gutter="0pt"/>
          <w:cols w:num="2" w:space="18pt"/>
          <w:docGrid w:linePitch="360"/>
        </w:sectPr>
      </w:pPr>
    </w:p>
    <w:p w14:paraId="785EFF53" w14:textId="77777777" w:rsidR="009303D9" w:rsidRDefault="003B2B40" w:rsidP="005B520E">
      <w:r>
        <w:rPr>
          <w:noProof/>
        </w:rPr>
        <w:drawing>
          <wp:anchor distT="0" distB="0" distL="114300" distR="114300" simplePos="0" relativeHeight="251657728" behindDoc="1" locked="0" layoutInCell="1" allowOverlap="1" wp14:anchorId="6F75FADA" wp14:editId="1C25660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F0B15AB"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274B1B90"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A048DB7" w14:textId="77777777" w:rsidR="00BE7AE8" w:rsidRDefault="00BE7AE8" w:rsidP="001A3B3D">
      <w:r>
        <w:separator/>
      </w:r>
    </w:p>
  </w:endnote>
  <w:endnote w:type="continuationSeparator" w:id="0">
    <w:p w14:paraId="55AC7AC5" w14:textId="77777777" w:rsidR="00BE7AE8" w:rsidRDefault="00BE7AE8"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93ED0F3" w14:textId="3F20BC0E" w:rsidR="001A3B3D" w:rsidRPr="006F6D3D" w:rsidRDefault="001A3B3D" w:rsidP="0056610F">
    <w:pPr>
      <w:pStyle w:val="Footer"/>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E59FD94" w14:textId="77777777" w:rsidR="00BE7AE8" w:rsidRDefault="00BE7AE8" w:rsidP="001A3B3D">
      <w:r>
        <w:separator/>
      </w:r>
    </w:p>
  </w:footnote>
  <w:footnote w:type="continuationSeparator" w:id="0">
    <w:p w14:paraId="02F62970" w14:textId="77777777" w:rsidR="00BE7AE8" w:rsidRDefault="00BE7AE8"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048453547">
    <w:abstractNumId w:val="17"/>
  </w:num>
  <w:num w:numId="2" w16cid:durableId="457645654">
    <w:abstractNumId w:val="22"/>
  </w:num>
  <w:num w:numId="3" w16cid:durableId="530150571">
    <w:abstractNumId w:val="14"/>
  </w:num>
  <w:num w:numId="4" w16cid:durableId="1241520077">
    <w:abstractNumId w:val="19"/>
  </w:num>
  <w:num w:numId="5" w16cid:durableId="1553809860">
    <w:abstractNumId w:val="19"/>
  </w:num>
  <w:num w:numId="6" w16cid:durableId="1583756149">
    <w:abstractNumId w:val="19"/>
  </w:num>
  <w:num w:numId="7" w16cid:durableId="1656032012">
    <w:abstractNumId w:val="19"/>
  </w:num>
  <w:num w:numId="8" w16cid:durableId="427971278">
    <w:abstractNumId w:val="21"/>
  </w:num>
  <w:num w:numId="9" w16cid:durableId="669331647">
    <w:abstractNumId w:val="23"/>
  </w:num>
  <w:num w:numId="10" w16cid:durableId="688992226">
    <w:abstractNumId w:val="18"/>
  </w:num>
  <w:num w:numId="11" w16cid:durableId="1834954372">
    <w:abstractNumId w:val="13"/>
  </w:num>
  <w:num w:numId="12" w16cid:durableId="1596357375">
    <w:abstractNumId w:val="12"/>
  </w:num>
  <w:num w:numId="13" w16cid:durableId="1496802304">
    <w:abstractNumId w:val="0"/>
  </w:num>
  <w:num w:numId="14" w16cid:durableId="501510812">
    <w:abstractNumId w:val="10"/>
  </w:num>
  <w:num w:numId="15" w16cid:durableId="1632707148">
    <w:abstractNumId w:val="8"/>
  </w:num>
  <w:num w:numId="16" w16cid:durableId="2006743265">
    <w:abstractNumId w:val="7"/>
  </w:num>
  <w:num w:numId="17" w16cid:durableId="1100564445">
    <w:abstractNumId w:val="6"/>
  </w:num>
  <w:num w:numId="18" w16cid:durableId="1468668002">
    <w:abstractNumId w:val="5"/>
  </w:num>
  <w:num w:numId="19" w16cid:durableId="924068280">
    <w:abstractNumId w:val="9"/>
  </w:num>
  <w:num w:numId="20" w16cid:durableId="1327366759">
    <w:abstractNumId w:val="4"/>
  </w:num>
  <w:num w:numId="21" w16cid:durableId="78336743">
    <w:abstractNumId w:val="3"/>
  </w:num>
  <w:num w:numId="22" w16cid:durableId="1331903751">
    <w:abstractNumId w:val="2"/>
  </w:num>
  <w:num w:numId="23" w16cid:durableId="1348168925">
    <w:abstractNumId w:val="1"/>
  </w:num>
  <w:num w:numId="24" w16cid:durableId="1785270363">
    <w:abstractNumId w:val="20"/>
  </w:num>
  <w:num w:numId="25" w16cid:durableId="984314129">
    <w:abstractNumId w:val="19"/>
  </w:num>
  <w:num w:numId="26" w16cid:durableId="910390365">
    <w:abstractNumId w:val="19"/>
  </w:num>
  <w:num w:numId="27" w16cid:durableId="255286541">
    <w:abstractNumId w:val="19"/>
  </w:num>
  <w:num w:numId="28" w16cid:durableId="2246742">
    <w:abstractNumId w:val="19"/>
  </w:num>
  <w:num w:numId="29" w16cid:durableId="1456410664">
    <w:abstractNumId w:val="11"/>
  </w:num>
  <w:num w:numId="30" w16cid:durableId="804197521">
    <w:abstractNumId w:val="15"/>
  </w:num>
  <w:num w:numId="31" w16cid:durableId="803892372">
    <w:abstractNumId w:val="16"/>
  </w:num>
  <w:num w:numId="32" w16cid:durableId="1639068814">
    <w:abstractNumId w:val="17"/>
  </w:num>
  <w:num w:numId="33" w16cid:durableId="184905089">
    <w:abstractNumId w:val="17"/>
  </w:num>
  <w:num w:numId="34" w16cid:durableId="1002392610">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2E2"/>
    <w:rsid w:val="0004781E"/>
    <w:rsid w:val="0008758A"/>
    <w:rsid w:val="000B5FC1"/>
    <w:rsid w:val="000C1E68"/>
    <w:rsid w:val="00120C70"/>
    <w:rsid w:val="00160DC0"/>
    <w:rsid w:val="00186800"/>
    <w:rsid w:val="001A2EFD"/>
    <w:rsid w:val="001A3B3D"/>
    <w:rsid w:val="001B67DC"/>
    <w:rsid w:val="001D312C"/>
    <w:rsid w:val="002254A9"/>
    <w:rsid w:val="00233D97"/>
    <w:rsid w:val="002347A2"/>
    <w:rsid w:val="002850E3"/>
    <w:rsid w:val="002B2280"/>
    <w:rsid w:val="00352772"/>
    <w:rsid w:val="00354FCF"/>
    <w:rsid w:val="003A19E2"/>
    <w:rsid w:val="003B2B40"/>
    <w:rsid w:val="003B4E04"/>
    <w:rsid w:val="003C1663"/>
    <w:rsid w:val="003C3BAE"/>
    <w:rsid w:val="003D5DE9"/>
    <w:rsid w:val="003E7E51"/>
    <w:rsid w:val="003F5A08"/>
    <w:rsid w:val="00420716"/>
    <w:rsid w:val="004325FB"/>
    <w:rsid w:val="004432BA"/>
    <w:rsid w:val="0044407E"/>
    <w:rsid w:val="00447BB9"/>
    <w:rsid w:val="0046031D"/>
    <w:rsid w:val="00473AC9"/>
    <w:rsid w:val="004C3A12"/>
    <w:rsid w:val="004D72B5"/>
    <w:rsid w:val="004F7DA9"/>
    <w:rsid w:val="00551B7F"/>
    <w:rsid w:val="0056610F"/>
    <w:rsid w:val="00575BCA"/>
    <w:rsid w:val="005B0344"/>
    <w:rsid w:val="005B520E"/>
    <w:rsid w:val="005E2800"/>
    <w:rsid w:val="00605825"/>
    <w:rsid w:val="00645D22"/>
    <w:rsid w:val="00651A08"/>
    <w:rsid w:val="00654204"/>
    <w:rsid w:val="00670434"/>
    <w:rsid w:val="006B6B66"/>
    <w:rsid w:val="006F0EED"/>
    <w:rsid w:val="006F6D3D"/>
    <w:rsid w:val="00715BEA"/>
    <w:rsid w:val="00740EEA"/>
    <w:rsid w:val="007839DC"/>
    <w:rsid w:val="00794804"/>
    <w:rsid w:val="007B33F1"/>
    <w:rsid w:val="007B6DDA"/>
    <w:rsid w:val="007C0308"/>
    <w:rsid w:val="007C2FF2"/>
    <w:rsid w:val="007D6232"/>
    <w:rsid w:val="007F1266"/>
    <w:rsid w:val="007F1F99"/>
    <w:rsid w:val="007F768F"/>
    <w:rsid w:val="0080791D"/>
    <w:rsid w:val="00827445"/>
    <w:rsid w:val="00836367"/>
    <w:rsid w:val="00873603"/>
    <w:rsid w:val="008A2C7D"/>
    <w:rsid w:val="008B6524"/>
    <w:rsid w:val="008C4B23"/>
    <w:rsid w:val="008F6E2C"/>
    <w:rsid w:val="00914DAE"/>
    <w:rsid w:val="009303D9"/>
    <w:rsid w:val="00933C64"/>
    <w:rsid w:val="00972203"/>
    <w:rsid w:val="009A1445"/>
    <w:rsid w:val="009B46FF"/>
    <w:rsid w:val="009E1295"/>
    <w:rsid w:val="009F1D79"/>
    <w:rsid w:val="00A059B3"/>
    <w:rsid w:val="00A67C5C"/>
    <w:rsid w:val="00AA3804"/>
    <w:rsid w:val="00AB4C6D"/>
    <w:rsid w:val="00AC157F"/>
    <w:rsid w:val="00AE3409"/>
    <w:rsid w:val="00AF0B40"/>
    <w:rsid w:val="00B02F57"/>
    <w:rsid w:val="00B11A60"/>
    <w:rsid w:val="00B22613"/>
    <w:rsid w:val="00B44A76"/>
    <w:rsid w:val="00B768D1"/>
    <w:rsid w:val="00BA1025"/>
    <w:rsid w:val="00BC3420"/>
    <w:rsid w:val="00BD670B"/>
    <w:rsid w:val="00BE7AE8"/>
    <w:rsid w:val="00BE7D3C"/>
    <w:rsid w:val="00BF18E9"/>
    <w:rsid w:val="00BF5FF6"/>
    <w:rsid w:val="00C0207F"/>
    <w:rsid w:val="00C16117"/>
    <w:rsid w:val="00C3075A"/>
    <w:rsid w:val="00C61D30"/>
    <w:rsid w:val="00C84801"/>
    <w:rsid w:val="00C919A4"/>
    <w:rsid w:val="00CA4392"/>
    <w:rsid w:val="00CC393F"/>
    <w:rsid w:val="00CD018C"/>
    <w:rsid w:val="00D134E7"/>
    <w:rsid w:val="00D2176E"/>
    <w:rsid w:val="00D5592D"/>
    <w:rsid w:val="00D632BE"/>
    <w:rsid w:val="00D72D06"/>
    <w:rsid w:val="00D7522C"/>
    <w:rsid w:val="00D7536F"/>
    <w:rsid w:val="00D76668"/>
    <w:rsid w:val="00DA255A"/>
    <w:rsid w:val="00DA580B"/>
    <w:rsid w:val="00E07383"/>
    <w:rsid w:val="00E165BC"/>
    <w:rsid w:val="00E52ECB"/>
    <w:rsid w:val="00E61E12"/>
    <w:rsid w:val="00E7596C"/>
    <w:rsid w:val="00E878F2"/>
    <w:rsid w:val="00EC5814"/>
    <w:rsid w:val="00ED0149"/>
    <w:rsid w:val="00EE14B7"/>
    <w:rsid w:val="00EF0821"/>
    <w:rsid w:val="00EF7DE3"/>
    <w:rsid w:val="00F03103"/>
    <w:rsid w:val="00F271DE"/>
    <w:rsid w:val="00F47699"/>
    <w:rsid w:val="00F627DA"/>
    <w:rsid w:val="00F7288F"/>
    <w:rsid w:val="00F847A6"/>
    <w:rsid w:val="00F9441B"/>
    <w:rsid w:val="00FA4C32"/>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doi.org/10.3390/s20205948"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doi.org/10.1016/j.sigpro.2014.08.021" TargetMode="Externa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doi.org/10.1109/JBHI.2019.2907498" TargetMode="External"/><Relationship Id="rId5" Type="http://purl.oclc.org/ooxml/officeDocument/relationships/webSettings" Target="webSettings.xml"/><Relationship Id="rId15" Type="http://purl.oclc.org/ooxml/officeDocument/relationships/theme" Target="theme/theme1.xml"/><Relationship Id="rId10" Type="http://purl.oclc.org/ooxml/officeDocument/relationships/hyperlink" Target="https://doi.org/10.1016/j.measurement.2022.110945"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309</TotalTime>
  <Pages>4</Pages>
  <Words>3403</Words>
  <Characters>19402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cp:lastModifiedBy>
  <cp:revision>19</cp:revision>
  <dcterms:created xsi:type="dcterms:W3CDTF">2024-08-20T04:20:00Z</dcterms:created>
  <dcterms:modified xsi:type="dcterms:W3CDTF">2024-08-23T04:17:00Z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