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UNAM:1S.5/551-3-2"2018"/0636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P3G-0951-18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ALEXANDER  ACEVEDO ARAQUE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Estatal de Telecomunicaciones de San Petersburgo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RUSIA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1991 a 1996,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 (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