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UNAM:1S.5/551-3-2"2018"/0648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P3G-0963-18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GRETTEL MARIA CENTENO ROMERO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19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Bachillerato en Arquitectura y Urbanismo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MARIA CENTENO ROMERO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2010,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85.8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