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UNAM:1S.5/551-3-2"2022"/1084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P3G-1084-22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SAFARA BIBI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29 de junio del 2022, mediante el que solicita la equivalencia del “promedio general”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Maestría en Física,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COMSATS University Islamabad, Pakistán, de 2020 a 2021, le comunico que éste es de 3.18, que equivale a </w:t>
      </w:r>
      <w:r>
        <w:rPr>
          <w:rFonts w:cs="Arial" w:ascii="Arial" w:hAnsi="Arial"/>
          <w:b/>
          <w:sz w:val="24"/>
          <w:szCs w:val="24"/>
          <w:lang w:val="es-MX"/>
        </w:rPr>
        <w:t>7.8 (SIETE PUNTO OCHO),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29 de junio del 2022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/>
      </w:pPr>
      <w:r>
        <w:rPr>
          <w:rFonts w:cs="Arial" w:ascii="Arial" w:hAnsi="Arial"/>
          <w:b/>
          <w:lang w:val="es-MX"/>
        </w:rPr>
        <w:t>Lic. Norma Aleida Solís Santana</w:t>
      </w:r>
      <w:r>
        <w:rPr>
          <w:rFonts w:cs="Arial" w:ascii="Arial" w:hAnsi="Arial"/>
          <w:b/>
          <w:lang w:val="es-MX"/>
        </w:rPr>
        <w:t>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SSS/vvb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140</Words>
  <Characters>802</Characters>
  <CharactersWithSpaces>930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2020-03-03T17:40:31Z</dcterms:modified>
  <cp:revision>21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