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UNAM:1S.5/551-3-2"2018"/1452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P1G-1767-18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JAIME ALEJANDRO  RAMIREZ AVILEZ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17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