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MARIO CASTRILLON CASTRO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Cartagena, Colombia, de 2007 a 2011, le comunico que éste es de 3.3, que equivale a </w:t>
      </w:r>
      <w:r>
        <w:rPr>
          <w:rFonts w:cs="Arial" w:ascii="Arial" w:hAnsi="Arial"/>
          <w:b/>
          <w:sz w:val="24"/>
          <w:szCs w:val="24"/>
          <w:lang w:val="es-MX"/>
        </w:rPr>
        <w:t>6.6 (SEIS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