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CA8A1" w14:textId="06230C37" w:rsidR="0028798D" w:rsidRPr="00362EA8" w:rsidRDefault="00F33B0C" w:rsidP="00A26E54">
      <w:pPr>
        <w:spacing w:line="360" w:lineRule="auto"/>
        <w:rPr>
          <w:rFonts w:ascii="Arial" w:hAnsi="Arial" w:cs="Arial"/>
          <w:b/>
          <w:bCs/>
          <w:color w:val="auto"/>
          <w:highlight w:val="yellow"/>
        </w:rPr>
      </w:pPr>
      <w:r w:rsidRPr="002F2EE3">
        <w:rPr>
          <w:rFonts w:ascii="Arial" w:hAnsi="Arial" w:cs="Arial"/>
          <w:color w:val="auto"/>
          <w:highlight w:val="yellow"/>
        </w:rPr>
        <w:t>EXP.</w:t>
      </w:r>
      <w:r w:rsidRPr="00362EA8">
        <w:rPr>
          <w:rFonts w:ascii="Arial" w:hAnsi="Arial" w:cs="Arial"/>
          <w:b/>
          <w:bCs/>
          <w:color w:val="auto"/>
          <w:highlight w:val="yellow"/>
        </w:rPr>
        <w:t xml:space="preserve">  </w:t>
      </w:r>
      <w:r w:rsidR="00F6598B">
        <w:rPr>
          <w:rFonts w:ascii="Arial" w:hAnsi="Arial" w:cs="Arial"/>
          <w:b/>
          <w:bCs/>
          <w:color w:val="auto"/>
          <w:highlight w:val="yellow"/>
        </w:rPr>
        <w:fldChar w:fldCharType="begin"/>
      </w:r>
      <w:r w:rsidR="00F6598B">
        <w:rPr>
          <w:rFonts w:ascii="Arial" w:hAnsi="Arial" w:cs="Arial"/>
          <w:b/>
          <w:bCs/>
          <w:color w:val="auto"/>
          <w:highlight w:val="yellow"/>
        </w:rPr>
        <w:instrText>expedien_srefcliente</w:instrText>
      </w:r>
      <w:r w:rsidR="00F6598B">
        <w:rPr>
          <w:rFonts w:ascii="Arial" w:hAnsi="Arial" w:cs="Arial"/>
          <w:b/>
          <w:bCs/>
          <w:color w:val="auto"/>
          <w:highlight w:val="yellow"/>
        </w:rPr>
        <w:fldChar w:fldCharType="separate"/>
      </w:r>
      <w:r w:rsidR="00F6598B">
        <w:rPr>
          <w:rFonts w:ascii="Arial" w:hAnsi="Arial" w:cs="Arial"/>
          <w:b/>
          <w:bCs/>
          <w:noProof/>
          <w:color w:val="auto"/>
          <w:highlight w:val="yellow"/>
        </w:rPr>
        <w:t>«Datos_del_Expediente_Ref._Expediente»</w:t>
      </w:r>
      <w:r w:rsidR="00F6598B">
        <w:rPr>
          <w:rFonts w:ascii="Arial" w:hAnsi="Arial" w:cs="Arial"/>
          <w:b/>
          <w:bCs/>
          <w:color w:val="auto"/>
          <w:highlight w:val="yellow"/>
        </w:rPr>
        <w:fldChar w:fldCharType="end"/>
      </w:r>
    </w:p>
    <w:p w14:paraId="74CD0C47" w14:textId="26959503" w:rsidR="00F33B0C" w:rsidRPr="00362EA8" w:rsidRDefault="00F33B0C" w:rsidP="001811B8">
      <w:pPr>
        <w:spacing w:line="360" w:lineRule="auto"/>
        <w:rPr>
          <w:rFonts w:ascii="Arial" w:hAnsi="Arial" w:cs="Arial"/>
          <w:b/>
          <w:bCs/>
          <w:color w:val="auto"/>
          <w:highlight w:val="yellow"/>
        </w:rPr>
      </w:pPr>
      <w:r w:rsidRPr="002F2EE3">
        <w:rPr>
          <w:rFonts w:ascii="Arial" w:hAnsi="Arial" w:cs="Arial"/>
          <w:color w:val="auto"/>
          <w:highlight w:val="yellow"/>
        </w:rPr>
        <w:t>PROCEDIMIENTO ORDINARIO</w:t>
      </w:r>
      <w:r w:rsidRPr="00362EA8">
        <w:rPr>
          <w:rFonts w:ascii="Arial" w:hAnsi="Arial" w:cs="Arial"/>
          <w:b/>
          <w:bCs/>
          <w:color w:val="auto"/>
          <w:highlight w:val="yellow"/>
        </w:rPr>
        <w:t xml:space="preserve"> </w:t>
      </w:r>
      <w:r w:rsidR="00F80A4E">
        <w:rPr>
          <w:rFonts w:ascii="Arial" w:hAnsi="Arial" w:cs="Arial"/>
          <w:b/>
          <w:bCs/>
          <w:color w:val="auto"/>
          <w:highlight w:val="yellow"/>
        </w:rPr>
        <w:fldChar w:fldCharType="begin"/>
      </w:r>
      <w:r w:rsidR="00F80A4E">
        <w:rPr>
          <w:rFonts w:ascii="Arial" w:hAnsi="Arial" w:cs="Arial"/>
          <w:b/>
          <w:bCs/>
          <w:color w:val="auto"/>
          <w:highlight w:val="yellow"/>
        </w:rPr>
        <w:instrText>juzgadoprincipal_numasunto</w:instrText>
      </w:r>
      <w:r w:rsidR="00F80A4E">
        <w:rPr>
          <w:rFonts w:ascii="Arial" w:hAnsi="Arial" w:cs="Arial"/>
          <w:b/>
          <w:bCs/>
          <w:color w:val="auto"/>
          <w:highlight w:val="yellow"/>
        </w:rPr>
        <w:fldChar w:fldCharType="separate"/>
      </w:r>
      <w:r w:rsidR="00F80A4E">
        <w:rPr>
          <w:rFonts w:ascii="Arial" w:hAnsi="Arial" w:cs="Arial"/>
          <w:b/>
          <w:bCs/>
          <w:noProof/>
          <w:color w:val="auto"/>
          <w:highlight w:val="yellow"/>
        </w:rPr>
        <w:t>«Juzgado_Principal_Núm_Autos»</w:t>
      </w:r>
      <w:r w:rsidR="00F80A4E">
        <w:rPr>
          <w:rFonts w:ascii="Arial" w:hAnsi="Arial" w:cs="Arial"/>
          <w:b/>
          <w:bCs/>
          <w:color w:val="auto"/>
          <w:highlight w:val="yellow"/>
        </w:rPr>
        <w:fldChar w:fldCharType="end"/>
      </w:r>
    </w:p>
    <w:p w14:paraId="79215E20" w14:textId="533C71C0" w:rsidR="0028798D" w:rsidRPr="00362EA8" w:rsidRDefault="00F33B0C" w:rsidP="0041335A">
      <w:pPr>
        <w:spacing w:line="360" w:lineRule="auto"/>
        <w:rPr>
          <w:rFonts w:ascii="Arial" w:hAnsi="Arial" w:cs="Arial"/>
          <w:b/>
          <w:bCs/>
          <w:color w:val="auto"/>
        </w:rPr>
      </w:pPr>
      <w:r w:rsidRPr="002F2EE3">
        <w:rPr>
          <w:rFonts w:ascii="Arial" w:hAnsi="Arial" w:cs="Arial"/>
          <w:color w:val="auto"/>
          <w:highlight w:val="yellow"/>
        </w:rPr>
        <w:t>PROCURADOR CONTRARIO</w:t>
      </w:r>
      <w:r w:rsidRPr="00362EA8">
        <w:rPr>
          <w:rFonts w:ascii="Arial" w:hAnsi="Arial" w:cs="Arial"/>
          <w:b/>
          <w:bCs/>
          <w:color w:val="auto"/>
          <w:highlight w:val="yellow"/>
        </w:rPr>
        <w:t xml:space="preserve"> </w:t>
      </w:r>
      <w:r w:rsidR="00F80A4E">
        <w:rPr>
          <w:rFonts w:ascii="Arial" w:hAnsi="Arial" w:cs="Arial"/>
          <w:b/>
          <w:bCs/>
          <w:color w:val="auto"/>
          <w:highlight w:val="yellow"/>
        </w:rPr>
        <w:fldChar w:fldCharType="begin"/>
      </w:r>
      <w:r w:rsidR="00F80A4E">
        <w:rPr>
          <w:rFonts w:ascii="Arial" w:hAnsi="Arial" w:cs="Arial"/>
          <w:b/>
          <w:bCs/>
          <w:color w:val="auto"/>
          <w:highlight w:val="yellow"/>
        </w:rPr>
        <w:instrText>proconprincipal_snombrepro</w:instrText>
      </w:r>
      <w:r w:rsidR="00F80A4E">
        <w:rPr>
          <w:rFonts w:ascii="Arial" w:hAnsi="Arial" w:cs="Arial"/>
          <w:b/>
          <w:bCs/>
          <w:color w:val="auto"/>
          <w:highlight w:val="yellow"/>
        </w:rPr>
        <w:fldChar w:fldCharType="separate"/>
      </w:r>
      <w:r w:rsidR="00F80A4E">
        <w:rPr>
          <w:rFonts w:ascii="Arial" w:hAnsi="Arial" w:cs="Arial"/>
          <w:b/>
          <w:bCs/>
          <w:noProof/>
          <w:color w:val="auto"/>
          <w:highlight w:val="yellow"/>
        </w:rPr>
        <w:t>«Procurador_Contrario_Principal_Nombre»</w:t>
      </w:r>
      <w:r w:rsidR="00F80A4E">
        <w:rPr>
          <w:rFonts w:ascii="Arial" w:hAnsi="Arial" w:cs="Arial"/>
          <w:b/>
          <w:bCs/>
          <w:color w:val="auto"/>
          <w:highlight w:val="yellow"/>
        </w:rPr>
        <w:fldChar w:fldCharType="end"/>
      </w:r>
    </w:p>
    <w:p w14:paraId="7CEA8E84" w14:textId="77777777" w:rsidR="00F33B0C" w:rsidRPr="001811B8" w:rsidRDefault="00F33B0C" w:rsidP="001811B8">
      <w:pPr>
        <w:spacing w:line="360" w:lineRule="auto"/>
        <w:ind w:left="-567" w:right="140"/>
        <w:jc w:val="both"/>
        <w:rPr>
          <w:rFonts w:ascii="Arial" w:hAnsi="Arial" w:cs="Arial"/>
          <w:b/>
          <w:bCs/>
          <w:color w:val="auto"/>
        </w:rPr>
      </w:pPr>
    </w:p>
    <w:p w14:paraId="59FE18BC" w14:textId="05335CF5" w:rsidR="0028798D" w:rsidRPr="001811B8" w:rsidRDefault="0028798D" w:rsidP="001811B8">
      <w:pPr>
        <w:spacing w:line="360" w:lineRule="auto"/>
        <w:ind w:right="140"/>
        <w:jc w:val="center"/>
        <w:rPr>
          <w:rFonts w:ascii="Arial" w:hAnsi="Arial" w:cs="Arial"/>
          <w:b/>
          <w:bCs/>
          <w:color w:val="auto"/>
          <w:lang w:val="es-ES_tradnl"/>
        </w:rPr>
      </w:pPr>
      <w:r w:rsidRPr="001811B8">
        <w:rPr>
          <w:rFonts w:ascii="Arial" w:hAnsi="Arial" w:cs="Arial"/>
          <w:b/>
          <w:bCs/>
          <w:color w:val="auto"/>
          <w:lang w:val="es-ES_tradnl"/>
        </w:rPr>
        <w:t xml:space="preserve">AL </w:t>
      </w:r>
      <w:r w:rsidR="0041335A" w:rsidRPr="0041335A">
        <w:rPr>
          <w:rFonts w:ascii="Arial" w:hAnsi="Arial" w:cs="Arial"/>
          <w:b/>
          <w:bCs/>
          <w:color w:val="auto"/>
          <w:lang w:val="es-ES_tradnl"/>
        </w:rPr>
        <w:t xml:space="preserve">JUZGADO DE PRIMERA </w:t>
      </w:r>
      <w:r w:rsidR="0041335A" w:rsidRPr="00362EA8">
        <w:rPr>
          <w:rFonts w:ascii="Arial" w:hAnsi="Arial" w:cs="Arial"/>
          <w:b/>
          <w:bCs/>
          <w:color w:val="auto"/>
          <w:lang w:val="es-ES_tradnl"/>
        </w:rPr>
        <w:t xml:space="preserve">INSTANCIA </w:t>
      </w:r>
      <w:r w:rsidR="00A26E54" w:rsidRPr="00362EA8">
        <w:rPr>
          <w:rFonts w:ascii="Arial" w:hAnsi="Arial" w:cs="Arial"/>
          <w:b/>
          <w:bCs/>
          <w:color w:val="auto"/>
          <w:lang w:val="es-ES_tradnl"/>
        </w:rPr>
        <w:t>E INSTRUCCIÓN</w:t>
      </w:r>
      <w:r w:rsidR="00621717">
        <w:rPr>
          <w:rFonts w:ascii="Arial" w:hAnsi="Arial" w:cs="Arial"/>
          <w:b/>
          <w:bCs/>
          <w:color w:val="auto"/>
          <w:lang w:val="es-ES_tradnl"/>
        </w:rPr>
        <w:t xml:space="preserve"> </w:t>
      </w:r>
      <w:r w:rsidR="00F80A4E">
        <w:rPr>
          <w:rFonts w:ascii="Arial" w:hAnsi="Arial" w:cs="Arial"/>
          <w:b/>
          <w:bCs/>
          <w:color w:val="auto"/>
          <w:highlight w:val="yellow"/>
          <w:lang w:val="es-ES_tradnl"/>
        </w:rPr>
        <w:fldChar w:fldCharType="begin"/>
      </w:r>
      <w:r w:rsidR="00F80A4E">
        <w:rPr>
          <w:rFonts w:ascii="Arial" w:hAnsi="Arial" w:cs="Arial"/>
          <w:b/>
          <w:bCs/>
          <w:color w:val="auto"/>
          <w:highlight w:val="yellow"/>
          <w:lang w:val="es-ES_tradnl"/>
        </w:rPr>
        <w:instrText>juzgadoprincipal_juzgado</w:instrText>
      </w:r>
      <w:r w:rsidR="00F80A4E">
        <w:rPr>
          <w:rFonts w:ascii="Arial" w:hAnsi="Arial" w:cs="Arial"/>
          <w:b/>
          <w:bCs/>
          <w:color w:val="auto"/>
          <w:highlight w:val="yellow"/>
          <w:lang w:val="es-ES_tradnl"/>
        </w:rPr>
        <w:fldChar w:fldCharType="separate"/>
      </w:r>
      <w:r w:rsidR="00F80A4E">
        <w:rPr>
          <w:rFonts w:ascii="Arial" w:hAnsi="Arial" w:cs="Arial"/>
          <w:b/>
          <w:bCs/>
          <w:noProof/>
          <w:color w:val="auto"/>
          <w:highlight w:val="yellow"/>
          <w:lang w:val="es-ES_tradnl"/>
        </w:rPr>
        <w:t>«Juzgado_Principal_Nombre»</w:t>
      </w:r>
      <w:r w:rsidR="00F80A4E">
        <w:rPr>
          <w:rFonts w:ascii="Arial" w:hAnsi="Arial" w:cs="Arial"/>
          <w:b/>
          <w:bCs/>
          <w:color w:val="auto"/>
          <w:highlight w:val="yellow"/>
          <w:lang w:val="es-ES_tradnl"/>
        </w:rPr>
        <w:fldChar w:fldCharType="end"/>
      </w:r>
    </w:p>
    <w:p w14:paraId="0407C808" w14:textId="177BA2FF" w:rsidR="0028798D" w:rsidRDefault="0028798D" w:rsidP="001811B8">
      <w:pPr>
        <w:spacing w:line="360" w:lineRule="auto"/>
        <w:ind w:right="140"/>
        <w:rPr>
          <w:rFonts w:ascii="Arial" w:hAnsi="Arial" w:cs="Arial"/>
          <w:b/>
          <w:bCs/>
          <w:color w:val="auto"/>
          <w:lang w:val="es-ES_tradnl"/>
        </w:rPr>
      </w:pPr>
    </w:p>
    <w:p w14:paraId="7D28D0FF" w14:textId="77777777" w:rsidR="00724D91" w:rsidRPr="001811B8" w:rsidRDefault="00724D91" w:rsidP="001811B8">
      <w:pPr>
        <w:spacing w:line="360" w:lineRule="auto"/>
        <w:ind w:right="140"/>
        <w:rPr>
          <w:rFonts w:ascii="Arial" w:hAnsi="Arial" w:cs="Arial"/>
          <w:b/>
          <w:bCs/>
          <w:color w:val="auto"/>
          <w:lang w:val="es-ES_tradnl"/>
        </w:rPr>
      </w:pPr>
    </w:p>
    <w:p w14:paraId="39918551" w14:textId="498D6154" w:rsidR="0028798D" w:rsidRPr="001811B8" w:rsidRDefault="00C0756F" w:rsidP="001811B8">
      <w:pPr>
        <w:tabs>
          <w:tab w:val="left" w:pos="180"/>
        </w:tabs>
        <w:spacing w:line="360" w:lineRule="auto"/>
        <w:ind w:right="140"/>
        <w:jc w:val="both"/>
        <w:rPr>
          <w:rFonts w:ascii="Arial" w:hAnsi="Arial" w:cs="Arial"/>
          <w:b/>
          <w:bCs/>
          <w:color w:val="auto"/>
          <w:lang w:val="es-ES_tradnl"/>
        </w:rPr>
      </w:pPr>
      <w:r w:rsidRPr="00194523">
        <w:rPr>
          <w:rFonts w:ascii="Arial" w:hAnsi="Arial" w:cs="Arial"/>
          <w:b/>
          <w:bCs/>
          <w:color w:val="auto"/>
          <w:highlight w:val="yellow"/>
          <w:lang w:val="es-ES_tradnl"/>
        </w:rPr>
        <w:t xml:space="preserve">Gemma </w:t>
      </w:r>
      <w:proofErr w:type="spellStart"/>
      <w:r w:rsidRPr="00194523">
        <w:rPr>
          <w:rFonts w:ascii="Arial" w:hAnsi="Arial" w:cs="Arial"/>
          <w:b/>
          <w:bCs/>
          <w:color w:val="auto"/>
          <w:highlight w:val="yellow"/>
          <w:lang w:val="es-ES_tradnl"/>
        </w:rPr>
        <w:t>Donderis</w:t>
      </w:r>
      <w:proofErr w:type="spellEnd"/>
      <w:r w:rsidRPr="00194523">
        <w:rPr>
          <w:rFonts w:ascii="Arial" w:hAnsi="Arial" w:cs="Arial"/>
          <w:b/>
          <w:bCs/>
          <w:color w:val="auto"/>
          <w:highlight w:val="yellow"/>
          <w:lang w:val="es-ES_tradnl"/>
        </w:rPr>
        <w:t xml:space="preserve"> de Salazar</w:t>
      </w:r>
      <w:r w:rsidR="0028798D" w:rsidRPr="001811B8">
        <w:rPr>
          <w:rFonts w:ascii="Arial" w:hAnsi="Arial" w:cs="Arial"/>
          <w:color w:val="auto"/>
          <w:lang w:val="es-ES_tradnl"/>
        </w:rPr>
        <w:t xml:space="preserve">, Procuradora de los Tribunales y de BANKINTER, S.A. según consta en escritura de aportado que acompaño junto a su copia para que una vez sea testimoniada su original me sea devuelta por necesitarla para otros usos, en </w:t>
      </w:r>
      <w:r w:rsidR="0028798D" w:rsidRPr="001811B8">
        <w:rPr>
          <w:rFonts w:ascii="Arial" w:hAnsi="Arial" w:cs="Arial"/>
          <w:b/>
          <w:color w:val="auto"/>
          <w:lang w:val="es-ES_tradnl"/>
        </w:rPr>
        <w:t xml:space="preserve">Autos </w:t>
      </w:r>
      <w:r w:rsidR="00621717">
        <w:rPr>
          <w:rFonts w:ascii="Arial" w:hAnsi="Arial" w:cs="Arial"/>
          <w:b/>
          <w:color w:val="auto"/>
          <w:highlight w:val="yellow"/>
          <w:lang w:val="es-ES_tradnl"/>
        </w:rPr>
        <w:fldChar w:fldCharType="begin"/>
      </w:r>
      <w:r w:rsidR="00621717">
        <w:rPr>
          <w:rFonts w:ascii="Arial" w:hAnsi="Arial" w:cs="Arial"/>
          <w:b/>
          <w:color w:val="auto"/>
          <w:highlight w:val="yellow"/>
          <w:lang w:val="es-ES_tradnl"/>
        </w:rPr>
        <w:instrText>juzgadoprincipal_numasunto</w:instrText>
      </w:r>
      <w:r w:rsidR="00621717">
        <w:rPr>
          <w:rFonts w:ascii="Arial" w:hAnsi="Arial" w:cs="Arial"/>
          <w:b/>
          <w:color w:val="auto"/>
          <w:highlight w:val="yellow"/>
          <w:lang w:val="es-ES_tradnl"/>
        </w:rPr>
        <w:fldChar w:fldCharType="separate"/>
      </w:r>
      <w:r w:rsidR="00621717">
        <w:rPr>
          <w:rFonts w:ascii="Arial" w:hAnsi="Arial" w:cs="Arial"/>
          <w:b/>
          <w:noProof/>
          <w:color w:val="auto"/>
          <w:highlight w:val="yellow"/>
          <w:lang w:val="es-ES_tradnl"/>
        </w:rPr>
        <w:t>«Juzgado_Principal_Núm_Autos»</w:t>
      </w:r>
      <w:r w:rsidR="00621717">
        <w:rPr>
          <w:rFonts w:ascii="Arial" w:hAnsi="Arial" w:cs="Arial"/>
          <w:b/>
          <w:color w:val="auto"/>
          <w:highlight w:val="yellow"/>
          <w:lang w:val="es-ES_tradnl"/>
        </w:rPr>
        <w:fldChar w:fldCharType="end"/>
      </w:r>
      <w:r w:rsidR="00621717">
        <w:rPr>
          <w:rFonts w:ascii="Arial" w:hAnsi="Arial" w:cs="Arial"/>
          <w:b/>
          <w:color w:val="auto"/>
          <w:lang w:val="es-ES_tradnl"/>
        </w:rPr>
        <w:t xml:space="preserve"> </w:t>
      </w:r>
      <w:r w:rsidR="0028798D" w:rsidRPr="001811B8">
        <w:rPr>
          <w:rFonts w:ascii="Arial" w:hAnsi="Arial" w:cs="Arial"/>
          <w:b/>
          <w:color w:val="auto"/>
          <w:lang w:val="es-ES_tradnl"/>
        </w:rPr>
        <w:t>Juicio Ordinario</w:t>
      </w:r>
      <w:r w:rsidR="0028798D" w:rsidRPr="001811B8">
        <w:rPr>
          <w:rFonts w:ascii="Arial" w:hAnsi="Arial" w:cs="Arial"/>
          <w:color w:val="auto"/>
          <w:lang w:val="es-ES_tradnl"/>
        </w:rPr>
        <w:t xml:space="preserve"> que se sigue en este Juzgado, ante el mismo </w:t>
      </w:r>
      <w:r w:rsidR="0028798D" w:rsidRPr="001811B8">
        <w:rPr>
          <w:rFonts w:ascii="Arial" w:hAnsi="Arial" w:cs="Arial"/>
          <w:b/>
          <w:color w:val="auto"/>
          <w:lang w:val="es-ES_tradnl"/>
        </w:rPr>
        <w:t xml:space="preserve">COMPAREZCO y </w:t>
      </w:r>
      <w:r w:rsidR="0028798D" w:rsidRPr="001811B8">
        <w:rPr>
          <w:rFonts w:ascii="Arial" w:hAnsi="Arial" w:cs="Arial"/>
          <w:color w:val="auto"/>
          <w:lang w:val="es-ES_tradnl"/>
        </w:rPr>
        <w:t xml:space="preserve">como más procedente sea y en Derecho haya lugar, siguiendo </w:t>
      </w:r>
      <w:r w:rsidR="00A36184" w:rsidRPr="001811B8">
        <w:rPr>
          <w:rFonts w:ascii="Arial" w:hAnsi="Arial" w:cs="Arial"/>
          <w:color w:val="auto"/>
          <w:lang w:val="es-ES_tradnl"/>
        </w:rPr>
        <w:t>la dirección técnica de</w:t>
      </w:r>
      <w:r w:rsidR="00F33B0C" w:rsidRPr="001811B8">
        <w:rPr>
          <w:rFonts w:ascii="Arial" w:hAnsi="Arial" w:cs="Arial"/>
          <w:color w:val="auto"/>
          <w:lang w:val="es-ES_tradnl"/>
        </w:rPr>
        <w:t xml:space="preserve">l letrado del Ilustre Colegio de Abogados de Valencia, </w:t>
      </w:r>
      <w:r w:rsidR="00A36184" w:rsidRPr="001811B8">
        <w:rPr>
          <w:rFonts w:ascii="Arial" w:hAnsi="Arial" w:cs="Arial"/>
          <w:color w:val="auto"/>
          <w:lang w:val="es-ES_tradnl"/>
        </w:rPr>
        <w:t>D</w:t>
      </w:r>
      <w:r w:rsidR="00557CD6" w:rsidRPr="001811B8">
        <w:rPr>
          <w:rFonts w:ascii="Arial" w:hAnsi="Arial" w:cs="Arial"/>
          <w:color w:val="auto"/>
          <w:lang w:val="es-ES_tradnl"/>
        </w:rPr>
        <w:t>ña</w:t>
      </w:r>
      <w:r w:rsidR="00A36184" w:rsidRPr="001811B8">
        <w:rPr>
          <w:rFonts w:ascii="Arial" w:hAnsi="Arial" w:cs="Arial"/>
          <w:color w:val="auto"/>
          <w:lang w:val="es-ES_tradnl"/>
        </w:rPr>
        <w:t>.</w:t>
      </w:r>
      <w:r w:rsidR="00F33B0C" w:rsidRPr="001811B8">
        <w:rPr>
          <w:rFonts w:ascii="Arial" w:hAnsi="Arial" w:cs="Arial"/>
          <w:color w:val="auto"/>
          <w:lang w:val="es-ES_tradnl"/>
        </w:rPr>
        <w:t xml:space="preserve"> </w:t>
      </w:r>
      <w:r w:rsidR="008175AB">
        <w:rPr>
          <w:rFonts w:ascii="Arial" w:hAnsi="Arial" w:cs="Arial"/>
          <w:color w:val="auto"/>
          <w:lang w:val="es-ES_tradnl"/>
        </w:rPr>
        <w:t>Lucía Martínez Lavara</w:t>
      </w:r>
      <w:r w:rsidR="0028798D" w:rsidRPr="001811B8">
        <w:rPr>
          <w:rFonts w:ascii="Arial" w:hAnsi="Arial" w:cs="Arial"/>
          <w:color w:val="auto"/>
          <w:lang w:val="es-ES_tradnl"/>
        </w:rPr>
        <w:t>,</w:t>
      </w:r>
      <w:r w:rsidR="00A36184" w:rsidRPr="001811B8">
        <w:rPr>
          <w:rFonts w:ascii="Arial" w:hAnsi="Arial" w:cs="Arial"/>
          <w:color w:val="auto"/>
          <w:lang w:val="es-ES_tradnl"/>
        </w:rPr>
        <w:t xml:space="preserve"> </w:t>
      </w:r>
      <w:r w:rsidR="0028798D" w:rsidRPr="001811B8">
        <w:rPr>
          <w:rFonts w:ascii="Arial" w:hAnsi="Arial" w:cs="Arial"/>
          <w:color w:val="auto"/>
          <w:lang w:val="es-ES_tradnl"/>
        </w:rPr>
        <w:t xml:space="preserve"> bajo la dependencia laboral de Lexer Abogados, S.L. </w:t>
      </w:r>
      <w:r w:rsidR="0028798D" w:rsidRPr="001811B8">
        <w:rPr>
          <w:rFonts w:ascii="Arial" w:hAnsi="Arial" w:cs="Arial"/>
          <w:b/>
          <w:bCs/>
          <w:color w:val="auto"/>
          <w:lang w:val="es-ES_tradnl"/>
        </w:rPr>
        <w:t>DIGO</w:t>
      </w:r>
    </w:p>
    <w:p w14:paraId="0511A50E"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10F5AAFC" w14:textId="0B2A31C3"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mi representada ha sido emplazada a contestar a la Demanda inter</w:t>
      </w:r>
      <w:r w:rsidR="00A36184" w:rsidRPr="001811B8">
        <w:rPr>
          <w:rFonts w:ascii="Arial" w:hAnsi="Arial" w:cs="Arial"/>
          <w:color w:val="auto"/>
          <w:lang w:val="es-ES_tradnl"/>
        </w:rPr>
        <w:t xml:space="preserve">puesta frente a ella por </w:t>
      </w:r>
      <w:r w:rsidR="00DB06EB">
        <w:rPr>
          <w:rFonts w:ascii="Arial" w:hAnsi="Arial" w:cs="Arial"/>
          <w:b/>
          <w:bCs/>
          <w:color w:val="auto"/>
          <w:highlight w:val="yellow"/>
          <w:lang w:val="es-ES_tradnl"/>
        </w:rPr>
        <w:fldChar w:fldCharType="begin"/>
      </w:r>
      <w:r w:rsidR="00DB06EB">
        <w:rPr>
          <w:rFonts w:ascii="Arial" w:hAnsi="Arial" w:cs="Arial"/>
          <w:b/>
          <w:bCs/>
          <w:color w:val="auto"/>
          <w:highlight w:val="yellow"/>
          <w:lang w:val="es-ES_tradnl"/>
        </w:rPr>
        <w:instrText>contrarioprincipal_snombreclicon</w:instrText>
      </w:r>
      <w:r w:rsidR="00DB06EB">
        <w:rPr>
          <w:rFonts w:ascii="Arial" w:hAnsi="Arial" w:cs="Arial"/>
          <w:b/>
          <w:bCs/>
          <w:color w:val="auto"/>
          <w:highlight w:val="yellow"/>
          <w:lang w:val="es-ES_tradnl"/>
        </w:rPr>
        <w:fldChar w:fldCharType="separate"/>
      </w:r>
      <w:r w:rsidR="00DB06EB">
        <w:rPr>
          <w:rFonts w:ascii="Arial" w:hAnsi="Arial" w:cs="Arial"/>
          <w:b/>
          <w:bCs/>
          <w:noProof/>
          <w:color w:val="auto"/>
          <w:highlight w:val="yellow"/>
          <w:lang w:val="es-ES_tradnl"/>
        </w:rPr>
        <w:t>«Contrario_Principal_Nombre»</w:t>
      </w:r>
      <w:r w:rsidR="00DB06EB">
        <w:rPr>
          <w:rFonts w:ascii="Arial" w:hAnsi="Arial" w:cs="Arial"/>
          <w:b/>
          <w:bCs/>
          <w:color w:val="auto"/>
          <w:highlight w:val="yellow"/>
          <w:lang w:val="es-ES_tradnl"/>
        </w:rPr>
        <w:fldChar w:fldCharType="end"/>
      </w:r>
      <w:r w:rsidR="00DB06EB">
        <w:rPr>
          <w:rFonts w:ascii="Arial" w:hAnsi="Arial" w:cs="Arial"/>
          <w:b/>
          <w:bCs/>
          <w:color w:val="auto"/>
          <w:lang w:val="es-ES_tradnl"/>
        </w:rPr>
        <w:t xml:space="preserve"> </w:t>
      </w:r>
      <w:r w:rsidRPr="001811B8">
        <w:rPr>
          <w:rFonts w:ascii="Arial" w:hAnsi="Arial" w:cs="Arial"/>
          <w:color w:val="auto"/>
          <w:lang w:val="es-ES_tradnl"/>
        </w:rPr>
        <w:t>de la que da cuenta el Decreto de admisión a trámite y del que se no da traslado en los términos del artículo 404 de la Ley de Enjuiciamiento Civil para contestarla.</w:t>
      </w:r>
    </w:p>
    <w:p w14:paraId="3BAD2F0F"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p>
    <w:p w14:paraId="7DF31E0C" w14:textId="77777777" w:rsidR="0028798D" w:rsidRPr="001811B8" w:rsidRDefault="0028798D" w:rsidP="001811B8">
      <w:pPr>
        <w:tabs>
          <w:tab w:val="left" w:pos="180"/>
        </w:tabs>
        <w:spacing w:line="360" w:lineRule="auto"/>
        <w:ind w:right="140"/>
        <w:jc w:val="both"/>
        <w:rPr>
          <w:rFonts w:ascii="Arial" w:hAnsi="Arial" w:cs="Arial"/>
          <w:color w:val="auto"/>
          <w:lang w:val="es-ES_tradnl"/>
        </w:rPr>
      </w:pPr>
      <w:r w:rsidRPr="001811B8">
        <w:rPr>
          <w:rFonts w:ascii="Arial" w:hAnsi="Arial" w:cs="Arial"/>
          <w:color w:val="auto"/>
          <w:lang w:val="es-ES_tradnl"/>
        </w:rPr>
        <w:t>Que antes del transcurso de los veinte días que refiere el indicado precepto, esta parte viene a realizar, siguiendo expresas instrucciones de mi patrocinada, las siguientes</w:t>
      </w:r>
    </w:p>
    <w:p w14:paraId="66685DBF" w14:textId="77777777" w:rsidR="0028798D" w:rsidRDefault="0028798D" w:rsidP="001811B8">
      <w:pPr>
        <w:tabs>
          <w:tab w:val="left" w:pos="180"/>
        </w:tabs>
        <w:spacing w:line="360" w:lineRule="auto"/>
        <w:ind w:right="140"/>
        <w:jc w:val="both"/>
        <w:rPr>
          <w:rFonts w:ascii="Arial" w:hAnsi="Arial" w:cs="Arial"/>
          <w:color w:val="auto"/>
          <w:lang w:val="es-ES_tradnl"/>
        </w:rPr>
      </w:pPr>
    </w:p>
    <w:p w14:paraId="4D0891BA" w14:textId="77777777" w:rsidR="00D46F95" w:rsidRPr="001811B8" w:rsidRDefault="00D46F95" w:rsidP="001811B8">
      <w:pPr>
        <w:tabs>
          <w:tab w:val="left" w:pos="180"/>
        </w:tabs>
        <w:spacing w:line="360" w:lineRule="auto"/>
        <w:ind w:right="140"/>
        <w:jc w:val="both"/>
        <w:rPr>
          <w:rFonts w:ascii="Arial" w:hAnsi="Arial" w:cs="Arial"/>
          <w:color w:val="auto"/>
          <w:lang w:val="es-ES_tradnl"/>
        </w:rPr>
      </w:pPr>
    </w:p>
    <w:p w14:paraId="098F0554" w14:textId="4EAEA134" w:rsidR="0028798D" w:rsidRPr="001811B8" w:rsidRDefault="0028798D" w:rsidP="001811B8">
      <w:pPr>
        <w:tabs>
          <w:tab w:val="left" w:pos="180"/>
        </w:tabs>
        <w:spacing w:line="360" w:lineRule="auto"/>
        <w:ind w:right="140"/>
        <w:jc w:val="center"/>
        <w:rPr>
          <w:rFonts w:ascii="Arial" w:hAnsi="Arial" w:cs="Arial"/>
          <w:color w:val="auto"/>
        </w:rPr>
      </w:pPr>
      <w:r w:rsidRPr="001811B8">
        <w:rPr>
          <w:rFonts w:ascii="Arial" w:hAnsi="Arial" w:cs="Arial"/>
          <w:b/>
          <w:color w:val="auto"/>
          <w:lang w:val="es-ES_tradnl"/>
        </w:rPr>
        <w:t>MANIFESTACIONES</w:t>
      </w:r>
    </w:p>
    <w:p w14:paraId="0B945065" w14:textId="70566283" w:rsidR="00F84CCE" w:rsidRPr="001811B8" w:rsidRDefault="00F84CCE" w:rsidP="001811B8">
      <w:pPr>
        <w:spacing w:line="360" w:lineRule="auto"/>
        <w:jc w:val="center"/>
        <w:rPr>
          <w:rFonts w:ascii="Arial" w:hAnsi="Arial" w:cs="Arial"/>
          <w:b/>
          <w:bCs/>
          <w:color w:val="auto"/>
        </w:rPr>
      </w:pPr>
      <w:r w:rsidRPr="001811B8">
        <w:rPr>
          <w:rFonts w:ascii="Arial" w:hAnsi="Arial" w:cs="Arial"/>
          <w:b/>
          <w:bCs/>
          <w:color w:val="auto"/>
        </w:rPr>
        <w:t>I</w:t>
      </w:r>
    </w:p>
    <w:p w14:paraId="3D0E210B" w14:textId="77777777" w:rsidR="00D1504C" w:rsidRPr="001811B8" w:rsidRDefault="00D1504C" w:rsidP="001811B8">
      <w:pPr>
        <w:spacing w:line="360" w:lineRule="auto"/>
        <w:jc w:val="center"/>
        <w:rPr>
          <w:rFonts w:ascii="Arial" w:hAnsi="Arial" w:cs="Arial"/>
          <w:b/>
          <w:bCs/>
          <w:color w:val="auto"/>
        </w:rPr>
      </w:pPr>
    </w:p>
    <w:p w14:paraId="4ECC2E2C" w14:textId="33BAC82C" w:rsidR="0028798D" w:rsidRPr="001811B8" w:rsidRDefault="0028798D" w:rsidP="001811B8">
      <w:pPr>
        <w:suppressAutoHyphens/>
        <w:spacing w:line="360" w:lineRule="auto"/>
        <w:ind w:right="6" w:firstLine="708"/>
        <w:jc w:val="both"/>
        <w:rPr>
          <w:rFonts w:ascii="Arial" w:hAnsi="Arial" w:cs="Arial"/>
          <w:b/>
          <w:color w:val="auto"/>
          <w:u w:val="single"/>
        </w:rPr>
      </w:pPr>
      <w:r w:rsidRPr="001811B8">
        <w:rPr>
          <w:rFonts w:ascii="Arial" w:hAnsi="Arial" w:cs="Arial"/>
          <w:b/>
          <w:color w:val="auto"/>
          <w:u w:val="single"/>
        </w:rPr>
        <w:t>De las pretensiones del actor/demand</w:t>
      </w:r>
      <w:r w:rsidR="00A36184" w:rsidRPr="001811B8">
        <w:rPr>
          <w:rFonts w:ascii="Arial" w:hAnsi="Arial" w:cs="Arial"/>
          <w:b/>
          <w:color w:val="auto"/>
          <w:u w:val="single"/>
        </w:rPr>
        <w:t>ante y el allanamiento (PARCIAL</w:t>
      </w:r>
      <w:r w:rsidRPr="001811B8">
        <w:rPr>
          <w:rFonts w:ascii="Arial" w:hAnsi="Arial" w:cs="Arial"/>
          <w:b/>
          <w:color w:val="auto"/>
          <w:u w:val="single"/>
        </w:rPr>
        <w:t>) de BANKINTER, S.A.</w:t>
      </w:r>
    </w:p>
    <w:p w14:paraId="0A1432D7" w14:textId="77777777" w:rsidR="0028798D" w:rsidRPr="001811B8" w:rsidRDefault="0028798D" w:rsidP="001811B8">
      <w:pPr>
        <w:suppressAutoHyphens/>
        <w:spacing w:line="360" w:lineRule="auto"/>
        <w:ind w:right="6"/>
        <w:jc w:val="both"/>
        <w:rPr>
          <w:rFonts w:ascii="Arial" w:hAnsi="Arial" w:cs="Arial"/>
          <w:color w:val="auto"/>
        </w:rPr>
      </w:pPr>
    </w:p>
    <w:p w14:paraId="3D9CFD3A" w14:textId="5866C25D" w:rsidR="00C8367A" w:rsidRDefault="0028798D" w:rsidP="00C8367A">
      <w:pPr>
        <w:suppressAutoHyphens/>
        <w:spacing w:line="360" w:lineRule="auto"/>
        <w:ind w:right="6"/>
        <w:jc w:val="both"/>
        <w:rPr>
          <w:rFonts w:ascii="Arial" w:hAnsi="Arial" w:cs="Arial"/>
          <w:color w:val="auto"/>
        </w:rPr>
      </w:pPr>
      <w:r w:rsidRPr="001811B8">
        <w:rPr>
          <w:rFonts w:ascii="Arial" w:hAnsi="Arial" w:cs="Arial"/>
          <w:color w:val="auto"/>
        </w:rPr>
        <w:t xml:space="preserve">Tal y como se desprende del escrito de </w:t>
      </w:r>
      <w:r w:rsidR="00BA7EAC" w:rsidRPr="001811B8">
        <w:rPr>
          <w:rFonts w:ascii="Arial" w:hAnsi="Arial" w:cs="Arial"/>
          <w:color w:val="auto"/>
        </w:rPr>
        <w:t>D</w:t>
      </w:r>
      <w:r w:rsidRPr="001811B8">
        <w:rPr>
          <w:rFonts w:ascii="Arial" w:hAnsi="Arial" w:cs="Arial"/>
          <w:color w:val="auto"/>
        </w:rPr>
        <w:t xml:space="preserve">emanda, las pretensiones de los actores son dos. </w:t>
      </w:r>
      <w:r w:rsidR="005F7B4B" w:rsidRPr="001811B8">
        <w:rPr>
          <w:rFonts w:ascii="Arial" w:hAnsi="Arial" w:cs="Arial"/>
          <w:color w:val="auto"/>
        </w:rPr>
        <w:t>De</w:t>
      </w:r>
      <w:r w:rsidRPr="001811B8">
        <w:rPr>
          <w:rFonts w:ascii="Arial" w:hAnsi="Arial" w:cs="Arial"/>
          <w:color w:val="auto"/>
        </w:rPr>
        <w:t xml:space="preserve"> un lado, la declaración de nulidad de</w:t>
      </w:r>
      <w:r w:rsidR="00BD7CC7">
        <w:rPr>
          <w:rFonts w:ascii="Arial" w:hAnsi="Arial" w:cs="Arial"/>
          <w:color w:val="auto"/>
        </w:rPr>
        <w:t xml:space="preserve"> </w:t>
      </w:r>
      <w:r w:rsidR="00A47385" w:rsidRPr="001811B8">
        <w:rPr>
          <w:rFonts w:ascii="Arial" w:hAnsi="Arial" w:cs="Arial"/>
          <w:color w:val="auto"/>
          <w:highlight w:val="yellow"/>
        </w:rPr>
        <w:t>la cláusula</w:t>
      </w:r>
      <w:r w:rsidR="000F76CB" w:rsidRPr="001811B8">
        <w:rPr>
          <w:rFonts w:ascii="Arial" w:hAnsi="Arial" w:cs="Arial"/>
          <w:color w:val="auto"/>
          <w:highlight w:val="yellow"/>
        </w:rPr>
        <w:t xml:space="preserve"> de</w:t>
      </w:r>
      <w:r w:rsidRPr="001811B8">
        <w:rPr>
          <w:rFonts w:ascii="Arial" w:hAnsi="Arial" w:cs="Arial"/>
          <w:color w:val="auto"/>
          <w:highlight w:val="yellow"/>
        </w:rPr>
        <w:t xml:space="preserve"> gastos</w:t>
      </w:r>
      <w:r w:rsidRPr="001811B8">
        <w:rPr>
          <w:rFonts w:ascii="Arial" w:hAnsi="Arial" w:cs="Arial"/>
          <w:color w:val="auto"/>
        </w:rPr>
        <w:t xml:space="preserve"> de formalización del </w:t>
      </w:r>
      <w:r w:rsidRPr="001811B8">
        <w:rPr>
          <w:rFonts w:ascii="Arial" w:hAnsi="Arial" w:cs="Arial"/>
          <w:b/>
          <w:color w:val="auto"/>
        </w:rPr>
        <w:t>préstamo hipotecario suscrito entre l</w:t>
      </w:r>
      <w:r w:rsidR="005F7B4B" w:rsidRPr="001811B8">
        <w:rPr>
          <w:rFonts w:ascii="Arial" w:hAnsi="Arial" w:cs="Arial"/>
          <w:b/>
          <w:color w:val="auto"/>
        </w:rPr>
        <w:t>os hoy contendientes</w:t>
      </w:r>
      <w:r w:rsidR="00A36184" w:rsidRPr="001811B8">
        <w:rPr>
          <w:rFonts w:ascii="Arial" w:hAnsi="Arial" w:cs="Arial"/>
          <w:b/>
          <w:color w:val="auto"/>
        </w:rPr>
        <w:t xml:space="preserve">, </w:t>
      </w:r>
      <w:r w:rsidR="00A36184" w:rsidRPr="001811B8">
        <w:rPr>
          <w:rFonts w:ascii="Arial" w:hAnsi="Arial" w:cs="Arial"/>
          <w:b/>
          <w:color w:val="auto"/>
          <w:highlight w:val="yellow"/>
        </w:rPr>
        <w:t xml:space="preserve">de fecha </w:t>
      </w:r>
      <w:r w:rsidR="00C4100F">
        <w:rPr>
          <w:rFonts w:ascii="Arial" w:hAnsi="Arial" w:cs="Arial"/>
          <w:b/>
          <w:color w:val="auto"/>
          <w:highlight w:val="yellow"/>
        </w:rPr>
        <w:fldChar w:fldCharType="begin"/>
      </w:r>
      <w:r w:rsidR="00487904">
        <w:rPr>
          <w:rFonts w:ascii="Arial" w:hAnsi="Arial" w:cs="Arial"/>
          <w:b/>
          <w:color w:val="auto"/>
          <w:highlight w:val="yellow"/>
        </w:rPr>
        <w:instrText>persovalores_personalizable1296</w:instrText>
      </w:r>
      <w:r w:rsidR="00C4100F">
        <w:rPr>
          <w:rFonts w:ascii="Arial" w:hAnsi="Arial" w:cs="Arial"/>
          <w:b/>
          <w:color w:val="auto"/>
          <w:highlight w:val="yellow"/>
        </w:rPr>
        <w:fldChar w:fldCharType="separate"/>
      </w:r>
      <w:r w:rsidR="00C4100F">
        <w:rPr>
          <w:rFonts w:ascii="Arial" w:hAnsi="Arial" w:cs="Arial"/>
          <w:b/>
          <w:noProof/>
          <w:color w:val="auto"/>
          <w:highlight w:val="yellow"/>
        </w:rPr>
        <w:t>«BANKINTER_CLAUSULAS_FECHA_DE_ESCRITURA»</w:t>
      </w:r>
      <w:r w:rsidR="00C4100F">
        <w:rPr>
          <w:rFonts w:ascii="Arial" w:hAnsi="Arial" w:cs="Arial"/>
          <w:b/>
          <w:color w:val="auto"/>
          <w:highlight w:val="yellow"/>
        </w:rPr>
        <w:fldChar w:fldCharType="end"/>
      </w:r>
      <w:r w:rsidR="00A36184" w:rsidRPr="001811B8">
        <w:rPr>
          <w:rFonts w:ascii="Arial" w:hAnsi="Arial" w:cs="Arial"/>
          <w:b/>
          <w:color w:val="auto"/>
          <w:highlight w:val="yellow"/>
        </w:rPr>
        <w:t>otorgado ante el Notario Sr.</w:t>
      </w:r>
      <w:r w:rsidR="00A26E54">
        <w:rPr>
          <w:rFonts w:ascii="Arial" w:hAnsi="Arial" w:cs="Arial"/>
          <w:b/>
          <w:color w:val="auto"/>
          <w:highlight w:val="yellow"/>
        </w:rPr>
        <w:t xml:space="preserve"> </w:t>
      </w:r>
      <w:r w:rsidR="00487904">
        <w:rPr>
          <w:rFonts w:ascii="Arial" w:hAnsi="Arial" w:cs="Arial"/>
          <w:b/>
          <w:color w:val="auto"/>
          <w:highlight w:val="yellow"/>
        </w:rPr>
        <w:fldChar w:fldCharType="begin"/>
      </w:r>
      <w:r w:rsidR="00487904">
        <w:rPr>
          <w:rFonts w:ascii="Arial" w:hAnsi="Arial" w:cs="Arial"/>
          <w:b/>
          <w:color w:val="auto"/>
          <w:highlight w:val="yellow"/>
        </w:rPr>
        <w:instrText>persovalores_personalizable1294</w:instrText>
      </w:r>
      <w:r w:rsidR="00487904">
        <w:rPr>
          <w:rFonts w:ascii="Arial" w:hAnsi="Arial" w:cs="Arial"/>
          <w:b/>
          <w:color w:val="auto"/>
          <w:highlight w:val="yellow"/>
        </w:rPr>
        <w:fldChar w:fldCharType="separate"/>
      </w:r>
      <w:r w:rsidR="00487904">
        <w:rPr>
          <w:rFonts w:ascii="Arial" w:hAnsi="Arial" w:cs="Arial"/>
          <w:b/>
          <w:noProof/>
          <w:color w:val="auto"/>
          <w:highlight w:val="yellow"/>
        </w:rPr>
        <w:t>«BANKINTER_CLAUSULAS_NOTARIO»</w:t>
      </w:r>
      <w:r w:rsidR="00487904">
        <w:rPr>
          <w:rFonts w:ascii="Arial" w:hAnsi="Arial" w:cs="Arial"/>
          <w:b/>
          <w:color w:val="auto"/>
          <w:highlight w:val="yellow"/>
        </w:rPr>
        <w:fldChar w:fldCharType="end"/>
      </w:r>
      <w:r w:rsidR="00A36184" w:rsidRPr="001811B8">
        <w:rPr>
          <w:rFonts w:ascii="Arial" w:hAnsi="Arial" w:cs="Arial"/>
          <w:b/>
          <w:color w:val="auto"/>
          <w:highlight w:val="yellow"/>
        </w:rPr>
        <w:t xml:space="preserve">, </w:t>
      </w:r>
      <w:r w:rsidRPr="001811B8">
        <w:rPr>
          <w:rFonts w:ascii="Arial" w:hAnsi="Arial" w:cs="Arial"/>
          <w:b/>
          <w:color w:val="auto"/>
          <w:highlight w:val="yellow"/>
          <w:shd w:val="clear" w:color="auto" w:fill="FFFFFF" w:themeFill="background1"/>
        </w:rPr>
        <w:t xml:space="preserve">con </w:t>
      </w:r>
      <w:r w:rsidRPr="001811B8">
        <w:rPr>
          <w:rFonts w:ascii="Arial" w:hAnsi="Arial" w:cs="Arial"/>
          <w:b/>
          <w:color w:val="auto"/>
          <w:highlight w:val="yellow"/>
        </w:rPr>
        <w:t xml:space="preserve">número </w:t>
      </w:r>
      <w:r w:rsidR="00487904">
        <w:rPr>
          <w:rFonts w:ascii="Arial" w:hAnsi="Arial" w:cs="Arial"/>
          <w:b/>
          <w:color w:val="auto"/>
          <w:highlight w:val="yellow"/>
        </w:rPr>
        <w:fldChar w:fldCharType="begin"/>
      </w:r>
      <w:r w:rsidR="00487904">
        <w:rPr>
          <w:rFonts w:ascii="Arial" w:hAnsi="Arial" w:cs="Arial"/>
          <w:b/>
          <w:color w:val="auto"/>
          <w:highlight w:val="yellow"/>
        </w:rPr>
        <w:instrText>persovalores_personalizable1293</w:instrText>
      </w:r>
      <w:r w:rsidR="00487904">
        <w:rPr>
          <w:rFonts w:ascii="Arial" w:hAnsi="Arial" w:cs="Arial"/>
          <w:b/>
          <w:color w:val="auto"/>
          <w:highlight w:val="yellow"/>
        </w:rPr>
        <w:fldChar w:fldCharType="separate"/>
      </w:r>
      <w:r w:rsidR="00487904">
        <w:rPr>
          <w:rFonts w:ascii="Arial" w:hAnsi="Arial" w:cs="Arial"/>
          <w:b/>
          <w:noProof/>
          <w:color w:val="auto"/>
          <w:highlight w:val="yellow"/>
        </w:rPr>
        <w:t>«BANKINTER_CLAUSULAS_Nº_PROTOCOLO»</w:t>
      </w:r>
      <w:r w:rsidR="00487904">
        <w:rPr>
          <w:rFonts w:ascii="Arial" w:hAnsi="Arial" w:cs="Arial"/>
          <w:b/>
          <w:color w:val="auto"/>
          <w:highlight w:val="yellow"/>
        </w:rPr>
        <w:fldChar w:fldCharType="end"/>
      </w:r>
      <w:r w:rsidR="00487904">
        <w:rPr>
          <w:rFonts w:ascii="Arial" w:hAnsi="Arial" w:cs="Arial"/>
          <w:b/>
          <w:color w:val="auto"/>
          <w:highlight w:val="yellow"/>
        </w:rPr>
        <w:t xml:space="preserve"> </w:t>
      </w:r>
      <w:r w:rsidRPr="001811B8">
        <w:rPr>
          <w:rFonts w:ascii="Arial" w:hAnsi="Arial" w:cs="Arial"/>
          <w:b/>
          <w:color w:val="auto"/>
          <w:highlight w:val="yellow"/>
        </w:rPr>
        <w:t xml:space="preserve">de </w:t>
      </w:r>
      <w:r w:rsidR="00A36184" w:rsidRPr="001811B8">
        <w:rPr>
          <w:rFonts w:ascii="Arial" w:hAnsi="Arial" w:cs="Arial"/>
          <w:b/>
          <w:color w:val="auto"/>
          <w:highlight w:val="yellow"/>
          <w:shd w:val="clear" w:color="auto" w:fill="FFFFFF" w:themeFill="background1"/>
        </w:rPr>
        <w:t>su protocolo</w:t>
      </w:r>
      <w:r w:rsidR="00A36184" w:rsidRPr="001811B8">
        <w:rPr>
          <w:rFonts w:ascii="Arial" w:hAnsi="Arial" w:cs="Arial"/>
          <w:color w:val="auto"/>
          <w:shd w:val="clear" w:color="auto" w:fill="FFFFFF" w:themeFill="background1"/>
        </w:rPr>
        <w:t>. Y</w:t>
      </w:r>
      <w:r w:rsidRPr="001811B8">
        <w:rPr>
          <w:rFonts w:ascii="Arial" w:hAnsi="Arial" w:cs="Arial"/>
          <w:color w:val="auto"/>
        </w:rPr>
        <w:t xml:space="preserve">, </w:t>
      </w:r>
      <w:r w:rsidR="005F7B4B" w:rsidRPr="001811B8">
        <w:rPr>
          <w:rFonts w:ascii="Arial" w:hAnsi="Arial" w:cs="Arial"/>
          <w:color w:val="auto"/>
        </w:rPr>
        <w:t>de</w:t>
      </w:r>
      <w:r w:rsidRPr="001811B8">
        <w:rPr>
          <w:rFonts w:ascii="Arial" w:hAnsi="Arial" w:cs="Arial"/>
          <w:color w:val="auto"/>
        </w:rPr>
        <w:t xml:space="preserve"> otro lado, la restitución económica de los </w:t>
      </w:r>
      <w:r w:rsidR="005F7B4B" w:rsidRPr="001811B8">
        <w:rPr>
          <w:rFonts w:ascii="Arial" w:hAnsi="Arial" w:cs="Arial"/>
          <w:color w:val="auto"/>
        </w:rPr>
        <w:t xml:space="preserve">citados </w:t>
      </w:r>
      <w:r w:rsidR="0041335A">
        <w:rPr>
          <w:rFonts w:ascii="Arial" w:hAnsi="Arial" w:cs="Arial"/>
          <w:color w:val="auto"/>
        </w:rPr>
        <w:t>gastos</w:t>
      </w:r>
      <w:r w:rsidR="00C8367A">
        <w:rPr>
          <w:rFonts w:ascii="Arial" w:hAnsi="Arial" w:cs="Arial"/>
          <w:color w:val="auto"/>
        </w:rPr>
        <w:t xml:space="preserve">, con el siguiente desglose: </w:t>
      </w:r>
    </w:p>
    <w:p w14:paraId="4AAB7256" w14:textId="77777777" w:rsidR="00C8367A" w:rsidRDefault="00C8367A" w:rsidP="00C8367A">
      <w:pPr>
        <w:suppressAutoHyphens/>
        <w:spacing w:line="360" w:lineRule="auto"/>
        <w:ind w:right="6"/>
        <w:jc w:val="both"/>
        <w:rPr>
          <w:rFonts w:ascii="Arial" w:hAnsi="Arial" w:cs="Arial"/>
          <w:color w:val="auto"/>
        </w:rPr>
      </w:pPr>
    </w:p>
    <w:p w14:paraId="2AFD2FEE" w14:textId="77777777" w:rsidR="00F27E2B" w:rsidRDefault="00F27E2B" w:rsidP="00C8367A">
      <w:pPr>
        <w:suppressAutoHyphens/>
        <w:spacing w:line="360" w:lineRule="auto"/>
        <w:ind w:right="6"/>
        <w:jc w:val="both"/>
        <w:rPr>
          <w:rFonts w:ascii="Arial" w:hAnsi="Arial" w:cs="Arial"/>
          <w:color w:val="auto"/>
        </w:rPr>
      </w:pPr>
    </w:p>
    <w:p w14:paraId="2E4E2609" w14:textId="0029CEC2" w:rsidR="00C8367A" w:rsidRPr="00362EA8" w:rsidRDefault="00C8367A" w:rsidP="00C8367A">
      <w:pPr>
        <w:pStyle w:val="Prrafodelista"/>
        <w:numPr>
          <w:ilvl w:val="0"/>
          <w:numId w:val="18"/>
        </w:numPr>
        <w:spacing w:line="360" w:lineRule="auto"/>
        <w:ind w:right="6"/>
        <w:jc w:val="both"/>
        <w:rPr>
          <w:rFonts w:ascii="Arial" w:hAnsi="Arial"/>
          <w:b/>
          <w:bCs/>
          <w:highlight w:val="yellow"/>
        </w:rPr>
      </w:pPr>
      <w:r w:rsidRPr="00362EA8">
        <w:rPr>
          <w:rFonts w:ascii="Arial" w:hAnsi="Arial"/>
          <w:highlight w:val="yellow"/>
        </w:rPr>
        <w:lastRenderedPageBreak/>
        <w:t xml:space="preserve">Notaría (50% de lo desembolsado): importa </w:t>
      </w:r>
      <w:r w:rsidR="00487904">
        <w:rPr>
          <w:rFonts w:ascii="Arial" w:hAnsi="Arial"/>
          <w:b/>
          <w:bCs/>
          <w:highlight w:val="yellow"/>
        </w:rPr>
        <w:fldChar w:fldCharType="begin"/>
      </w:r>
      <w:r w:rsidR="00487904">
        <w:rPr>
          <w:rFonts w:ascii="Arial" w:hAnsi="Arial"/>
          <w:b/>
          <w:bCs/>
          <w:highlight w:val="yellow"/>
        </w:rPr>
        <w:instrText>persovalores_personalizable1281</w:instrText>
      </w:r>
      <w:r w:rsidR="00487904">
        <w:rPr>
          <w:rFonts w:ascii="Arial" w:hAnsi="Arial"/>
          <w:b/>
          <w:bCs/>
          <w:highlight w:val="yellow"/>
        </w:rPr>
        <w:fldChar w:fldCharType="separate"/>
      </w:r>
      <w:r w:rsidR="00487904">
        <w:rPr>
          <w:rFonts w:ascii="Arial" w:hAnsi="Arial"/>
          <w:b/>
          <w:bCs/>
          <w:noProof/>
          <w:highlight w:val="yellow"/>
        </w:rPr>
        <w:t>«BANKINTER_CLAUSULAS_NOTARÍA_RECLAMADA»</w:t>
      </w:r>
      <w:r w:rsidR="00487904">
        <w:rPr>
          <w:rFonts w:ascii="Arial" w:hAnsi="Arial"/>
          <w:b/>
          <w:bCs/>
          <w:highlight w:val="yellow"/>
        </w:rPr>
        <w:fldChar w:fldCharType="end"/>
      </w:r>
      <w:r w:rsidR="00D13C1E">
        <w:rPr>
          <w:rFonts w:ascii="Arial" w:hAnsi="Arial"/>
          <w:b/>
          <w:bCs/>
          <w:highlight w:val="yellow"/>
        </w:rPr>
        <w:t xml:space="preserve"> </w:t>
      </w:r>
      <w:r w:rsidRPr="00362EA8">
        <w:rPr>
          <w:rFonts w:ascii="Arial" w:hAnsi="Arial"/>
          <w:b/>
          <w:bCs/>
          <w:highlight w:val="yellow"/>
        </w:rPr>
        <w:t>euros.</w:t>
      </w:r>
    </w:p>
    <w:p w14:paraId="0715E41D" w14:textId="39F8490D" w:rsidR="00C8367A" w:rsidRPr="00362EA8" w:rsidRDefault="00C8367A" w:rsidP="00C8367A">
      <w:pPr>
        <w:pStyle w:val="Prrafodelista"/>
        <w:numPr>
          <w:ilvl w:val="0"/>
          <w:numId w:val="18"/>
        </w:numPr>
        <w:spacing w:line="360" w:lineRule="auto"/>
        <w:ind w:right="6"/>
        <w:jc w:val="both"/>
        <w:rPr>
          <w:rFonts w:ascii="Arial" w:hAnsi="Arial"/>
          <w:b/>
          <w:bCs/>
          <w:highlight w:val="yellow"/>
        </w:rPr>
      </w:pPr>
      <w:r w:rsidRPr="00362EA8">
        <w:rPr>
          <w:rFonts w:ascii="Arial" w:hAnsi="Arial"/>
          <w:highlight w:val="yellow"/>
        </w:rPr>
        <w:t xml:space="preserve">Registro de la Propiedad (100% de lo desembolsado): importa </w:t>
      </w:r>
      <w:r w:rsidR="00D13C1E">
        <w:rPr>
          <w:rFonts w:ascii="Arial" w:hAnsi="Arial"/>
          <w:b/>
          <w:bCs/>
          <w:highlight w:val="yellow"/>
        </w:rPr>
        <w:fldChar w:fldCharType="begin"/>
      </w:r>
      <w:r w:rsidR="00D13C1E">
        <w:rPr>
          <w:rFonts w:ascii="Arial" w:hAnsi="Arial"/>
          <w:b/>
          <w:bCs/>
          <w:highlight w:val="yellow"/>
        </w:rPr>
        <w:instrText>persovalores_personalizable1282</w:instrText>
      </w:r>
      <w:r w:rsidR="00D13C1E">
        <w:rPr>
          <w:rFonts w:ascii="Arial" w:hAnsi="Arial"/>
          <w:b/>
          <w:bCs/>
          <w:highlight w:val="yellow"/>
        </w:rPr>
        <w:fldChar w:fldCharType="separate"/>
      </w:r>
      <w:r w:rsidR="00D13C1E">
        <w:rPr>
          <w:rFonts w:ascii="Arial" w:hAnsi="Arial"/>
          <w:b/>
          <w:bCs/>
          <w:noProof/>
          <w:highlight w:val="yellow"/>
        </w:rPr>
        <w:t>«BANKINTER_CLAUSULAS_RESGISTRO_RECLAMADO»</w:t>
      </w:r>
      <w:r w:rsidR="00D13C1E">
        <w:rPr>
          <w:rFonts w:ascii="Arial" w:hAnsi="Arial"/>
          <w:b/>
          <w:bCs/>
          <w:highlight w:val="yellow"/>
        </w:rPr>
        <w:fldChar w:fldCharType="end"/>
      </w:r>
      <w:r w:rsidR="00D13C1E">
        <w:rPr>
          <w:rFonts w:ascii="Arial" w:hAnsi="Arial"/>
          <w:b/>
          <w:bCs/>
          <w:highlight w:val="yellow"/>
        </w:rPr>
        <w:t xml:space="preserve"> </w:t>
      </w:r>
      <w:r w:rsidRPr="00362EA8">
        <w:rPr>
          <w:rFonts w:ascii="Arial" w:hAnsi="Arial"/>
          <w:b/>
          <w:bCs/>
          <w:highlight w:val="yellow"/>
        </w:rPr>
        <w:t>euros.</w:t>
      </w:r>
    </w:p>
    <w:p w14:paraId="6DDCF2E4" w14:textId="3773DB1D" w:rsidR="00C8367A" w:rsidRPr="00362EA8" w:rsidRDefault="00C8367A" w:rsidP="00C8367A">
      <w:pPr>
        <w:pStyle w:val="Prrafodelista"/>
        <w:numPr>
          <w:ilvl w:val="0"/>
          <w:numId w:val="18"/>
        </w:numPr>
        <w:spacing w:line="360" w:lineRule="auto"/>
        <w:ind w:right="6"/>
        <w:jc w:val="both"/>
        <w:rPr>
          <w:rFonts w:ascii="Arial" w:hAnsi="Arial"/>
          <w:b/>
          <w:bCs/>
          <w:highlight w:val="yellow"/>
        </w:rPr>
      </w:pPr>
      <w:r w:rsidRPr="00362EA8">
        <w:rPr>
          <w:rFonts w:ascii="Arial" w:hAnsi="Arial"/>
          <w:highlight w:val="yellow"/>
        </w:rPr>
        <w:t xml:space="preserve">Gestoría (100% de lo desembolsado): importa </w:t>
      </w:r>
      <w:r w:rsidR="00D13C1E">
        <w:rPr>
          <w:rFonts w:ascii="Arial" w:hAnsi="Arial"/>
          <w:b/>
          <w:bCs/>
          <w:highlight w:val="yellow"/>
        </w:rPr>
        <w:fldChar w:fldCharType="begin"/>
      </w:r>
      <w:r w:rsidR="00D13C1E">
        <w:rPr>
          <w:rFonts w:ascii="Arial" w:hAnsi="Arial"/>
          <w:b/>
          <w:bCs/>
          <w:highlight w:val="yellow"/>
        </w:rPr>
        <w:instrText>persovalores_personalizable1284</w:instrText>
      </w:r>
      <w:r w:rsidR="00D13C1E">
        <w:rPr>
          <w:rFonts w:ascii="Arial" w:hAnsi="Arial"/>
          <w:b/>
          <w:bCs/>
          <w:highlight w:val="yellow"/>
        </w:rPr>
        <w:fldChar w:fldCharType="separate"/>
      </w:r>
      <w:r w:rsidR="00D13C1E">
        <w:rPr>
          <w:rFonts w:ascii="Arial" w:hAnsi="Arial"/>
          <w:b/>
          <w:bCs/>
          <w:noProof/>
          <w:highlight w:val="yellow"/>
        </w:rPr>
        <w:t>«BANKINTER_CLAUSULAS_GESTORÍA_RECLAMADA»</w:t>
      </w:r>
      <w:r w:rsidR="00D13C1E">
        <w:rPr>
          <w:rFonts w:ascii="Arial" w:hAnsi="Arial"/>
          <w:b/>
          <w:bCs/>
          <w:highlight w:val="yellow"/>
        </w:rPr>
        <w:fldChar w:fldCharType="end"/>
      </w:r>
      <w:r w:rsidR="00D13C1E">
        <w:rPr>
          <w:rFonts w:ascii="Arial" w:hAnsi="Arial"/>
          <w:b/>
          <w:bCs/>
          <w:highlight w:val="yellow"/>
        </w:rPr>
        <w:t xml:space="preserve"> </w:t>
      </w:r>
      <w:r w:rsidRPr="00362EA8">
        <w:rPr>
          <w:rFonts w:ascii="Arial" w:hAnsi="Arial"/>
          <w:b/>
          <w:bCs/>
          <w:highlight w:val="yellow"/>
        </w:rPr>
        <w:t xml:space="preserve">euros. </w:t>
      </w:r>
    </w:p>
    <w:p w14:paraId="7C7F3F23" w14:textId="72F4A6F1" w:rsidR="00A951D0" w:rsidRPr="00362EA8" w:rsidRDefault="00C8367A" w:rsidP="001811B8">
      <w:pPr>
        <w:pStyle w:val="Prrafodelista"/>
        <w:numPr>
          <w:ilvl w:val="0"/>
          <w:numId w:val="18"/>
        </w:numPr>
        <w:spacing w:line="360" w:lineRule="auto"/>
        <w:ind w:right="6"/>
        <w:jc w:val="both"/>
        <w:rPr>
          <w:rFonts w:ascii="Arial" w:hAnsi="Arial"/>
          <w:b/>
          <w:bCs/>
          <w:highlight w:val="yellow"/>
        </w:rPr>
      </w:pPr>
      <w:r w:rsidRPr="00362EA8">
        <w:rPr>
          <w:rFonts w:ascii="Arial" w:hAnsi="Arial"/>
          <w:highlight w:val="yellow"/>
        </w:rPr>
        <w:t xml:space="preserve">Tasación (100% de lo desembolsado): importa </w:t>
      </w:r>
      <w:r w:rsidR="00EB48EA">
        <w:rPr>
          <w:rFonts w:ascii="Arial" w:hAnsi="Arial"/>
          <w:b/>
          <w:bCs/>
          <w:highlight w:val="yellow"/>
        </w:rPr>
        <w:fldChar w:fldCharType="begin"/>
      </w:r>
      <w:r w:rsidR="00EB48EA">
        <w:rPr>
          <w:rFonts w:ascii="Arial" w:hAnsi="Arial"/>
          <w:b/>
          <w:bCs/>
          <w:highlight w:val="yellow"/>
        </w:rPr>
        <w:instrText>persovalores_personalizable1283</w:instrText>
      </w:r>
      <w:r w:rsidR="00EB48EA">
        <w:rPr>
          <w:rFonts w:ascii="Arial" w:hAnsi="Arial"/>
          <w:b/>
          <w:bCs/>
          <w:highlight w:val="yellow"/>
        </w:rPr>
        <w:fldChar w:fldCharType="separate"/>
      </w:r>
      <w:r w:rsidR="00EB48EA">
        <w:rPr>
          <w:rFonts w:ascii="Arial" w:hAnsi="Arial"/>
          <w:b/>
          <w:bCs/>
          <w:noProof/>
          <w:highlight w:val="yellow"/>
        </w:rPr>
        <w:t>«BANKINTER_CLAUSULAS_TASACIÓN_RECLAMADA»</w:t>
      </w:r>
      <w:r w:rsidR="00EB48EA">
        <w:rPr>
          <w:rFonts w:ascii="Arial" w:hAnsi="Arial"/>
          <w:b/>
          <w:bCs/>
          <w:highlight w:val="yellow"/>
        </w:rPr>
        <w:fldChar w:fldCharType="end"/>
      </w:r>
      <w:r w:rsidR="00EB48EA">
        <w:rPr>
          <w:rFonts w:ascii="Arial" w:hAnsi="Arial"/>
          <w:b/>
          <w:bCs/>
          <w:highlight w:val="yellow"/>
        </w:rPr>
        <w:t xml:space="preserve"> </w:t>
      </w:r>
      <w:r w:rsidRPr="00362EA8">
        <w:rPr>
          <w:rFonts w:ascii="Arial" w:hAnsi="Arial"/>
          <w:b/>
          <w:bCs/>
          <w:highlight w:val="yellow"/>
        </w:rPr>
        <w:t xml:space="preserve">euros. </w:t>
      </w:r>
    </w:p>
    <w:p w14:paraId="57C943AD" w14:textId="2753ABA1" w:rsidR="00B842FC" w:rsidRPr="001811B8" w:rsidRDefault="00B842FC" w:rsidP="001811B8">
      <w:pPr>
        <w:suppressAutoHyphens/>
        <w:spacing w:line="360" w:lineRule="auto"/>
        <w:ind w:right="6"/>
        <w:jc w:val="both"/>
        <w:rPr>
          <w:rFonts w:ascii="Arial" w:hAnsi="Arial" w:cs="Arial"/>
          <w:color w:val="auto"/>
        </w:rPr>
      </w:pPr>
    </w:p>
    <w:p w14:paraId="1729923C" w14:textId="77777777" w:rsidR="00BD7CC7" w:rsidRPr="00BD7CC7" w:rsidRDefault="00BD7CC7" w:rsidP="00BD7CC7">
      <w:pPr>
        <w:suppressAutoHyphens/>
        <w:spacing w:line="360" w:lineRule="auto"/>
        <w:ind w:right="6"/>
        <w:jc w:val="both"/>
        <w:rPr>
          <w:rFonts w:ascii="Arial" w:hAnsi="Arial" w:cs="Arial"/>
          <w:bCs/>
          <w:color w:val="auto"/>
        </w:rPr>
      </w:pPr>
      <w:r w:rsidRPr="00BD7CC7">
        <w:rPr>
          <w:rFonts w:ascii="Arial" w:hAnsi="Arial" w:cs="Arial"/>
          <w:bCs/>
          <w:color w:val="auto"/>
        </w:rPr>
        <w:t>Habida cuenta del momento de formalización del préstamo hipotecario que nos ocupa, del momento que fueron abonados los distintos conceptos cuyos importes hoy se reclaman y la fecha de interposición de la Demanda, resulta que al tiempo de ejercitarse las acciones judiciales que traen causa la de reclamación de cantidad se encuentra más que prescrita por mor del artículo 1964 del Código Civil, lo que debería de dar lugar, cuanto menos, a la desestimación de la pretensión condenatoria.</w:t>
      </w:r>
    </w:p>
    <w:p w14:paraId="7F635FC3" w14:textId="4D9B1FF0" w:rsidR="000F76CB" w:rsidRPr="001811B8" w:rsidRDefault="000F76CB" w:rsidP="001811B8">
      <w:pPr>
        <w:suppressAutoHyphens/>
        <w:spacing w:line="360" w:lineRule="auto"/>
        <w:ind w:right="6"/>
        <w:jc w:val="both"/>
        <w:rPr>
          <w:rFonts w:ascii="Arial" w:hAnsi="Arial" w:cs="Arial"/>
          <w:bCs/>
          <w:color w:val="auto"/>
        </w:rPr>
      </w:pPr>
    </w:p>
    <w:p w14:paraId="21032AE0" w14:textId="174B6A79" w:rsidR="004F2038" w:rsidRDefault="00A951D0" w:rsidP="001811B8">
      <w:pPr>
        <w:suppressAutoHyphens/>
        <w:spacing w:line="360" w:lineRule="auto"/>
        <w:ind w:right="6"/>
        <w:jc w:val="both"/>
        <w:rPr>
          <w:rFonts w:ascii="Arial" w:hAnsi="Arial" w:cs="Arial"/>
          <w:b/>
          <w:bCs/>
          <w:color w:val="auto"/>
          <w:u w:val="single"/>
        </w:rPr>
      </w:pPr>
      <w:r w:rsidRPr="001811B8">
        <w:rPr>
          <w:rFonts w:ascii="Arial" w:hAnsi="Arial" w:cs="Arial"/>
          <w:bCs/>
          <w:color w:val="auto"/>
        </w:rPr>
        <w:t>En consecuencia,</w:t>
      </w:r>
      <w:r w:rsidRPr="001811B8">
        <w:rPr>
          <w:rFonts w:ascii="Arial" w:hAnsi="Arial" w:cs="Arial"/>
          <w:b/>
          <w:bCs/>
          <w:color w:val="auto"/>
        </w:rPr>
        <w:t xml:space="preserve"> </w:t>
      </w:r>
      <w:r w:rsidRPr="001811B8">
        <w:rPr>
          <w:rFonts w:ascii="Arial" w:hAnsi="Arial" w:cs="Arial"/>
          <w:bCs/>
          <w:color w:val="auto"/>
        </w:rPr>
        <w:t>es por lo que</w:t>
      </w:r>
      <w:r w:rsidRPr="001811B8">
        <w:rPr>
          <w:rFonts w:ascii="Arial" w:hAnsi="Arial" w:cs="Arial"/>
          <w:b/>
          <w:bCs/>
          <w:color w:val="auto"/>
        </w:rPr>
        <w:t xml:space="preserve"> </w:t>
      </w:r>
      <w:r w:rsidRPr="001811B8">
        <w:rPr>
          <w:rFonts w:ascii="Arial" w:hAnsi="Arial" w:cs="Arial"/>
          <w:b/>
          <w:bCs/>
          <w:color w:val="auto"/>
          <w:highlight w:val="yellow"/>
        </w:rPr>
        <w:t>esta parte</w:t>
      </w:r>
      <w:r w:rsidR="00BD7CC7">
        <w:rPr>
          <w:rFonts w:ascii="Arial" w:hAnsi="Arial" w:cs="Arial"/>
          <w:b/>
          <w:bCs/>
          <w:color w:val="auto"/>
          <w:highlight w:val="yellow"/>
        </w:rPr>
        <w:t xml:space="preserve"> demandada se allana únicamente a la declaración de nulidad de la cláusula gastos, no a la restitución de </w:t>
      </w:r>
      <w:r w:rsidR="005A4B7A">
        <w:rPr>
          <w:rFonts w:ascii="Arial" w:hAnsi="Arial" w:cs="Arial"/>
          <w:b/>
          <w:bCs/>
          <w:color w:val="auto"/>
          <w:highlight w:val="yellow"/>
        </w:rPr>
        <w:t>los importes abonados</w:t>
      </w:r>
      <w:r w:rsidR="00BD7CC7">
        <w:rPr>
          <w:rFonts w:ascii="Arial" w:hAnsi="Arial" w:cs="Arial"/>
          <w:b/>
          <w:bCs/>
          <w:color w:val="auto"/>
          <w:highlight w:val="yellow"/>
        </w:rPr>
        <w:t xml:space="preserve"> en virtud de esta al encontrarse la acción de restitución </w:t>
      </w:r>
      <w:r w:rsidR="00BD7CC7" w:rsidRPr="008175AB">
        <w:rPr>
          <w:rFonts w:ascii="Arial" w:hAnsi="Arial" w:cs="Arial"/>
          <w:b/>
          <w:bCs/>
          <w:color w:val="auto"/>
          <w:highlight w:val="yellow"/>
        </w:rPr>
        <w:t>prescrita</w:t>
      </w:r>
      <w:r w:rsidR="000F76CB" w:rsidRPr="008175AB">
        <w:rPr>
          <w:rFonts w:ascii="Arial" w:hAnsi="Arial" w:cs="Arial"/>
          <w:b/>
          <w:bCs/>
          <w:color w:val="auto"/>
          <w:highlight w:val="yellow"/>
          <w:u w:val="single"/>
        </w:rPr>
        <w:t>.</w:t>
      </w:r>
      <w:r w:rsidR="000F76CB" w:rsidRPr="001811B8">
        <w:rPr>
          <w:rFonts w:ascii="Arial" w:hAnsi="Arial" w:cs="Arial"/>
          <w:b/>
          <w:bCs/>
          <w:color w:val="auto"/>
          <w:u w:val="single"/>
        </w:rPr>
        <w:t xml:space="preserve"> </w:t>
      </w:r>
    </w:p>
    <w:p w14:paraId="39F8EC83" w14:textId="0918B4C0" w:rsidR="00BD7CC7" w:rsidRDefault="00BD7CC7" w:rsidP="001811B8">
      <w:pPr>
        <w:suppressAutoHyphens/>
        <w:spacing w:line="360" w:lineRule="auto"/>
        <w:ind w:right="6"/>
        <w:jc w:val="both"/>
        <w:rPr>
          <w:rFonts w:ascii="Arial" w:hAnsi="Arial" w:cs="Arial"/>
          <w:b/>
          <w:bCs/>
          <w:color w:val="auto"/>
          <w:u w:val="single"/>
        </w:rPr>
      </w:pPr>
    </w:p>
    <w:p w14:paraId="59D70A8C" w14:textId="77777777" w:rsidR="00362EA8" w:rsidRDefault="00362EA8" w:rsidP="001811B8">
      <w:pPr>
        <w:suppressAutoHyphens/>
        <w:spacing w:line="360" w:lineRule="auto"/>
        <w:ind w:right="6"/>
        <w:jc w:val="both"/>
        <w:rPr>
          <w:rFonts w:ascii="Arial" w:hAnsi="Arial" w:cs="Arial"/>
          <w:b/>
          <w:bCs/>
          <w:color w:val="auto"/>
          <w:u w:val="single"/>
        </w:rPr>
      </w:pPr>
    </w:p>
    <w:p w14:paraId="62B6322B" w14:textId="0D7A7234" w:rsidR="00BD7CC7" w:rsidRDefault="00BD7CC7" w:rsidP="00BD7CC7">
      <w:pPr>
        <w:suppressAutoHyphens/>
        <w:spacing w:line="360" w:lineRule="auto"/>
        <w:ind w:right="6"/>
        <w:jc w:val="center"/>
        <w:rPr>
          <w:rFonts w:ascii="Arial" w:hAnsi="Arial" w:cs="Arial"/>
          <w:b/>
          <w:bCs/>
          <w:color w:val="auto"/>
        </w:rPr>
      </w:pPr>
      <w:r w:rsidRPr="00BD7CC7">
        <w:rPr>
          <w:rFonts w:ascii="Arial" w:hAnsi="Arial" w:cs="Arial"/>
          <w:b/>
          <w:bCs/>
          <w:color w:val="auto"/>
        </w:rPr>
        <w:t>II</w:t>
      </w:r>
    </w:p>
    <w:p w14:paraId="17EB9BA7" w14:textId="77777777" w:rsidR="008175AB" w:rsidRDefault="008175AB" w:rsidP="00BD7CC7">
      <w:pPr>
        <w:suppressAutoHyphens/>
        <w:spacing w:line="360" w:lineRule="auto"/>
        <w:ind w:right="6"/>
        <w:jc w:val="center"/>
        <w:rPr>
          <w:rFonts w:ascii="Arial" w:hAnsi="Arial" w:cs="Arial"/>
          <w:b/>
          <w:bCs/>
          <w:color w:val="auto"/>
        </w:rPr>
      </w:pPr>
    </w:p>
    <w:p w14:paraId="6F0E0AC7" w14:textId="4DD10B3F" w:rsidR="008175AB" w:rsidRDefault="008175AB" w:rsidP="008175AB">
      <w:pPr>
        <w:suppressAutoHyphens/>
        <w:spacing w:line="360" w:lineRule="auto"/>
        <w:ind w:right="6"/>
        <w:jc w:val="both"/>
        <w:rPr>
          <w:rFonts w:ascii="Arial" w:hAnsi="Arial" w:cs="Arial"/>
          <w:b/>
          <w:bCs/>
          <w:color w:val="auto"/>
        </w:rPr>
      </w:pPr>
      <w:r w:rsidRPr="008175AB">
        <w:rPr>
          <w:rFonts w:ascii="Arial" w:hAnsi="Arial" w:cs="Arial"/>
          <w:b/>
          <w:bCs/>
          <w:color w:val="auto"/>
          <w:highlight w:val="cyan"/>
        </w:rPr>
        <w:t>PARA PRÉSTAMOS HIPOTECARIOS ANTERIOR A 21 DE ENERO DE 2016</w:t>
      </w:r>
    </w:p>
    <w:p w14:paraId="2556C524" w14:textId="77777777" w:rsidR="00BD7CC7" w:rsidRPr="00177619" w:rsidRDefault="00BD7CC7" w:rsidP="00BD7CC7">
      <w:pPr>
        <w:spacing w:before="240" w:after="240" w:line="360" w:lineRule="auto"/>
        <w:ind w:left="1410" w:hanging="1410"/>
        <w:jc w:val="both"/>
        <w:rPr>
          <w:rFonts w:ascii="Arial" w:hAnsi="Arial" w:cs="Arial"/>
          <w:b/>
          <w:u w:val="single"/>
        </w:rPr>
      </w:pPr>
      <w:r w:rsidRPr="00177619">
        <w:rPr>
          <w:rFonts w:ascii="Arial" w:hAnsi="Arial" w:cs="Arial"/>
          <w:b/>
          <w:u w:val="single"/>
        </w:rPr>
        <w:t xml:space="preserve">La acción restitutoria ejercitada de contrario se encuentra prescrita </w:t>
      </w:r>
    </w:p>
    <w:p w14:paraId="0CD5CC79" w14:textId="77777777" w:rsidR="00BD7CC7" w:rsidRPr="00BE758C" w:rsidRDefault="00BD7CC7" w:rsidP="00BD7CC7">
      <w:pPr>
        <w:pStyle w:val="Prrafodelista"/>
        <w:numPr>
          <w:ilvl w:val="0"/>
          <w:numId w:val="10"/>
        </w:numPr>
        <w:suppressAutoHyphens w:val="0"/>
        <w:spacing w:before="240" w:after="240" w:line="360" w:lineRule="auto"/>
        <w:ind w:left="567" w:hanging="567"/>
        <w:contextualSpacing w:val="0"/>
        <w:jc w:val="both"/>
        <w:rPr>
          <w:rFonts w:ascii="Arial" w:hAnsi="Arial"/>
          <w:b/>
          <w:color w:val="000000"/>
          <w:szCs w:val="20"/>
        </w:rPr>
      </w:pPr>
      <w:r w:rsidRPr="00BE758C">
        <w:rPr>
          <w:rFonts w:ascii="Arial" w:hAnsi="Arial"/>
          <w:b/>
          <w:color w:val="000000"/>
          <w:szCs w:val="20"/>
        </w:rPr>
        <w:t xml:space="preserve">Introducción </w:t>
      </w:r>
    </w:p>
    <w:p w14:paraId="011201FF"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Como ya se ha tenido oportunidad de indicar en el presente escrito, de contrario se ejercitan dos acciones: por un </w:t>
      </w:r>
      <w:proofErr w:type="gramStart"/>
      <w:r w:rsidRPr="00BE758C">
        <w:rPr>
          <w:rFonts w:ascii="Arial" w:hAnsi="Arial" w:cs="Arial"/>
        </w:rPr>
        <w:t>lado</w:t>
      </w:r>
      <w:proofErr w:type="gramEnd"/>
      <w:r w:rsidRPr="00BE758C">
        <w:rPr>
          <w:rFonts w:ascii="Arial" w:hAnsi="Arial" w:cs="Arial"/>
        </w:rPr>
        <w:t xml:space="preserve"> una acción declarativa de nulidad de condición general de contratación, fundada en la eventual </w:t>
      </w:r>
      <w:proofErr w:type="spellStart"/>
      <w:r w:rsidRPr="00BE758C">
        <w:rPr>
          <w:rFonts w:ascii="Arial" w:hAnsi="Arial" w:cs="Arial"/>
        </w:rPr>
        <w:t>abusividad</w:t>
      </w:r>
      <w:proofErr w:type="spellEnd"/>
      <w:r w:rsidRPr="00BE758C">
        <w:rPr>
          <w:rFonts w:ascii="Arial" w:hAnsi="Arial" w:cs="Arial"/>
        </w:rPr>
        <w:t xml:space="preserve"> de la cláusula </w:t>
      </w:r>
      <w:r w:rsidRPr="00BE758C">
        <w:rPr>
          <w:rFonts w:ascii="Arial" w:hAnsi="Arial" w:cs="Arial"/>
          <w:highlight w:val="yellow"/>
        </w:rPr>
        <w:t>de imposición de gastos</w:t>
      </w:r>
      <w:r w:rsidRPr="00BE758C">
        <w:rPr>
          <w:rFonts w:ascii="Arial" w:hAnsi="Arial" w:cs="Arial"/>
        </w:rPr>
        <w:t xml:space="preserve">, a la cual se acumula una acción restitutoria dirigida al reembolso </w:t>
      </w:r>
      <w:r w:rsidRPr="00BE758C">
        <w:rPr>
          <w:rFonts w:ascii="Arial" w:hAnsi="Arial" w:cs="Arial"/>
          <w:highlight w:val="yellow"/>
        </w:rPr>
        <w:t>de los gastos</w:t>
      </w:r>
      <w:r w:rsidRPr="00BE758C">
        <w:rPr>
          <w:rFonts w:ascii="Arial" w:hAnsi="Arial" w:cs="Arial"/>
        </w:rPr>
        <w:t xml:space="preserve"> de constitución de hipoteca abonados por la parte actora con sus intereses legales. </w:t>
      </w:r>
    </w:p>
    <w:p w14:paraId="2AE3446B" w14:textId="77777777" w:rsidR="00BD7CC7" w:rsidRDefault="00BD7CC7" w:rsidP="00BD7CC7">
      <w:pPr>
        <w:spacing w:before="240" w:after="240" w:line="360" w:lineRule="auto"/>
        <w:jc w:val="both"/>
        <w:rPr>
          <w:rFonts w:ascii="Arial" w:hAnsi="Arial" w:cs="Arial"/>
        </w:rPr>
      </w:pPr>
      <w:r w:rsidRPr="00BE758C">
        <w:rPr>
          <w:rFonts w:ascii="Arial" w:hAnsi="Arial" w:cs="Arial"/>
        </w:rPr>
        <w:t>Dichas acciones, como se verá a continuación son acciones diferentes e independientes que se rigen por diferentes criterios en materia de prescripción. Así, mientras la jurisprudencia viene considerando como principio asentado que la acción declarativa de nulidad de condición general de contratación no estaría sujeta a ningún plazo de prescripción; la acción restitutoria de las prestaciones realizadas en virtud de la condición declarada nula sí sería prescriptible a la vista de nuestro Código Civil y la jurisprudencia en la materia.</w:t>
      </w:r>
    </w:p>
    <w:p w14:paraId="3DA40864" w14:textId="77777777" w:rsidR="00362EA8" w:rsidRDefault="00362EA8" w:rsidP="00BD7CC7">
      <w:pPr>
        <w:spacing w:before="240" w:after="240" w:line="360" w:lineRule="auto"/>
        <w:jc w:val="both"/>
        <w:rPr>
          <w:rFonts w:ascii="Arial" w:hAnsi="Arial" w:cs="Arial"/>
        </w:rPr>
      </w:pPr>
    </w:p>
    <w:p w14:paraId="0C029C2E" w14:textId="77777777" w:rsidR="00362EA8" w:rsidRDefault="00362EA8" w:rsidP="00BD7CC7">
      <w:pPr>
        <w:spacing w:before="240" w:after="240" w:line="360" w:lineRule="auto"/>
        <w:jc w:val="both"/>
        <w:rPr>
          <w:rFonts w:ascii="Arial" w:hAnsi="Arial" w:cs="Arial"/>
        </w:rPr>
      </w:pPr>
    </w:p>
    <w:p w14:paraId="1717CCD7" w14:textId="77777777" w:rsidR="00362EA8" w:rsidRPr="00BE758C" w:rsidRDefault="00362EA8" w:rsidP="00BD7CC7">
      <w:pPr>
        <w:spacing w:before="240" w:after="240" w:line="360" w:lineRule="auto"/>
        <w:jc w:val="both"/>
        <w:rPr>
          <w:rFonts w:ascii="Arial" w:hAnsi="Arial" w:cs="Arial"/>
        </w:rPr>
      </w:pPr>
    </w:p>
    <w:p w14:paraId="6BC479DD"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Sentado lo anterior, veremos que la acción restitutoria está sujeta al plazo de prescripción de 5 años (tras la reforma de la </w:t>
      </w:r>
      <w:hyperlink r:id="rId8" w:tooltip="enlace" w:history="1">
        <w:r w:rsidRPr="00BE758C">
          <w:rPr>
            <w:rFonts w:ascii="Arial" w:hAnsi="Arial" w:cs="Arial"/>
          </w:rPr>
          <w:t>Ley 42/2015, de 5 de octubre</w:t>
        </w:r>
        <w:r w:rsidRPr="00BE758C">
          <w:rPr>
            <w:rStyle w:val="Refdenotaalpie"/>
            <w:rFonts w:cs="Arial"/>
          </w:rPr>
          <w:footnoteReference w:id="1"/>
        </w:r>
      </w:hyperlink>
      <w:r w:rsidRPr="00BE758C">
        <w:rPr>
          <w:rFonts w:ascii="Arial" w:hAnsi="Arial" w:cs="Arial"/>
        </w:rPr>
        <w:t xml:space="preserve">) previsto en el artículo 1964 CC, plazo que cumple con los criterios de seguridad jurídica, equivalencia y equidad que exige el TJUE en relación con acciones ejercitadas con base en la Directiva 93/13. Veremos igualmente que el </w:t>
      </w:r>
      <w:proofErr w:type="spellStart"/>
      <w:r w:rsidRPr="00BE758C">
        <w:rPr>
          <w:rFonts w:ascii="Arial" w:hAnsi="Arial" w:cs="Arial"/>
          <w:i/>
          <w:iCs/>
        </w:rPr>
        <w:t>dies</w:t>
      </w:r>
      <w:proofErr w:type="spellEnd"/>
      <w:r w:rsidRPr="00BE758C">
        <w:rPr>
          <w:rFonts w:ascii="Arial" w:hAnsi="Arial" w:cs="Arial"/>
          <w:i/>
          <w:iCs/>
        </w:rPr>
        <w:t xml:space="preserve"> a quo</w:t>
      </w:r>
      <w:r w:rsidRPr="00BE758C">
        <w:rPr>
          <w:rFonts w:ascii="Arial" w:hAnsi="Arial" w:cs="Arial"/>
        </w:rPr>
        <w:t xml:space="preserve"> para computar el referido plazo de prescripción es el momento en que la parte actora tuvo conocimiento de la potencial </w:t>
      </w:r>
      <w:proofErr w:type="spellStart"/>
      <w:r w:rsidRPr="00BE758C">
        <w:rPr>
          <w:rFonts w:ascii="Arial" w:hAnsi="Arial" w:cs="Arial"/>
        </w:rPr>
        <w:t>abusividad</w:t>
      </w:r>
      <w:proofErr w:type="spellEnd"/>
      <w:r w:rsidRPr="00BE758C">
        <w:rPr>
          <w:rFonts w:ascii="Arial" w:hAnsi="Arial" w:cs="Arial"/>
        </w:rPr>
        <w:t xml:space="preserve"> y estuvo en condiciones de ejercitar la acción.</w:t>
      </w:r>
    </w:p>
    <w:p w14:paraId="703C8D2F" w14:textId="23D0920A" w:rsidR="00BD7CC7" w:rsidRPr="00BE758C" w:rsidRDefault="00BD7CC7" w:rsidP="00BD7CC7">
      <w:pPr>
        <w:spacing w:before="240" w:after="240" w:line="360" w:lineRule="auto"/>
        <w:jc w:val="both"/>
        <w:rPr>
          <w:rFonts w:ascii="Arial" w:hAnsi="Arial" w:cs="Arial"/>
        </w:rPr>
      </w:pPr>
      <w:r w:rsidRPr="00BE758C">
        <w:rPr>
          <w:rFonts w:ascii="Arial" w:hAnsi="Arial" w:cs="Arial"/>
        </w:rPr>
        <w:t>Aplicando lo anterior al presente supuesto, esta parte acreditará que la acción restitutoria fue ejercitada sobrepasado el plazo de prescripción aplicable. En consecuencia, aun cuando prosperase la acción declarativa de nulidad, en ningún caso podrá prosperar la acción de restitución ejercitada de contrario.</w:t>
      </w:r>
    </w:p>
    <w:p w14:paraId="5E01440D" w14:textId="77777777" w:rsidR="00BD7CC7" w:rsidRPr="00BE758C" w:rsidRDefault="00BD7CC7" w:rsidP="00BD7CC7">
      <w:pPr>
        <w:pStyle w:val="Prrafodelista"/>
        <w:numPr>
          <w:ilvl w:val="0"/>
          <w:numId w:val="10"/>
        </w:numPr>
        <w:suppressAutoHyphens w:val="0"/>
        <w:spacing w:before="240" w:after="240" w:line="360" w:lineRule="auto"/>
        <w:ind w:left="567" w:hanging="567"/>
        <w:contextualSpacing w:val="0"/>
        <w:jc w:val="both"/>
        <w:rPr>
          <w:rFonts w:ascii="Arial" w:hAnsi="Arial"/>
          <w:color w:val="000000"/>
          <w:szCs w:val="20"/>
        </w:rPr>
      </w:pPr>
      <w:r w:rsidRPr="00BE758C">
        <w:rPr>
          <w:rFonts w:ascii="Arial" w:hAnsi="Arial"/>
          <w:b/>
          <w:color w:val="000000"/>
          <w:szCs w:val="20"/>
        </w:rPr>
        <w:t xml:space="preserve">La acción declarativa de </w:t>
      </w:r>
      <w:proofErr w:type="spellStart"/>
      <w:r w:rsidRPr="00BE758C">
        <w:rPr>
          <w:rFonts w:ascii="Arial" w:hAnsi="Arial"/>
          <w:b/>
          <w:color w:val="000000"/>
          <w:szCs w:val="20"/>
        </w:rPr>
        <w:t>abusividad</w:t>
      </w:r>
      <w:proofErr w:type="spellEnd"/>
      <w:r w:rsidRPr="00BE758C">
        <w:rPr>
          <w:rFonts w:ascii="Arial" w:hAnsi="Arial"/>
          <w:b/>
          <w:color w:val="000000"/>
          <w:szCs w:val="20"/>
        </w:rPr>
        <w:t xml:space="preserve"> y la acción restitutoria son acciones autónomas</w:t>
      </w:r>
    </w:p>
    <w:p w14:paraId="719C89DA" w14:textId="77777777" w:rsidR="00BD7CC7" w:rsidRDefault="00BD7CC7" w:rsidP="00BD7CC7">
      <w:pPr>
        <w:spacing w:before="240" w:after="240" w:line="360" w:lineRule="auto"/>
        <w:jc w:val="both"/>
        <w:rPr>
          <w:rFonts w:ascii="Arial" w:hAnsi="Arial" w:cs="Arial"/>
        </w:rPr>
      </w:pPr>
      <w:r w:rsidRPr="00BE758C">
        <w:rPr>
          <w:rFonts w:ascii="Arial" w:hAnsi="Arial" w:cs="Arial"/>
        </w:rPr>
        <w:t xml:space="preserve">La acción declarativa de </w:t>
      </w:r>
      <w:proofErr w:type="spellStart"/>
      <w:r w:rsidRPr="00BE758C">
        <w:rPr>
          <w:rFonts w:ascii="Arial" w:hAnsi="Arial" w:cs="Arial"/>
        </w:rPr>
        <w:t>abusividad</w:t>
      </w:r>
      <w:proofErr w:type="spellEnd"/>
      <w:r w:rsidRPr="00BE758C">
        <w:rPr>
          <w:rFonts w:ascii="Arial" w:hAnsi="Arial" w:cs="Arial"/>
        </w:rPr>
        <w:t xml:space="preserve"> y la acción de remoción de efectos o restitución de ventajas son dos acciones autónomas e independientes, que responden a distintas causas de pedir: por un lado, la nulidad con base en la </w:t>
      </w:r>
      <w:proofErr w:type="spellStart"/>
      <w:r w:rsidRPr="00BE758C">
        <w:rPr>
          <w:rFonts w:ascii="Arial" w:hAnsi="Arial" w:cs="Arial"/>
        </w:rPr>
        <w:t>abusividad</w:t>
      </w:r>
      <w:proofErr w:type="spellEnd"/>
      <w:r w:rsidRPr="00BE758C">
        <w:rPr>
          <w:rFonts w:ascii="Arial" w:hAnsi="Arial" w:cs="Arial"/>
        </w:rPr>
        <w:t xml:space="preserve"> de la cláusula, y, por otro lado, la restitución de las cantidades satisfechas en virtud de la cláusula declarada abusiva.</w:t>
      </w:r>
    </w:p>
    <w:p w14:paraId="1D6155F3"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Hay que matizar, eso sí, </w:t>
      </w:r>
      <w:proofErr w:type="gramStart"/>
      <w:r w:rsidRPr="00BE758C">
        <w:rPr>
          <w:rFonts w:ascii="Arial" w:hAnsi="Arial" w:cs="Arial"/>
        </w:rPr>
        <w:t>que</w:t>
      </w:r>
      <w:proofErr w:type="gramEnd"/>
      <w:r w:rsidRPr="00BE758C">
        <w:rPr>
          <w:rFonts w:ascii="Arial" w:hAnsi="Arial" w:cs="Arial"/>
        </w:rPr>
        <w:t xml:space="preserve"> aunque con carácter genérico se habla de “declaración de nulidad”, la Directiva 93/13 no regula ni hace mención a ninguna acción de nulidad. El artículo 6, apartado 1 de la Directiva 93/13 dispone que las cláusulas abusivas que figuren en un contrato celebrado entre un consumidor y un profesional “</w:t>
      </w:r>
      <w:r w:rsidRPr="00BE758C">
        <w:rPr>
          <w:rFonts w:ascii="Arial" w:hAnsi="Arial" w:cs="Arial"/>
          <w:i/>
        </w:rPr>
        <w:t xml:space="preserve">no vincularán al </w:t>
      </w:r>
      <w:r w:rsidRPr="00BE758C">
        <w:rPr>
          <w:rFonts w:ascii="Arial" w:hAnsi="Arial" w:cs="Arial"/>
          <w:i/>
          <w:iCs/>
        </w:rPr>
        <w:t>consumidor</w:t>
      </w:r>
      <w:r w:rsidRPr="00BE758C">
        <w:rPr>
          <w:rFonts w:ascii="Arial" w:hAnsi="Arial" w:cs="Arial"/>
        </w:rPr>
        <w:t>”. Al aplicar este principio de “no vinculación”, tanto las Directrices para la interpretación y aplicación de la Directiva 93/13 elaboradas por la Comisión Europea</w:t>
      </w:r>
      <w:r w:rsidRPr="00BE758C">
        <w:rPr>
          <w:rStyle w:val="Refdenotaalpie"/>
          <w:rFonts w:cs="Arial"/>
        </w:rPr>
        <w:footnoteReference w:id="2"/>
      </w:r>
      <w:r w:rsidRPr="00BE758C">
        <w:rPr>
          <w:rFonts w:ascii="Arial" w:hAnsi="Arial" w:cs="Arial"/>
        </w:rPr>
        <w:t xml:space="preserve"> (“</w:t>
      </w:r>
      <w:r w:rsidRPr="00BE758C">
        <w:rPr>
          <w:rFonts w:ascii="Arial" w:hAnsi="Arial" w:cs="Arial"/>
          <w:b/>
        </w:rPr>
        <w:t>Directrices de la Comisión</w:t>
      </w:r>
      <w:r w:rsidRPr="00BE758C">
        <w:rPr>
          <w:rFonts w:ascii="Arial" w:hAnsi="Arial" w:cs="Arial"/>
        </w:rPr>
        <w:t xml:space="preserve">”) como el TJUE distinguen entre dos aspectos distintos: (i) la declaración de </w:t>
      </w:r>
      <w:proofErr w:type="spellStart"/>
      <w:r w:rsidRPr="00BE758C">
        <w:rPr>
          <w:rFonts w:ascii="Arial" w:hAnsi="Arial" w:cs="Arial"/>
        </w:rPr>
        <w:t>abusividad</w:t>
      </w:r>
      <w:proofErr w:type="spellEnd"/>
      <w:r w:rsidRPr="00BE758C">
        <w:rPr>
          <w:rFonts w:ascii="Arial" w:hAnsi="Arial" w:cs="Arial"/>
        </w:rPr>
        <w:t xml:space="preserve"> y (</w:t>
      </w:r>
      <w:proofErr w:type="spellStart"/>
      <w:r w:rsidRPr="00BE758C">
        <w:rPr>
          <w:rFonts w:ascii="Arial" w:hAnsi="Arial" w:cs="Arial"/>
        </w:rPr>
        <w:t>ii</w:t>
      </w:r>
      <w:proofErr w:type="spellEnd"/>
      <w:r w:rsidRPr="00BE758C">
        <w:rPr>
          <w:rFonts w:ascii="Arial" w:hAnsi="Arial" w:cs="Arial"/>
        </w:rPr>
        <w:t xml:space="preserve">) la remoción de los efectos que haya producido la cláusula abusiva hasta el momento, en el sentido de restitución de las ventajas obtenidas en aplicación de dicha cláusula. </w:t>
      </w:r>
    </w:p>
    <w:p w14:paraId="3A2B1887" w14:textId="77777777" w:rsidR="00BD7CC7" w:rsidRDefault="00BD7CC7" w:rsidP="00BD7CC7">
      <w:pPr>
        <w:spacing w:before="240" w:after="240" w:line="360" w:lineRule="auto"/>
        <w:jc w:val="both"/>
        <w:rPr>
          <w:rFonts w:ascii="Arial" w:hAnsi="Arial" w:cs="Arial"/>
        </w:rPr>
      </w:pPr>
      <w:r w:rsidRPr="00BE758C">
        <w:rPr>
          <w:rFonts w:ascii="Arial" w:hAnsi="Arial" w:cs="Arial"/>
        </w:rPr>
        <w:t>Respecto de la remoción de los efectos que se han producido de manera efectiva en la relación contractual en aplicación de la cláusula declarada abusiva (“</w:t>
      </w:r>
      <w:r w:rsidRPr="00BE758C">
        <w:rPr>
          <w:rFonts w:ascii="Arial" w:hAnsi="Arial" w:cs="Arial"/>
          <w:u w:val="single"/>
        </w:rPr>
        <w:t>restitución de ventajas obtenidas mediante cláusulas contractuales abusivas</w:t>
      </w:r>
      <w:r w:rsidRPr="00BE758C">
        <w:rPr>
          <w:rFonts w:ascii="Arial" w:hAnsi="Arial" w:cs="Arial"/>
        </w:rPr>
        <w:t>”, en palabras de la Comisión</w:t>
      </w:r>
      <w:r w:rsidRPr="00BE758C">
        <w:rPr>
          <w:rStyle w:val="Refdenotaalpie"/>
          <w:rFonts w:cs="Arial"/>
        </w:rPr>
        <w:footnoteReference w:id="3"/>
      </w:r>
      <w:r w:rsidRPr="00BE758C">
        <w:rPr>
          <w:rFonts w:ascii="Arial" w:hAnsi="Arial" w:cs="Arial"/>
        </w:rPr>
        <w:t xml:space="preserve">) no es automática o </w:t>
      </w:r>
      <w:r w:rsidRPr="00BE758C">
        <w:rPr>
          <w:rFonts w:ascii="Arial" w:hAnsi="Arial" w:cs="Arial"/>
        </w:rPr>
        <w:lastRenderedPageBreak/>
        <w:t xml:space="preserve">inherente a la propia declaración de </w:t>
      </w:r>
      <w:proofErr w:type="spellStart"/>
      <w:r w:rsidRPr="00BE758C">
        <w:rPr>
          <w:rFonts w:ascii="Arial" w:hAnsi="Arial" w:cs="Arial"/>
        </w:rPr>
        <w:t>abusividad</w:t>
      </w:r>
      <w:proofErr w:type="spellEnd"/>
      <w:r w:rsidRPr="00BE758C">
        <w:rPr>
          <w:rFonts w:ascii="Arial" w:hAnsi="Arial" w:cs="Arial"/>
        </w:rPr>
        <w:t xml:space="preserve">, sino que </w:t>
      </w:r>
      <w:r w:rsidRPr="00BE758C">
        <w:rPr>
          <w:rFonts w:ascii="Arial" w:hAnsi="Arial" w:cs="Arial"/>
          <w:u w:val="single"/>
        </w:rPr>
        <w:t>responde a una acción autónoma y accesoria a la declarativa</w:t>
      </w:r>
      <w:r w:rsidRPr="00BE758C">
        <w:rPr>
          <w:rFonts w:ascii="Arial" w:hAnsi="Arial" w:cs="Arial"/>
        </w:rPr>
        <w:t xml:space="preserve">. </w:t>
      </w:r>
    </w:p>
    <w:p w14:paraId="46C86D29" w14:textId="77777777" w:rsidR="00362EA8" w:rsidRDefault="00362EA8" w:rsidP="00BD7CC7">
      <w:pPr>
        <w:spacing w:before="240" w:after="240" w:line="360" w:lineRule="auto"/>
        <w:jc w:val="both"/>
        <w:rPr>
          <w:rFonts w:ascii="Arial" w:hAnsi="Arial" w:cs="Arial"/>
        </w:rPr>
      </w:pPr>
    </w:p>
    <w:p w14:paraId="2182DA01" w14:textId="77777777" w:rsidR="00362EA8" w:rsidRPr="00BE758C" w:rsidRDefault="00362EA8" w:rsidP="00362EA8">
      <w:pPr>
        <w:spacing w:line="360" w:lineRule="auto"/>
        <w:jc w:val="both"/>
        <w:rPr>
          <w:rFonts w:ascii="Arial" w:hAnsi="Arial" w:cs="Arial"/>
        </w:rPr>
      </w:pPr>
    </w:p>
    <w:p w14:paraId="2258D74D"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Esta configuración del régimen de protección al consumidor que ejercita acciones individuales es plenamente conforme con la regulación de las acciones colectivas en esta misma materia, respecto de las que se ha publicado recientemente la Directiva 2020/1828 del Parlamento Europeo y del Consejo de 25 de noviembre de 2020 relativa a las acciones de representación para la protección de los intereses colectivos de los consumidores y por la que se deroga la Directiva 2009/22/CEE, en la que también se distingue entre la acción declarativa y la remoción de efectos mediante determinadas “medidas resarcitorias” que se clasifican en indemnización,  reparación, sustitución, reducción de precio, resolución contractual o reembolso del precio pagado</w:t>
      </w:r>
      <w:r w:rsidRPr="00BE758C">
        <w:rPr>
          <w:rStyle w:val="Refdenotaalpie"/>
          <w:rFonts w:cs="Arial"/>
        </w:rPr>
        <w:footnoteReference w:id="4"/>
      </w:r>
      <w:r w:rsidRPr="00BE758C">
        <w:rPr>
          <w:rFonts w:ascii="Arial" w:hAnsi="Arial" w:cs="Arial"/>
        </w:rPr>
        <w:t xml:space="preserve">. </w:t>
      </w:r>
    </w:p>
    <w:p w14:paraId="454859CC"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Este carácter autónomo y accesorio de la acción de remoción de efectos ha sido confirmado por el TJUE tal y como se desprende de </w:t>
      </w:r>
      <w:r w:rsidRPr="00BE758C">
        <w:rPr>
          <w:rFonts w:ascii="Arial" w:hAnsi="Arial" w:cs="Arial"/>
          <w:lang w:val="es-ES_tradnl"/>
        </w:rPr>
        <w:t xml:space="preserve">la STJUE de 16 de julio de 2020 en el asunto </w:t>
      </w:r>
      <w:proofErr w:type="spellStart"/>
      <w:r w:rsidRPr="00BE758C">
        <w:rPr>
          <w:rFonts w:ascii="Arial" w:hAnsi="Arial" w:cs="Arial"/>
          <w:i/>
          <w:iCs/>
          <w:lang w:val="es-ES_tradnl"/>
        </w:rPr>
        <w:t>Caixabank</w:t>
      </w:r>
      <w:proofErr w:type="spellEnd"/>
      <w:r w:rsidRPr="00BE758C">
        <w:rPr>
          <w:rStyle w:val="Refdenotaalpie"/>
          <w:rFonts w:cs="Arial"/>
          <w:lang w:val="es-ES_tradnl"/>
        </w:rPr>
        <w:footnoteReference w:id="5"/>
      </w:r>
      <w:r w:rsidRPr="00BE758C">
        <w:rPr>
          <w:rFonts w:ascii="Arial" w:hAnsi="Arial" w:cs="Arial"/>
          <w:i/>
          <w:iCs/>
          <w:lang w:val="es-ES_tradnl"/>
        </w:rPr>
        <w:t xml:space="preserve"> </w:t>
      </w:r>
      <w:r w:rsidRPr="00BE758C">
        <w:rPr>
          <w:rFonts w:ascii="Arial" w:hAnsi="Arial" w:cs="Arial"/>
          <w:lang w:val="es-ES_tradnl"/>
        </w:rPr>
        <w:t xml:space="preserve">o la </w:t>
      </w:r>
      <w:r w:rsidRPr="00BE758C">
        <w:rPr>
          <w:rFonts w:ascii="Arial" w:hAnsi="Arial" w:cs="Arial"/>
        </w:rPr>
        <w:t xml:space="preserve">más reciente STJUE de 10 de junio de 2021 (asunto </w:t>
      </w:r>
      <w:r w:rsidRPr="00BE758C">
        <w:rPr>
          <w:rFonts w:ascii="Arial" w:hAnsi="Arial" w:cs="Arial"/>
          <w:i/>
          <w:iCs/>
        </w:rPr>
        <w:t xml:space="preserve">BNP </w:t>
      </w:r>
      <w:proofErr w:type="spellStart"/>
      <w:r w:rsidRPr="00BE758C">
        <w:rPr>
          <w:rFonts w:ascii="Arial" w:hAnsi="Arial" w:cs="Arial"/>
          <w:i/>
          <w:iCs/>
        </w:rPr>
        <w:t>Paribas</w:t>
      </w:r>
      <w:proofErr w:type="spellEnd"/>
      <w:r w:rsidRPr="00BE758C">
        <w:rPr>
          <w:rFonts w:ascii="Arial" w:hAnsi="Arial" w:cs="Arial"/>
        </w:rPr>
        <w:t>)</w:t>
      </w:r>
      <w:r w:rsidRPr="00BE758C">
        <w:rPr>
          <w:rStyle w:val="Refdenotaalpie"/>
          <w:rFonts w:cs="Arial"/>
        </w:rPr>
        <w:footnoteReference w:id="6"/>
      </w:r>
      <w:r w:rsidRPr="00BE758C">
        <w:rPr>
          <w:rFonts w:ascii="Arial" w:hAnsi="Arial" w:cs="Arial"/>
        </w:rPr>
        <w:t xml:space="preserve">, donde se establece que el carácter autónomo de dichas acciones determina la aplicación de un diferente régimen de prescripción. </w:t>
      </w:r>
    </w:p>
    <w:p w14:paraId="03A9C320"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La distinción entre ambas acciones se refleja también en el régimen nacional en materia de acciones colectivas en defensa de los consumidores. En la normativa nacional, respecto de los efectos producidos por una cláusula abusiva, se prevé la posibilidad de ejercitar, como acciones accesorias y, por tanto, autónomas, las acciones de devolución de cantidades y de indemnización de daños y perjuicios</w:t>
      </w:r>
      <w:r w:rsidRPr="00BE758C">
        <w:rPr>
          <w:rStyle w:val="Refdenotaalpie"/>
          <w:rFonts w:cs="Arial"/>
        </w:rPr>
        <w:footnoteReference w:id="7"/>
      </w:r>
      <w:r w:rsidRPr="00BE758C">
        <w:rPr>
          <w:rFonts w:ascii="Arial" w:hAnsi="Arial" w:cs="Arial"/>
        </w:rPr>
        <w:t>. De igual forma, la jurisprudencia es unánime al entender que la acción declarativa y la acción restitutoria se configuran como acciones autónomas y sujetas a diferentes criterios de prescripción.</w:t>
      </w:r>
    </w:p>
    <w:p w14:paraId="22AF5833" w14:textId="2C6B8EBA" w:rsidR="00BD7CC7" w:rsidRPr="00BE758C" w:rsidRDefault="00BD7CC7" w:rsidP="00BD7CC7">
      <w:pPr>
        <w:spacing w:before="240" w:after="240" w:line="360" w:lineRule="auto"/>
        <w:jc w:val="both"/>
        <w:rPr>
          <w:rFonts w:ascii="Arial" w:hAnsi="Arial" w:cs="Arial"/>
        </w:rPr>
      </w:pPr>
      <w:bookmarkStart w:id="0" w:name="_Hlk83301493"/>
      <w:r w:rsidRPr="00BE758C">
        <w:rPr>
          <w:rFonts w:ascii="Arial" w:hAnsi="Arial" w:cs="Arial"/>
        </w:rPr>
        <w:t>En el mismo sentido se ha pronunciado recientemente el Tribunal Supremo en el en el Auto de 22 de julio de 2021 dictado por el Pleno de la Sala Civil del Tribunal Supremo donde se acuerda formular una cuestión prejudicial precisamente en relación con el régimen de prescripción aplicable a la acción restitutoria en reclamaciones de gastos hipotecarios (el “</w:t>
      </w:r>
      <w:r w:rsidRPr="00BE758C">
        <w:rPr>
          <w:rFonts w:ascii="Arial" w:hAnsi="Arial" w:cs="Arial"/>
          <w:b/>
          <w:bCs/>
        </w:rPr>
        <w:t>Auto Cuestión Prejudicial GH</w:t>
      </w:r>
      <w:r w:rsidRPr="00BE758C">
        <w:rPr>
          <w:rFonts w:ascii="Arial" w:hAnsi="Arial" w:cs="Arial"/>
        </w:rPr>
        <w:t xml:space="preserve">”) y </w:t>
      </w:r>
      <w:r w:rsidR="00362EA8" w:rsidRPr="00BE758C">
        <w:rPr>
          <w:rFonts w:ascii="Arial" w:hAnsi="Arial" w:cs="Arial"/>
        </w:rPr>
        <w:t>que,</w:t>
      </w:r>
      <w:r w:rsidRPr="00BE758C">
        <w:rPr>
          <w:rFonts w:ascii="Arial" w:hAnsi="Arial" w:cs="Arial"/>
        </w:rPr>
        <w:t xml:space="preserve"> por su relevancia, mencionaremos a lo largo de este escrito. En dicha </w:t>
      </w:r>
      <w:r w:rsidRPr="00BE758C">
        <w:rPr>
          <w:rFonts w:ascii="Arial" w:hAnsi="Arial" w:cs="Arial"/>
        </w:rPr>
        <w:lastRenderedPageBreak/>
        <w:t xml:space="preserve">cuestión prejudicial las preguntas que se plantean se refieren al </w:t>
      </w:r>
      <w:proofErr w:type="spellStart"/>
      <w:r w:rsidRPr="00BE758C">
        <w:rPr>
          <w:rFonts w:ascii="Arial" w:hAnsi="Arial" w:cs="Arial"/>
        </w:rPr>
        <w:t>dies</w:t>
      </w:r>
      <w:proofErr w:type="spellEnd"/>
      <w:r w:rsidRPr="00BE758C">
        <w:rPr>
          <w:rFonts w:ascii="Arial" w:hAnsi="Arial" w:cs="Arial"/>
        </w:rPr>
        <w:t xml:space="preserve"> a quo (a lo que haremos referencia más adelante) pero no hay ninguna duda de que el Tribunal Supremo, siguiendo la jurisprudencia del TJUE, considera que la acción de restitución de las prestaciones realizadas en ejecución de la cláusula declarada nula es una acción accesoria pero autónoma que tiene su propio régimen de prescripción. Así, en el párrafo 9 de dicho Auto, el Tribunal Supremo deja claro que tal distinción existe y que dicha acción de restitución es prescriptible</w:t>
      </w:r>
    </w:p>
    <w:p w14:paraId="3BD7717F" w14:textId="77777777" w:rsidR="00BD7CC7" w:rsidRPr="00BE758C" w:rsidRDefault="00BD7CC7" w:rsidP="00BD7CC7">
      <w:pPr>
        <w:spacing w:before="240" w:after="240" w:line="360" w:lineRule="auto"/>
        <w:ind w:firstLine="567"/>
        <w:jc w:val="both"/>
        <w:rPr>
          <w:rFonts w:ascii="Arial" w:hAnsi="Arial" w:cs="Arial"/>
        </w:rPr>
      </w:pPr>
      <w:r w:rsidRPr="00BE758C">
        <w:rPr>
          <w:rFonts w:ascii="Arial" w:hAnsi="Arial" w:cs="Arial"/>
        </w:rPr>
        <w:t>“</w:t>
      </w:r>
      <w:r w:rsidRPr="00BE758C">
        <w:rPr>
          <w:rFonts w:ascii="Arial" w:hAnsi="Arial" w:cs="Arial"/>
          <w:i/>
          <w:iCs/>
        </w:rPr>
        <w:t xml:space="preserve">En efecto, en la sentencia de 27 de febrero de 20164 y en la más reciente sentencia 747/2010, de 30 de diciembre, hemos distinguido entre la acción de declaración de nulidad absoluta del contrato, que hemos considerado imprescriptible, y </w:t>
      </w:r>
      <w:r w:rsidRPr="00BE758C">
        <w:rPr>
          <w:rFonts w:ascii="Arial" w:hAnsi="Arial" w:cs="Arial"/>
          <w:b/>
          <w:bCs/>
          <w:i/>
          <w:iCs/>
        </w:rPr>
        <w:t>la acción de restitución de las prestaciones realizadas en ejecución del contrato nulo, a la que hemos aplicado el régimen de prescripción de las acciones personales</w:t>
      </w:r>
      <w:r w:rsidRPr="00BE758C">
        <w:rPr>
          <w:rFonts w:ascii="Arial" w:hAnsi="Arial" w:cs="Arial"/>
        </w:rPr>
        <w:t>”</w:t>
      </w:r>
    </w:p>
    <w:p w14:paraId="5329EE3A"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En el mismo sentido, se pronuncian los órganos inferiores. </w:t>
      </w:r>
      <w:bookmarkEnd w:id="0"/>
      <w:r w:rsidRPr="00BE758C">
        <w:rPr>
          <w:rFonts w:ascii="Arial" w:hAnsi="Arial" w:cs="Arial"/>
        </w:rPr>
        <w:t>Se cita, por ejemplo, las sentencias núm. 1828/2020, de 10 de septiembre de 2020, y 2548/2020, de 1 de diciembre de 2020, de la Audiencia Provincial de Barcelona (Sección 15ª)</w:t>
      </w:r>
      <w:r w:rsidRPr="00BE758C">
        <w:rPr>
          <w:rStyle w:val="Refdenotaalpie"/>
          <w:rFonts w:cs="Arial"/>
        </w:rPr>
        <w:t xml:space="preserve"> </w:t>
      </w:r>
      <w:r w:rsidRPr="00BE758C">
        <w:rPr>
          <w:rStyle w:val="Refdenotaalpie"/>
          <w:rFonts w:cs="Arial"/>
        </w:rPr>
        <w:footnoteReference w:id="8"/>
      </w:r>
      <w:r w:rsidRPr="00BE758C">
        <w:rPr>
          <w:rFonts w:ascii="Arial" w:hAnsi="Arial" w:cs="Arial"/>
        </w:rPr>
        <w:t xml:space="preserve">, que distinguen entre declaración de nulidad (como se denomina en derecho nacional a la acción declarativa de </w:t>
      </w:r>
      <w:proofErr w:type="spellStart"/>
      <w:r w:rsidRPr="00BE758C">
        <w:rPr>
          <w:rFonts w:ascii="Arial" w:hAnsi="Arial" w:cs="Arial"/>
        </w:rPr>
        <w:t>abusividad</w:t>
      </w:r>
      <w:proofErr w:type="spellEnd"/>
      <w:r w:rsidRPr="00BE758C">
        <w:rPr>
          <w:rFonts w:ascii="Arial" w:hAnsi="Arial" w:cs="Arial"/>
        </w:rPr>
        <w:t>) y restitución de ventajas o resarcimiento concluyendo que “</w:t>
      </w:r>
      <w:r w:rsidRPr="00BE758C">
        <w:rPr>
          <w:rFonts w:ascii="Arial" w:hAnsi="Arial" w:cs="Arial"/>
          <w:i/>
          <w:iCs/>
        </w:rPr>
        <w:t>no</w:t>
      </w:r>
      <w:r w:rsidRPr="00BE758C">
        <w:rPr>
          <w:rFonts w:ascii="Arial" w:hAnsi="Arial" w:cs="Arial"/>
          <w:i/>
        </w:rPr>
        <w:t xml:space="preserve"> estimamos que estemos ante una única acción de nulidad imprescriptible y que no podamos distinguir, como hace de forma casi unánime la doctrina, entre la acción declarativa de nulidad y la acción de remoción de los efectos</w:t>
      </w:r>
      <w:r w:rsidRPr="00BE758C">
        <w:rPr>
          <w:rFonts w:ascii="Arial" w:hAnsi="Arial" w:cs="Arial"/>
          <w:iCs/>
        </w:rPr>
        <w:t xml:space="preserve">”; o la </w:t>
      </w:r>
      <w:r w:rsidRPr="00BE758C">
        <w:rPr>
          <w:rFonts w:ascii="Arial" w:hAnsi="Arial" w:cs="Arial"/>
        </w:rPr>
        <w:t xml:space="preserve">Sentencia de la Audiencia Provincial de Madrid (Sección 28ª), núm. 1098/2020, de 11 de junio de 2020, </w:t>
      </w:r>
      <w:bookmarkStart w:id="1" w:name="_Hlk83301679"/>
      <w:r w:rsidRPr="00BE758C">
        <w:rPr>
          <w:rFonts w:ascii="Arial" w:hAnsi="Arial" w:cs="Arial"/>
        </w:rPr>
        <w:t>donde se concluye que la acción restitutoria no puede quedar sujeta al mismo régimen de prescripción “</w:t>
      </w:r>
      <w:r w:rsidRPr="00BE758C">
        <w:rPr>
          <w:rFonts w:ascii="Arial" w:hAnsi="Arial" w:cs="Arial"/>
          <w:b/>
          <w:bCs/>
          <w:i/>
          <w:u w:val="single"/>
        </w:rPr>
        <w:t>por ser una acción distinta de la declarativa de nulidad</w:t>
      </w:r>
      <w:r w:rsidRPr="00BE758C">
        <w:rPr>
          <w:rFonts w:ascii="Arial" w:hAnsi="Arial" w:cs="Arial"/>
          <w:iCs/>
        </w:rPr>
        <w:t>”, lo que le lleva a concluir que “</w:t>
      </w:r>
      <w:r w:rsidRPr="00BE758C">
        <w:rPr>
          <w:rFonts w:ascii="Arial" w:hAnsi="Arial" w:cs="Arial"/>
          <w:b/>
          <w:bCs/>
          <w:i/>
          <w:u w:val="single"/>
        </w:rPr>
        <w:t>el reconocimiento de la diversidad de acciones implica que cada una se rija por la normativa y el régimen jurídico que le resulte de aplicación, según su naturaleza jurídica</w:t>
      </w:r>
      <w:r w:rsidRPr="00BE758C">
        <w:rPr>
          <w:rFonts w:ascii="Arial" w:hAnsi="Arial" w:cs="Arial"/>
          <w:iCs/>
        </w:rPr>
        <w:t>”</w:t>
      </w:r>
      <w:bookmarkEnd w:id="1"/>
      <w:r w:rsidRPr="00BE758C">
        <w:rPr>
          <w:rFonts w:ascii="Arial" w:hAnsi="Arial" w:cs="Arial"/>
          <w:iCs/>
        </w:rPr>
        <w:t>.</w:t>
      </w:r>
    </w:p>
    <w:p w14:paraId="0AA4FFCA"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Prueba evidente de este carácter autónomo es que existen múltiples procedimientos en los que únicamente se ejercita la acción declarativa, bien porque en esos casos la cláusula contractual no ha resultado de aplicación en la práctica de modo que no hay efectos que remover (es el caso, por ejemplo, de la cláusula de vencimiento anticipado o de intereses de demora cuando no ha habido impagos), bien porque los consumidores han optado por solicitar la remoción de los efectos en un procedimiento separado (como ha sucedido de manera habitual respecto de la cláusula atributiva de determinados gastos a cargo del prestatario, circunstancia a la que se han referido, por ejemplo, la Audiencia Provincial de Barcelona</w:t>
      </w:r>
      <w:r w:rsidRPr="00BE758C">
        <w:rPr>
          <w:rStyle w:val="Refdenotaalpie"/>
          <w:rFonts w:cs="Arial"/>
        </w:rPr>
        <w:footnoteReference w:id="9"/>
      </w:r>
      <w:r w:rsidRPr="00BE758C">
        <w:rPr>
          <w:rFonts w:ascii="Arial" w:hAnsi="Arial" w:cs="Arial"/>
        </w:rPr>
        <w:t xml:space="preserve"> o la Audiencia Provincial de Murcia</w:t>
      </w:r>
      <w:r w:rsidRPr="00BE758C">
        <w:rPr>
          <w:rStyle w:val="Refdenotaalpie"/>
          <w:rFonts w:cs="Arial"/>
        </w:rPr>
        <w:footnoteReference w:id="10"/>
      </w:r>
      <w:r w:rsidRPr="00BE758C">
        <w:rPr>
          <w:rFonts w:ascii="Arial" w:hAnsi="Arial" w:cs="Arial"/>
        </w:rPr>
        <w:t xml:space="preserve">). Ejemplo de ello es la Sentencia del Tribunal Supremo </w:t>
      </w:r>
      <w:proofErr w:type="spellStart"/>
      <w:r w:rsidRPr="00BE758C">
        <w:rPr>
          <w:rFonts w:ascii="Arial" w:hAnsi="Arial" w:cs="Arial"/>
        </w:rPr>
        <w:t>nº</w:t>
      </w:r>
      <w:proofErr w:type="spellEnd"/>
      <w:r w:rsidRPr="00BE758C">
        <w:rPr>
          <w:rFonts w:ascii="Arial" w:hAnsi="Arial" w:cs="Arial"/>
        </w:rPr>
        <w:t xml:space="preserve"> 38/2015, de 24 de mayo, que se abstuvo de condenar a la devolución de las cantidades cobradas tras declarar la nulidad de una cláusula </w:t>
      </w:r>
      <w:r w:rsidRPr="00BE758C">
        <w:rPr>
          <w:rFonts w:ascii="Arial" w:hAnsi="Arial" w:cs="Arial"/>
        </w:rPr>
        <w:lastRenderedPageBreak/>
        <w:t>suelo por no haber sido formulada una pretensión de tales características, considerando así que la restitución no es un efecto natural o consustancial de la nulidad en normativa de consumo, sino que se trata de una acción de condena distinta e independiente que debe ser ejercitada por el demandante expresamente.</w:t>
      </w:r>
    </w:p>
    <w:p w14:paraId="76F59E41" w14:textId="77777777" w:rsidR="00BD7CC7" w:rsidRPr="00BE758C" w:rsidRDefault="00BD7CC7" w:rsidP="00BD7CC7">
      <w:pPr>
        <w:pStyle w:val="Prrafodelista"/>
        <w:keepNext/>
        <w:numPr>
          <w:ilvl w:val="0"/>
          <w:numId w:val="10"/>
        </w:numPr>
        <w:suppressAutoHyphens w:val="0"/>
        <w:spacing w:before="240" w:after="240" w:line="360" w:lineRule="auto"/>
        <w:ind w:left="567" w:hanging="567"/>
        <w:contextualSpacing w:val="0"/>
        <w:jc w:val="both"/>
        <w:rPr>
          <w:rFonts w:ascii="Arial" w:hAnsi="Arial"/>
          <w:color w:val="000000"/>
          <w:szCs w:val="20"/>
        </w:rPr>
      </w:pPr>
      <w:r w:rsidRPr="00BE758C">
        <w:rPr>
          <w:rFonts w:ascii="Arial" w:hAnsi="Arial"/>
          <w:b/>
          <w:color w:val="000000"/>
          <w:szCs w:val="20"/>
        </w:rPr>
        <w:t>Sujeción de la acción de restitución a prescripción</w:t>
      </w:r>
    </w:p>
    <w:p w14:paraId="47C51475" w14:textId="77777777" w:rsidR="00BD7CC7" w:rsidRPr="00BE758C" w:rsidRDefault="00BD7CC7" w:rsidP="00BD7CC7">
      <w:pPr>
        <w:keepNext/>
        <w:spacing w:before="240" w:after="240" w:line="360" w:lineRule="auto"/>
        <w:jc w:val="both"/>
        <w:rPr>
          <w:rFonts w:ascii="Arial" w:hAnsi="Arial" w:cs="Arial"/>
        </w:rPr>
      </w:pPr>
      <w:r w:rsidRPr="00BE758C">
        <w:rPr>
          <w:rFonts w:ascii="Arial" w:hAnsi="Arial" w:cs="Arial"/>
        </w:rPr>
        <w:t xml:space="preserve">El carácter autónomo de las acciones declarativas y restitutorias conlleva, entre otras cosas, que cada una esté sujeta a un régimen de prescripción diferente. </w:t>
      </w:r>
    </w:p>
    <w:p w14:paraId="6EAE9542" w14:textId="77777777" w:rsidR="00BD7CC7" w:rsidRPr="00BE758C" w:rsidRDefault="00BD7CC7" w:rsidP="00BD7CC7">
      <w:pPr>
        <w:keepNext/>
        <w:spacing w:before="240" w:after="240" w:line="360" w:lineRule="auto"/>
        <w:jc w:val="both"/>
        <w:rPr>
          <w:rFonts w:ascii="Arial" w:hAnsi="Arial" w:cs="Arial"/>
        </w:rPr>
      </w:pPr>
      <w:r w:rsidRPr="00BE758C">
        <w:rPr>
          <w:rFonts w:ascii="Arial" w:hAnsi="Arial" w:cs="Arial"/>
        </w:rPr>
        <w:t xml:space="preserve">Respecto de la declaración de </w:t>
      </w:r>
      <w:proofErr w:type="spellStart"/>
      <w:r w:rsidRPr="00BE758C">
        <w:rPr>
          <w:rFonts w:ascii="Arial" w:hAnsi="Arial" w:cs="Arial"/>
        </w:rPr>
        <w:t>abusividad</w:t>
      </w:r>
      <w:proofErr w:type="spellEnd"/>
      <w:r w:rsidRPr="00BE758C">
        <w:rPr>
          <w:rFonts w:ascii="Arial" w:hAnsi="Arial" w:cs="Arial"/>
        </w:rPr>
        <w:t>, las Directrices de la Comisión indican que la concurrencia de plazos de prescripción aplicables</w:t>
      </w:r>
      <w:r w:rsidRPr="00BE758C">
        <w:rPr>
          <w:rStyle w:val="Refdenotaalpie"/>
          <w:rFonts w:cs="Arial"/>
        </w:rPr>
        <w:footnoteReference w:id="11"/>
      </w:r>
      <w:r w:rsidRPr="00BE758C">
        <w:rPr>
          <w:rFonts w:ascii="Arial" w:hAnsi="Arial" w:cs="Arial"/>
        </w:rPr>
        <w:t xml:space="preserve"> no puede impedir a los consumidores (i) solicitar a un profesional que elimine una cláusula abusiva de un contrato, (</w:t>
      </w:r>
      <w:proofErr w:type="spellStart"/>
      <w:r w:rsidRPr="00BE758C">
        <w:rPr>
          <w:rFonts w:ascii="Arial" w:hAnsi="Arial" w:cs="Arial"/>
        </w:rPr>
        <w:t>ii</w:t>
      </w:r>
      <w:proofErr w:type="spellEnd"/>
      <w:r w:rsidRPr="00BE758C">
        <w:rPr>
          <w:rFonts w:ascii="Arial" w:hAnsi="Arial" w:cs="Arial"/>
        </w:rPr>
        <w:t>) pedir que una cláusula del contrato se declare inválida en sede judicial u (</w:t>
      </w:r>
      <w:proofErr w:type="spellStart"/>
      <w:r w:rsidRPr="00BE758C">
        <w:rPr>
          <w:rFonts w:ascii="Arial" w:hAnsi="Arial" w:cs="Arial"/>
        </w:rPr>
        <w:t>iii</w:t>
      </w:r>
      <w:proofErr w:type="spellEnd"/>
      <w:r w:rsidRPr="00BE758C">
        <w:rPr>
          <w:rFonts w:ascii="Arial" w:hAnsi="Arial" w:cs="Arial"/>
        </w:rPr>
        <w:t xml:space="preserve">) oponerse a demandas de profesionales de reclamación de cantidades basadas en cláusulas abusivas. El TJUE entiende igualmente que el carácter abusivo de una cláusula debe poder oponerse o invocarse, en principio, en cualquier momento, de manera que la acción declarativa de </w:t>
      </w:r>
      <w:proofErr w:type="spellStart"/>
      <w:r w:rsidRPr="00BE758C">
        <w:rPr>
          <w:rFonts w:ascii="Arial" w:hAnsi="Arial" w:cs="Arial"/>
        </w:rPr>
        <w:t>abusividad</w:t>
      </w:r>
      <w:proofErr w:type="spellEnd"/>
      <w:r w:rsidRPr="00BE758C">
        <w:rPr>
          <w:rFonts w:ascii="Arial" w:hAnsi="Arial" w:cs="Arial"/>
        </w:rPr>
        <w:t xml:space="preserve"> de la cláusula no estaría sujeta a plazo de prescripción. Sirva de ejemplo el asunto </w:t>
      </w:r>
      <w:r w:rsidRPr="00BE758C">
        <w:rPr>
          <w:rFonts w:ascii="Arial" w:hAnsi="Arial" w:cs="Arial"/>
          <w:i/>
          <w:iCs/>
        </w:rPr>
        <w:t xml:space="preserve">BNP </w:t>
      </w:r>
      <w:proofErr w:type="spellStart"/>
      <w:r w:rsidRPr="00BE758C">
        <w:rPr>
          <w:rFonts w:ascii="Arial" w:hAnsi="Arial" w:cs="Arial"/>
          <w:i/>
          <w:iCs/>
        </w:rPr>
        <w:t>Paribas</w:t>
      </w:r>
      <w:proofErr w:type="spellEnd"/>
      <w:r w:rsidRPr="00BE758C">
        <w:rPr>
          <w:rStyle w:val="Refdenotaalpie"/>
          <w:rFonts w:cs="Arial"/>
        </w:rPr>
        <w:footnoteReference w:id="12"/>
      </w:r>
      <w:r w:rsidRPr="00BE758C">
        <w:rPr>
          <w:rFonts w:ascii="Arial" w:hAnsi="Arial" w:cs="Arial"/>
        </w:rPr>
        <w:t>:</w:t>
      </w:r>
    </w:p>
    <w:p w14:paraId="3AA0ED21" w14:textId="77777777" w:rsidR="00BD7CC7" w:rsidRPr="00BE758C" w:rsidRDefault="00BD7CC7" w:rsidP="00BD7CC7">
      <w:pPr>
        <w:spacing w:before="240" w:after="240" w:line="360" w:lineRule="auto"/>
        <w:ind w:firstLine="567"/>
        <w:jc w:val="both"/>
        <w:rPr>
          <w:rFonts w:ascii="Arial" w:hAnsi="Arial" w:cs="Arial"/>
        </w:rPr>
      </w:pPr>
      <w:r w:rsidRPr="00BE758C">
        <w:rPr>
          <w:rFonts w:ascii="Arial" w:hAnsi="Arial" w:cs="Arial"/>
        </w:rPr>
        <w:t xml:space="preserve">“(…) </w:t>
      </w:r>
      <w:r w:rsidRPr="00BE758C">
        <w:rPr>
          <w:rFonts w:ascii="Arial" w:hAnsi="Arial" w:cs="Arial"/>
          <w:i/>
          <w:iCs/>
        </w:rPr>
        <w:t xml:space="preserve">para garantizar una protección efectiva de los derechos que la Directiva 93/13 confiere al consumidor, este debe poder invocar en todo momento el carácter abusivo de una cláusula contractual no solo como medio de defensa, sino también a efectos de que el juez declare el carácter abusivo de una cláusula contractual, de modo que </w:t>
      </w:r>
      <w:r w:rsidRPr="00BE758C">
        <w:rPr>
          <w:rFonts w:ascii="Arial" w:hAnsi="Arial" w:cs="Arial"/>
          <w:b/>
          <w:bCs/>
          <w:i/>
          <w:iCs/>
          <w:u w:val="single"/>
        </w:rPr>
        <w:t>una acción ejercitada por el consumidor para que se declare el carácter abusivo de una cláusula incluida en un contrato celebrado entre un profesional y un consumidor no puede estar sujeta a ningún plazo de prescripción</w:t>
      </w:r>
      <w:r w:rsidRPr="00BE758C">
        <w:rPr>
          <w:rFonts w:ascii="Arial" w:hAnsi="Arial" w:cs="Arial"/>
        </w:rPr>
        <w:t>”.</w:t>
      </w:r>
    </w:p>
    <w:p w14:paraId="4AB5D10C" w14:textId="77777777" w:rsidR="00BD7CC7" w:rsidRPr="00BE758C" w:rsidRDefault="00BD7CC7" w:rsidP="00BD7CC7">
      <w:pPr>
        <w:spacing w:before="240" w:after="240" w:line="360" w:lineRule="auto"/>
        <w:jc w:val="both"/>
        <w:rPr>
          <w:rFonts w:ascii="Arial" w:hAnsi="Arial" w:cs="Arial"/>
        </w:rPr>
      </w:pPr>
      <w:bookmarkStart w:id="2" w:name="_Ref77330329"/>
      <w:r w:rsidRPr="00BE758C">
        <w:rPr>
          <w:rFonts w:ascii="Arial" w:hAnsi="Arial" w:cs="Arial"/>
        </w:rPr>
        <w:t xml:space="preserve">Sin embargo, respecto de la acción de remoción de efectos o restitución, las Directrices de la Comisión y el TJUE han señalado que esta acción autónoma, en aplicación de las exigencias del </w:t>
      </w:r>
      <w:r w:rsidRPr="00BE758C">
        <w:rPr>
          <w:rFonts w:ascii="Arial" w:hAnsi="Arial" w:cs="Arial"/>
          <w:u w:val="single"/>
        </w:rPr>
        <w:t>principio de seguridad jurídica,</w:t>
      </w:r>
      <w:r w:rsidRPr="00BE758C">
        <w:rPr>
          <w:rFonts w:ascii="Arial" w:hAnsi="Arial" w:cs="Arial"/>
        </w:rPr>
        <w:t xml:space="preserve"> está sometida a los plazos de prescripción previstos en los ordenamientos nacionales para las acciones ejercitadas con base en el Derecho nacional que sean similares a la vista de su objeto, causa y elementos esenciales o que protejan derechos similares conferidos por el ordenamiento interno</w:t>
      </w:r>
      <w:r w:rsidRPr="00BE758C">
        <w:rPr>
          <w:rStyle w:val="Refdenotaalpie"/>
          <w:rFonts w:cs="Arial"/>
        </w:rPr>
        <w:footnoteReference w:id="13"/>
      </w:r>
      <w:r w:rsidRPr="00BE758C">
        <w:rPr>
          <w:rFonts w:ascii="Arial" w:hAnsi="Arial" w:cs="Arial"/>
        </w:rPr>
        <w:t>.</w:t>
      </w:r>
      <w:bookmarkEnd w:id="2"/>
    </w:p>
    <w:p w14:paraId="084DA67B" w14:textId="25F865AC" w:rsidR="00362EA8" w:rsidRPr="00BE758C" w:rsidRDefault="00BD7CC7" w:rsidP="00BD7CC7">
      <w:pPr>
        <w:spacing w:before="240" w:after="240" w:line="360" w:lineRule="auto"/>
        <w:jc w:val="both"/>
        <w:rPr>
          <w:rFonts w:ascii="Arial" w:hAnsi="Arial" w:cs="Arial"/>
        </w:rPr>
      </w:pPr>
      <w:bookmarkStart w:id="3" w:name="_Ref74758751"/>
      <w:r w:rsidRPr="00BE758C">
        <w:rPr>
          <w:rFonts w:ascii="Arial" w:hAnsi="Arial" w:cs="Arial"/>
        </w:rPr>
        <w:t>De hecho, el TJUE ha analizado ya esta cuestión en diversas resoluciones y ha declarado conforme con la protección de los consumidores la aplicación de esta institución a la restitución de las ventajas obtenidas como consecuencia de una cláusula abusiva, siempre que el cómputo del plazo cumpla determinadas características:</w:t>
      </w:r>
      <w:bookmarkEnd w:id="3"/>
    </w:p>
    <w:p w14:paraId="6E248830"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lastRenderedPageBreak/>
        <w:t xml:space="preserve">En la STJUE de 9 de julio de 2020, asunto </w:t>
      </w:r>
      <w:r w:rsidRPr="00BE758C">
        <w:rPr>
          <w:rFonts w:ascii="Arial" w:hAnsi="Arial"/>
          <w:i/>
          <w:iCs/>
          <w:color w:val="000000"/>
          <w:szCs w:val="20"/>
        </w:rPr>
        <w:t>Ibercaja</w:t>
      </w:r>
      <w:r w:rsidRPr="00BE758C">
        <w:rPr>
          <w:rStyle w:val="Refdenotaalpie"/>
          <w:i/>
          <w:iCs/>
          <w:color w:val="000000"/>
          <w:szCs w:val="20"/>
        </w:rPr>
        <w:footnoteReference w:id="14"/>
      </w:r>
      <w:r w:rsidRPr="00BE758C">
        <w:rPr>
          <w:rFonts w:ascii="Arial" w:hAnsi="Arial"/>
          <w:i/>
          <w:iCs/>
          <w:color w:val="000000"/>
          <w:szCs w:val="20"/>
        </w:rPr>
        <w:t xml:space="preserve"> </w:t>
      </w:r>
      <w:r w:rsidRPr="00BE758C">
        <w:rPr>
          <w:rFonts w:ascii="Arial" w:hAnsi="Arial"/>
          <w:color w:val="000000"/>
          <w:szCs w:val="20"/>
        </w:rPr>
        <w:t>el TJUE volvió a afirmar que la protección del consumidor no es absoluta y que, por tanto, la fijación de plazos razonables de carácter preclusivo, en interés de la seguridad jurídica era compatible con el Derecho de la Unión Europea:</w:t>
      </w:r>
    </w:p>
    <w:p w14:paraId="0A899E37" w14:textId="77777777" w:rsidR="00BD7CC7" w:rsidRPr="00BE758C" w:rsidRDefault="00BD7CC7" w:rsidP="00BD7CC7">
      <w:pPr>
        <w:spacing w:before="240" w:after="240" w:line="360" w:lineRule="auto"/>
        <w:ind w:left="1134" w:firstLine="141"/>
        <w:jc w:val="both"/>
        <w:rPr>
          <w:rFonts w:ascii="Arial" w:hAnsi="Arial" w:cs="Arial"/>
          <w:iCs/>
        </w:rPr>
      </w:pPr>
      <w:bookmarkStart w:id="4" w:name="point84"/>
      <w:r w:rsidRPr="00BE758C">
        <w:rPr>
          <w:rFonts w:ascii="Arial" w:hAnsi="Arial" w:cs="Arial"/>
          <w:iCs/>
        </w:rPr>
        <w:t>“</w:t>
      </w:r>
      <w:bookmarkEnd w:id="4"/>
      <w:r w:rsidRPr="00BE758C">
        <w:rPr>
          <w:rFonts w:ascii="Arial" w:hAnsi="Arial" w:cs="Arial"/>
          <w:iCs/>
        </w:rPr>
        <w:t>(…)</w:t>
      </w:r>
      <w:r w:rsidRPr="00BE758C">
        <w:rPr>
          <w:rFonts w:ascii="Arial" w:hAnsi="Arial" w:cs="Arial"/>
          <w:i/>
        </w:rPr>
        <w:t xml:space="preserve"> el Derecho de la Unión no se opone a una normativa nacional que, </w:t>
      </w:r>
      <w:r w:rsidRPr="00BE758C">
        <w:rPr>
          <w:rFonts w:ascii="Arial" w:hAnsi="Arial" w:cs="Arial"/>
          <w:i/>
          <w:u w:val="single"/>
        </w:rPr>
        <w:t>a la vez que reconoce el carácter imprescriptible de la acción de nulidad de una cláusula abusiva</w:t>
      </w:r>
      <w:r w:rsidRPr="00BE758C">
        <w:rPr>
          <w:rFonts w:ascii="Arial" w:hAnsi="Arial" w:cs="Arial"/>
          <w:i/>
        </w:rPr>
        <w:t xml:space="preserve"> incluida en un contrato celebrado entre un profesional y un consumidor, </w:t>
      </w:r>
      <w:r w:rsidRPr="00BE758C">
        <w:rPr>
          <w:rFonts w:ascii="Arial" w:hAnsi="Arial" w:cs="Arial"/>
          <w:b/>
          <w:bCs/>
          <w:i/>
          <w:u w:val="single"/>
        </w:rPr>
        <w:t>sujeta a un plazo de prescripción la acción dirigida a hacer valer los efectos restitutorios de esta declaración, siempre que se respeten los principios de equivalencia y de efectividad</w:t>
      </w:r>
      <w:r w:rsidRPr="00BE758C">
        <w:rPr>
          <w:rFonts w:ascii="Arial" w:hAnsi="Arial" w:cs="Arial"/>
          <w:i/>
        </w:rPr>
        <w:t>.</w:t>
      </w:r>
      <w:r w:rsidRPr="00BE758C">
        <w:rPr>
          <w:rFonts w:ascii="Arial" w:hAnsi="Arial" w:cs="Arial"/>
          <w:iCs/>
        </w:rPr>
        <w:t>”</w:t>
      </w:r>
    </w:p>
    <w:p w14:paraId="5C87525C"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 xml:space="preserve">En el asunto </w:t>
      </w:r>
      <w:proofErr w:type="spellStart"/>
      <w:r w:rsidRPr="00BE758C">
        <w:rPr>
          <w:rFonts w:ascii="Arial" w:hAnsi="Arial"/>
          <w:i/>
          <w:color w:val="000000"/>
          <w:szCs w:val="20"/>
        </w:rPr>
        <w:t>Caixabank</w:t>
      </w:r>
      <w:proofErr w:type="spellEnd"/>
      <w:r w:rsidRPr="00BE758C">
        <w:rPr>
          <w:rStyle w:val="Refdenotaalpie"/>
          <w:szCs w:val="20"/>
        </w:rPr>
        <w:footnoteReference w:id="15"/>
      </w:r>
      <w:r w:rsidRPr="00BE758C">
        <w:rPr>
          <w:rFonts w:ascii="Arial" w:hAnsi="Arial"/>
          <w:iCs/>
          <w:color w:val="000000"/>
          <w:szCs w:val="20"/>
        </w:rPr>
        <w:t xml:space="preserve"> el TJUE reiteró lo anterior declarando que la Directiva 93/13 era compatible con que “</w:t>
      </w:r>
      <w:r w:rsidRPr="00BE758C">
        <w:rPr>
          <w:rFonts w:ascii="Arial" w:hAnsi="Arial"/>
          <w:b/>
          <w:bCs/>
          <w:i/>
          <w:color w:val="000000"/>
          <w:szCs w:val="20"/>
          <w:u w:val="single"/>
        </w:rPr>
        <w:t>el ejercicio de la acción dirigida a hacer valer los efectos restitutorios de la declaración de la nulidad de una cláusula contractual abusiva quede sometido a un plazo de prescripción</w:t>
      </w:r>
      <w:r w:rsidRPr="00BE758C">
        <w:rPr>
          <w:rFonts w:ascii="Arial" w:hAnsi="Arial"/>
          <w:i/>
          <w:color w:val="000000"/>
          <w:szCs w:val="20"/>
        </w:rPr>
        <w:t>, siempre que ni el momento en que ese plazo comienza a correr ni su duración hagan imposible en la práctica o excesivamente difícil el ejercicio del derecho del consumidor a solicitar tal restitución</w:t>
      </w:r>
      <w:r w:rsidRPr="00BE758C">
        <w:rPr>
          <w:rFonts w:ascii="Arial" w:hAnsi="Arial"/>
          <w:color w:val="000000"/>
          <w:szCs w:val="20"/>
        </w:rPr>
        <w:t>.”</w:t>
      </w:r>
    </w:p>
    <w:p w14:paraId="4E6F7DF8" w14:textId="77777777" w:rsidR="00BD7CC7"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 xml:space="preserve">Finalmente, la reciente STJUE en el asunto </w:t>
      </w:r>
      <w:r w:rsidRPr="00BE758C">
        <w:rPr>
          <w:rFonts w:ascii="Arial" w:hAnsi="Arial"/>
          <w:i/>
          <w:iCs/>
          <w:color w:val="000000"/>
          <w:szCs w:val="20"/>
        </w:rPr>
        <w:t xml:space="preserve">BNP </w:t>
      </w:r>
      <w:proofErr w:type="spellStart"/>
      <w:r w:rsidRPr="00BE758C">
        <w:rPr>
          <w:rFonts w:ascii="Arial" w:hAnsi="Arial"/>
          <w:i/>
          <w:iCs/>
          <w:color w:val="000000"/>
          <w:szCs w:val="20"/>
        </w:rPr>
        <w:t>Paribas</w:t>
      </w:r>
      <w:proofErr w:type="spellEnd"/>
      <w:r w:rsidRPr="00BE758C">
        <w:rPr>
          <w:rFonts w:ascii="Arial" w:hAnsi="Arial"/>
          <w:color w:val="000000"/>
          <w:szCs w:val="20"/>
        </w:rPr>
        <w:t>, además de reiterar los pronunciamientos anteriores, recalcó que “</w:t>
      </w:r>
      <w:r w:rsidRPr="00BE758C">
        <w:rPr>
          <w:rFonts w:ascii="Arial" w:hAnsi="Arial"/>
          <w:i/>
          <w:iCs/>
          <w:color w:val="000000"/>
          <w:szCs w:val="20"/>
        </w:rPr>
        <w:t>procede considerar que la oposición de un plazo de prescripción a las acciones de carácter restitutorio, ejercitadas por unos consumidores con el fin de hacer valer derechos que les confiere la Directiva 93/13, no es, en sí misma, contraria al principio de efectividad siempre que su aplicación no haga imposible en la práctica o excesivamente difícil el ejercicio de los derechos conferidos en dicha Directiva</w:t>
      </w:r>
      <w:r w:rsidRPr="00BE758C">
        <w:rPr>
          <w:rFonts w:ascii="Arial" w:hAnsi="Arial"/>
          <w:color w:val="000000"/>
          <w:szCs w:val="20"/>
        </w:rPr>
        <w:t>”</w:t>
      </w:r>
      <w:r w:rsidRPr="00BE758C">
        <w:rPr>
          <w:rStyle w:val="Refdenotaalpie"/>
          <w:color w:val="000000"/>
          <w:szCs w:val="20"/>
        </w:rPr>
        <w:footnoteReference w:id="16"/>
      </w:r>
      <w:r w:rsidRPr="00BE758C">
        <w:rPr>
          <w:rFonts w:ascii="Arial" w:hAnsi="Arial"/>
          <w:color w:val="000000"/>
          <w:szCs w:val="20"/>
        </w:rPr>
        <w:t>.</w:t>
      </w:r>
    </w:p>
    <w:p w14:paraId="2640782D" w14:textId="77777777" w:rsidR="00BD7CC7" w:rsidRDefault="00BD7CC7" w:rsidP="00BD7CC7">
      <w:pPr>
        <w:spacing w:before="240" w:after="240" w:line="360" w:lineRule="auto"/>
        <w:jc w:val="both"/>
        <w:rPr>
          <w:rFonts w:ascii="Arial" w:hAnsi="Arial" w:cs="Arial"/>
        </w:rPr>
      </w:pPr>
      <w:r w:rsidRPr="00BE758C">
        <w:rPr>
          <w:rFonts w:ascii="Arial" w:hAnsi="Arial" w:cs="Arial"/>
        </w:rPr>
        <w:t xml:space="preserve">La sujeción de la acción restitutoria a un plazo de prescripción también se deprende del Derecho nacional. Como ya hemos indicado, el fundamento de la </w:t>
      </w:r>
      <w:proofErr w:type="spellStart"/>
      <w:r w:rsidRPr="00BE758C">
        <w:rPr>
          <w:rFonts w:ascii="Arial" w:hAnsi="Arial" w:cs="Arial"/>
        </w:rPr>
        <w:t>prescriptibilidad</w:t>
      </w:r>
      <w:proofErr w:type="spellEnd"/>
      <w:r w:rsidRPr="00BE758C">
        <w:rPr>
          <w:rFonts w:ascii="Arial" w:hAnsi="Arial" w:cs="Arial"/>
        </w:rPr>
        <w:t xml:space="preserve"> de la acción restitutoria radica en la seguridad jurídica y buena fe, en la necesidad de dar fijeza a las relaciones jurídicas y evitar la incertidumbre. Como ya indicó la STC 147/1986, de 25 de noviembre, invocando directamente el artículo 9.3 CE que consagra el principio de la seguridad jurídica, “</w:t>
      </w:r>
      <w:r w:rsidRPr="00BE758C">
        <w:rPr>
          <w:rFonts w:ascii="Arial" w:hAnsi="Arial" w:cs="Arial"/>
          <w:i/>
          <w:iCs/>
        </w:rPr>
        <w:t>en el seno de la institución de la prescripción existe un equilibrio entre las exigencias de la seguridad jurídica y las de la justicia material (…)-, que a veces ha de ceder para dar paso a aquélla y permitir un adecuado desenvolvimiento del tráfico jurídico</w:t>
      </w:r>
      <w:r w:rsidRPr="00BE758C">
        <w:rPr>
          <w:rFonts w:ascii="Arial" w:hAnsi="Arial" w:cs="Arial"/>
        </w:rPr>
        <w:t xml:space="preserve">”. Por ello, la prescripción debe ser objeto de interpretación y aplicación restrictiva ya que no se asienta en fundamentos de justicia intrínseca sino en la necesidad de limitar el ejercicio de los derechos en aras al principio de seguridad </w:t>
      </w:r>
      <w:r w:rsidRPr="00BE758C">
        <w:rPr>
          <w:rFonts w:ascii="Arial" w:hAnsi="Arial" w:cs="Arial"/>
        </w:rPr>
        <w:lastRenderedPageBreak/>
        <w:t xml:space="preserve">jurídica (SSTS de 27 de mayo de 1997 y 29 de octubre de 2003, entre otras muchas). </w:t>
      </w:r>
    </w:p>
    <w:p w14:paraId="3DC7F95F" w14:textId="77777777" w:rsidR="00362EA8" w:rsidRPr="00BE758C" w:rsidRDefault="00362EA8" w:rsidP="00362EA8">
      <w:pPr>
        <w:spacing w:before="240" w:line="360" w:lineRule="auto"/>
        <w:jc w:val="both"/>
        <w:rPr>
          <w:rFonts w:ascii="Arial" w:hAnsi="Arial" w:cs="Arial"/>
        </w:rPr>
      </w:pPr>
    </w:p>
    <w:p w14:paraId="124F0B1A"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Dado el carácter esencial del instituto de la prescripción, el artículo 1930.2º CC establece que los derechos y las acciones “</w:t>
      </w:r>
      <w:r w:rsidRPr="00BE758C">
        <w:rPr>
          <w:rFonts w:ascii="Arial" w:hAnsi="Arial" w:cs="Arial"/>
          <w:i/>
        </w:rPr>
        <w:t>de cualquier clase que sean</w:t>
      </w:r>
      <w:r w:rsidRPr="00BE758C">
        <w:rPr>
          <w:rFonts w:ascii="Arial" w:hAnsi="Arial" w:cs="Arial"/>
        </w:rPr>
        <w:t>” se extinguen por la prescripción</w:t>
      </w:r>
      <w:r w:rsidRPr="00BE758C">
        <w:rPr>
          <w:rFonts w:ascii="Arial" w:hAnsi="Arial" w:cs="Arial"/>
          <w:i/>
        </w:rPr>
        <w:t>.</w:t>
      </w:r>
      <w:r w:rsidRPr="00BE758C">
        <w:rPr>
          <w:rFonts w:ascii="Arial" w:hAnsi="Arial" w:cs="Arial"/>
        </w:rPr>
        <w:t xml:space="preserve"> Es decir, la prescripción es la regla y alcanza a todas la acciones, salvo aquellas que el propio Código Civil u otras leyes declaran imprescriptibles, como ocurre con las acciones de filiación (artículos 132 y 133 CC), la de división de la cosa común (artículo 400 CC), la acción de partición de herencia (artículo 1965 CC), la acción de deslinde y amojonamiento (artículo 1965 CC) o la acción de nulidad absoluta de la marca registrada (artículo </w:t>
      </w:r>
      <w:proofErr w:type="gramStart"/>
      <w:r w:rsidRPr="00BE758C">
        <w:rPr>
          <w:rFonts w:ascii="Arial" w:hAnsi="Arial" w:cs="Arial"/>
        </w:rPr>
        <w:t>51.2º</w:t>
      </w:r>
      <w:proofErr w:type="gramEnd"/>
      <w:r w:rsidRPr="00BE758C">
        <w:rPr>
          <w:rFonts w:ascii="Arial" w:hAnsi="Arial" w:cs="Arial"/>
        </w:rPr>
        <w:t xml:space="preserve"> de la Ley de Marcas). </w:t>
      </w:r>
    </w:p>
    <w:p w14:paraId="7D69931F" w14:textId="77777777" w:rsidR="00BD7CC7" w:rsidRDefault="00BD7CC7" w:rsidP="00BD7CC7">
      <w:pPr>
        <w:spacing w:before="240" w:after="240" w:line="360" w:lineRule="auto"/>
        <w:jc w:val="both"/>
        <w:rPr>
          <w:rFonts w:ascii="Arial" w:hAnsi="Arial" w:cs="Arial"/>
        </w:rPr>
      </w:pPr>
      <w:r w:rsidRPr="00BE758C">
        <w:rPr>
          <w:rFonts w:ascii="Arial" w:hAnsi="Arial" w:cs="Arial"/>
        </w:rPr>
        <w:t xml:space="preserve">Pues bien, la normativa de transposición de la Directiva 93/13 al ordenamiento español (LCGC y LGDCU) no prevé que la acción de restitución –que es independiente y autónoma de la acción declarativa de </w:t>
      </w:r>
      <w:proofErr w:type="spellStart"/>
      <w:r w:rsidRPr="00BE758C">
        <w:rPr>
          <w:rFonts w:ascii="Arial" w:hAnsi="Arial" w:cs="Arial"/>
        </w:rPr>
        <w:t>abusividad</w:t>
      </w:r>
      <w:proofErr w:type="spellEnd"/>
      <w:r w:rsidRPr="00BE758C">
        <w:rPr>
          <w:rFonts w:ascii="Arial" w:hAnsi="Arial" w:cs="Arial"/>
        </w:rPr>
        <w:t xml:space="preserve">–, sea imprescriptible. Concretamente, la LCGC solo declara imprescriptibles las acciones colectivas de cesación y retractación (artículo 19.1) y la acción colectiva de declaración de una cláusula como condición general (artículo 19.4). Por su parte, la LGDCU declara nulas de pleno de derecho las cláusulas que se declaren abusivas (artículo 83) pero tampoco se pronuncia sobre la acción de remoción de efectos, debiendo entender por tanto que se encuentra sujeta a prescripción. </w:t>
      </w:r>
    </w:p>
    <w:p w14:paraId="563E12AF" w14:textId="4E5B8A22"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La jurisprudencia ha venido confirmando </w:t>
      </w:r>
      <w:r w:rsidR="00362EA8" w:rsidRPr="00BE758C">
        <w:rPr>
          <w:rFonts w:ascii="Arial" w:hAnsi="Arial" w:cs="Arial"/>
        </w:rPr>
        <w:t>el carácter prescriptible</w:t>
      </w:r>
      <w:r w:rsidRPr="00BE758C">
        <w:rPr>
          <w:rFonts w:ascii="Arial" w:hAnsi="Arial" w:cs="Arial"/>
        </w:rPr>
        <w:t xml:space="preserve"> de la acción de restitución. </w:t>
      </w:r>
      <w:bookmarkStart w:id="5" w:name="_Hlk83301828"/>
      <w:r w:rsidRPr="00BE758C">
        <w:rPr>
          <w:rFonts w:ascii="Arial" w:hAnsi="Arial" w:cs="Arial"/>
        </w:rPr>
        <w:t>Como ya indicábamos más arriba, el Auto Cuestión Prejudicial GH pone fin a cualquier duda sobre esta cuestión al dejar claro en su párrafo 10 que “</w:t>
      </w:r>
      <w:r w:rsidRPr="00BE758C">
        <w:rPr>
          <w:rFonts w:ascii="Arial" w:hAnsi="Arial" w:cs="Arial"/>
          <w:i/>
          <w:iCs/>
        </w:rPr>
        <w:t>la aplicación de un plazo de prescripción a la acción de restitución de lo pagado por el consumidor en aplicación de una cláusula abusiva no solo es conforme con el principio de seguridad jurídica, que constituye uno de los principios rectores del Derecho de la UE, sino que además no vulnera el principio de equivalencia</w:t>
      </w:r>
      <w:r w:rsidRPr="00BE758C">
        <w:rPr>
          <w:rFonts w:ascii="Arial" w:hAnsi="Arial" w:cs="Arial"/>
        </w:rPr>
        <w:t>”.</w:t>
      </w:r>
      <w:bookmarkEnd w:id="5"/>
    </w:p>
    <w:p w14:paraId="265F9852"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En idéntico sentido se pronuncia la Sentencia de la Audiencia Provincial de Madrid </w:t>
      </w:r>
      <w:proofErr w:type="spellStart"/>
      <w:r w:rsidRPr="00BE758C">
        <w:rPr>
          <w:rFonts w:ascii="Arial" w:hAnsi="Arial" w:cs="Arial"/>
        </w:rPr>
        <w:t>nº</w:t>
      </w:r>
      <w:proofErr w:type="spellEnd"/>
      <w:r w:rsidRPr="00BE758C">
        <w:rPr>
          <w:rFonts w:ascii="Arial" w:hAnsi="Arial" w:cs="Arial"/>
        </w:rPr>
        <w:t xml:space="preserve"> 2473/2020, de 23 de noviembre dispuso que “</w:t>
      </w:r>
      <w:r w:rsidRPr="00BE758C">
        <w:rPr>
          <w:rFonts w:ascii="Arial" w:hAnsi="Arial" w:cs="Arial"/>
          <w:i/>
          <w:iCs/>
        </w:rPr>
        <w:t>La existencia de un plazo de prescripción no supone una limitación de los derechos de los consumidores que vulnere la Directiva 93/13/CEE. Ya se ha explicado la postura del Tribunal de Justicia de la Unión Europea. Por tanto, no cabe sostener que la mera existencia de un plazo de prescripción para la recuperación de las cantidades abonadas es contraria al Derecho de la Unión, ni mucho menos que solo se consagre una protección efectiva del consumidor si las acciones tuitivas en su favor están sujetas a regímenes de imprescriptibilidad</w:t>
      </w:r>
      <w:r w:rsidRPr="00BE758C">
        <w:rPr>
          <w:rFonts w:ascii="Arial" w:hAnsi="Arial" w:cs="Arial"/>
        </w:rPr>
        <w:t xml:space="preserve">”. Con más claridad si cabe se pronuncia la Sentencia de la Audiencia Provincial de Valencia </w:t>
      </w:r>
      <w:proofErr w:type="spellStart"/>
      <w:r w:rsidRPr="00BE758C">
        <w:rPr>
          <w:rFonts w:ascii="Arial" w:hAnsi="Arial" w:cs="Arial"/>
        </w:rPr>
        <w:t>nº</w:t>
      </w:r>
      <w:proofErr w:type="spellEnd"/>
      <w:r w:rsidRPr="00BE758C">
        <w:rPr>
          <w:rFonts w:ascii="Arial" w:hAnsi="Arial" w:cs="Arial"/>
        </w:rPr>
        <w:t xml:space="preserve"> 1332/2020, de 24 de noviembre:</w:t>
      </w:r>
    </w:p>
    <w:p w14:paraId="3C6345F9" w14:textId="77777777" w:rsidR="00BD7CC7" w:rsidRPr="00BE758C" w:rsidRDefault="00BD7CC7" w:rsidP="00BD7CC7">
      <w:pPr>
        <w:pStyle w:val="Prrafodelista"/>
        <w:spacing w:before="240" w:after="240" w:line="360" w:lineRule="auto"/>
        <w:ind w:left="1134"/>
        <w:contextualSpacing w:val="0"/>
        <w:jc w:val="both"/>
        <w:rPr>
          <w:rFonts w:ascii="Arial" w:hAnsi="Arial"/>
          <w:i/>
          <w:iCs/>
          <w:color w:val="000000"/>
          <w:szCs w:val="20"/>
        </w:rPr>
      </w:pPr>
      <w:r w:rsidRPr="00BE758C">
        <w:rPr>
          <w:rFonts w:ascii="Arial" w:hAnsi="Arial"/>
          <w:color w:val="000000"/>
          <w:szCs w:val="20"/>
        </w:rPr>
        <w:t xml:space="preserve">“(…) </w:t>
      </w:r>
      <w:r w:rsidRPr="00BE758C">
        <w:rPr>
          <w:rFonts w:ascii="Arial" w:hAnsi="Arial"/>
          <w:i/>
          <w:iCs/>
          <w:color w:val="000000"/>
          <w:szCs w:val="20"/>
        </w:rPr>
        <w:t xml:space="preserve">cabe señalar que esta Sección 9ª fijó su criterio respecto a la prescripción, en casos análogos, singularmente desde la Sentencia </w:t>
      </w:r>
      <w:proofErr w:type="spellStart"/>
      <w:r w:rsidRPr="00BE758C">
        <w:rPr>
          <w:rFonts w:ascii="Arial" w:hAnsi="Arial"/>
          <w:i/>
          <w:iCs/>
          <w:color w:val="000000"/>
          <w:szCs w:val="20"/>
        </w:rPr>
        <w:t>nº</w:t>
      </w:r>
      <w:proofErr w:type="spellEnd"/>
      <w:r w:rsidRPr="00BE758C">
        <w:rPr>
          <w:rFonts w:ascii="Arial" w:hAnsi="Arial"/>
          <w:i/>
          <w:iCs/>
          <w:color w:val="000000"/>
          <w:szCs w:val="20"/>
        </w:rPr>
        <w:t xml:space="preserve"> 66/2018, de 1 de febrero. En síntesis, en dicha resolución se examinaron tres cuestiones:</w:t>
      </w:r>
    </w:p>
    <w:p w14:paraId="47804689" w14:textId="77777777" w:rsidR="00BD7CC7" w:rsidRPr="00BE758C" w:rsidRDefault="00BD7CC7" w:rsidP="00BD7CC7">
      <w:pPr>
        <w:pStyle w:val="Prrafodelista"/>
        <w:spacing w:before="240" w:after="240" w:line="360" w:lineRule="auto"/>
        <w:ind w:left="1134"/>
        <w:contextualSpacing w:val="0"/>
        <w:jc w:val="both"/>
        <w:rPr>
          <w:rFonts w:ascii="Arial" w:hAnsi="Arial"/>
          <w:i/>
          <w:iCs/>
          <w:color w:val="000000"/>
          <w:szCs w:val="20"/>
        </w:rPr>
      </w:pPr>
      <w:r w:rsidRPr="00BE758C">
        <w:rPr>
          <w:rFonts w:ascii="Arial" w:hAnsi="Arial"/>
          <w:i/>
          <w:iCs/>
          <w:color w:val="000000"/>
          <w:szCs w:val="20"/>
        </w:rPr>
        <w:lastRenderedPageBreak/>
        <w:t xml:space="preserve">1. </w:t>
      </w:r>
      <w:r w:rsidRPr="00BE758C">
        <w:rPr>
          <w:rFonts w:ascii="Arial" w:hAnsi="Arial"/>
          <w:b/>
          <w:bCs/>
          <w:i/>
          <w:iCs/>
          <w:color w:val="000000"/>
          <w:szCs w:val="20"/>
          <w:u w:val="single"/>
        </w:rPr>
        <w:t>La distinción entre la acción declarativa de nulidad, imprescriptible, y la acción de restitución, sujeta a prescripción</w:t>
      </w:r>
      <w:r w:rsidRPr="00BE758C">
        <w:rPr>
          <w:rFonts w:ascii="Arial" w:hAnsi="Arial"/>
          <w:i/>
          <w:iCs/>
          <w:color w:val="000000"/>
          <w:szCs w:val="20"/>
        </w:rPr>
        <w:t xml:space="preserve">. Señala así la indicada Sentencia </w:t>
      </w:r>
      <w:proofErr w:type="spellStart"/>
      <w:r w:rsidRPr="00BE758C">
        <w:rPr>
          <w:rFonts w:ascii="Arial" w:hAnsi="Arial"/>
          <w:i/>
          <w:iCs/>
          <w:color w:val="000000"/>
          <w:szCs w:val="20"/>
        </w:rPr>
        <w:t>nº</w:t>
      </w:r>
      <w:proofErr w:type="spellEnd"/>
      <w:r w:rsidRPr="00BE758C">
        <w:rPr>
          <w:rFonts w:ascii="Arial" w:hAnsi="Arial"/>
          <w:i/>
          <w:iCs/>
          <w:color w:val="000000"/>
          <w:szCs w:val="20"/>
        </w:rPr>
        <w:t xml:space="preserve"> 66/2018: “[…] En cambio</w:t>
      </w:r>
      <w:r w:rsidRPr="00BE758C">
        <w:rPr>
          <w:rFonts w:ascii="Arial" w:hAnsi="Arial"/>
          <w:b/>
          <w:bCs/>
          <w:i/>
          <w:iCs/>
          <w:color w:val="000000"/>
          <w:szCs w:val="20"/>
          <w:u w:val="single"/>
        </w:rPr>
        <w:t>, la acción de restitución, que persigue un pronunciamiento de condena, sí está sujeta a plazo para su ejercicio, y la razón fundamental de ello es la necesidad de otorgar certidumbre a las relaciones jurídicas</w:t>
      </w:r>
      <w:r w:rsidRPr="00BE758C">
        <w:rPr>
          <w:rFonts w:ascii="Arial" w:hAnsi="Arial"/>
          <w:i/>
          <w:iCs/>
          <w:color w:val="000000"/>
          <w:szCs w:val="20"/>
        </w:rPr>
        <w:t xml:space="preserve">. </w:t>
      </w:r>
      <w:r w:rsidRPr="00BE758C">
        <w:rPr>
          <w:rFonts w:ascii="Arial" w:hAnsi="Arial"/>
          <w:color w:val="000000"/>
          <w:szCs w:val="20"/>
        </w:rPr>
        <w:t>(…)</w:t>
      </w:r>
    </w:p>
    <w:p w14:paraId="1F1ED0E2" w14:textId="77777777" w:rsidR="00BD7CC7" w:rsidRPr="00BE758C" w:rsidRDefault="00BD7CC7" w:rsidP="00BD7CC7">
      <w:pPr>
        <w:pStyle w:val="Prrafodelista"/>
        <w:spacing w:before="240" w:after="240" w:line="360" w:lineRule="auto"/>
        <w:ind w:left="1134"/>
        <w:contextualSpacing w:val="0"/>
        <w:jc w:val="both"/>
        <w:rPr>
          <w:rFonts w:ascii="Arial" w:hAnsi="Arial"/>
          <w:i/>
          <w:iCs/>
          <w:color w:val="000000"/>
          <w:szCs w:val="20"/>
        </w:rPr>
      </w:pPr>
      <w:r w:rsidRPr="00BE758C">
        <w:rPr>
          <w:rFonts w:ascii="Arial" w:hAnsi="Arial"/>
          <w:color w:val="000000"/>
          <w:szCs w:val="20"/>
        </w:rPr>
        <w:t>(…)</w:t>
      </w:r>
      <w:r w:rsidRPr="00BE758C">
        <w:rPr>
          <w:rFonts w:ascii="Arial" w:hAnsi="Arial"/>
          <w:i/>
          <w:iCs/>
          <w:color w:val="000000"/>
          <w:szCs w:val="20"/>
        </w:rPr>
        <w:t xml:space="preserve"> A partir de ello, y con referencia a la doctrina científica y a la jurisprudencia (en particular Sentencia del Tribunal Supremo de 27 de febrero de 1964), la mencionada Sentencia de esta Sección, de fecha 1 de febrero de 2018, concluye: “Es decir, y en resumen, para la citada Sentencia del Tribunal Supremo, uno, "los derechos y las acciones, de cualquier clase que sean" se extinguen por la prescripción, pues así lo establece el art. 1930, párrafo segundo, CC, y, por tanto, también prescribe el derecho a exigir la restitución; dos, cuando el Código regula los efectos de la nulidad de los contratos no declara la </w:t>
      </w:r>
      <w:proofErr w:type="spellStart"/>
      <w:r w:rsidRPr="00BE758C">
        <w:rPr>
          <w:rFonts w:ascii="Arial" w:hAnsi="Arial"/>
          <w:i/>
          <w:iCs/>
          <w:color w:val="000000"/>
          <w:szCs w:val="20"/>
        </w:rPr>
        <w:t>imprescriptiblidad</w:t>
      </w:r>
      <w:proofErr w:type="spellEnd"/>
      <w:r w:rsidRPr="00BE758C">
        <w:rPr>
          <w:rFonts w:ascii="Arial" w:hAnsi="Arial"/>
          <w:i/>
          <w:iCs/>
          <w:color w:val="000000"/>
          <w:szCs w:val="20"/>
        </w:rPr>
        <w:t xml:space="preserve"> de las acciones; y tres, entre las acciones que el Código declara imprescriptibles en el art. 1265 CC no se encuentra la acción de restitución”.</w:t>
      </w:r>
    </w:p>
    <w:p w14:paraId="485CC280" w14:textId="28CF24D4"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Por tanto, resulta claro que la acción de restitución de ventajas obtenidas indebidamente (por emplear los términos de las Directrices de la Comisión) está sujeta a prescripción. Procede entonces pasar a analizar el régimen de esa prescripción, concretamente, el plazo aplicable y el cómputo de dicho plazo. </w:t>
      </w:r>
    </w:p>
    <w:p w14:paraId="299E7D3F" w14:textId="77777777" w:rsidR="00BD7CC7" w:rsidRPr="00BE758C" w:rsidRDefault="00BD7CC7" w:rsidP="00BD7CC7">
      <w:pPr>
        <w:pStyle w:val="Prrafodelista"/>
        <w:numPr>
          <w:ilvl w:val="0"/>
          <w:numId w:val="10"/>
        </w:numPr>
        <w:suppressAutoHyphens w:val="0"/>
        <w:spacing w:before="240" w:after="240" w:line="360" w:lineRule="auto"/>
        <w:ind w:left="567" w:hanging="567"/>
        <w:contextualSpacing w:val="0"/>
        <w:jc w:val="both"/>
        <w:rPr>
          <w:rFonts w:ascii="Arial" w:hAnsi="Arial"/>
          <w:b/>
          <w:color w:val="000000"/>
          <w:szCs w:val="20"/>
        </w:rPr>
      </w:pPr>
      <w:r w:rsidRPr="00BE758C">
        <w:rPr>
          <w:rFonts w:ascii="Arial" w:hAnsi="Arial"/>
          <w:b/>
          <w:color w:val="000000"/>
          <w:szCs w:val="20"/>
        </w:rPr>
        <w:t>Aplicación del régimen de prescripción del artículo 1964 CC a la acción restitutoria. Respeto de los principios de equivalencia y efectividad</w:t>
      </w:r>
    </w:p>
    <w:p w14:paraId="40379E12"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La Directiva 93/13 no establece un plazo de prescripción para la acción restitutoria por lo que deben aplicarse los plazos existentes en Derecho nacional, siempre que dichos plazos respeten los principios de efectividad y de equivalencia</w:t>
      </w:r>
      <w:r w:rsidRPr="00BE758C">
        <w:rPr>
          <w:rStyle w:val="Refdenotaalpie"/>
          <w:rFonts w:eastAsia="Calibri" w:cs="Arial"/>
        </w:rPr>
        <w:footnoteReference w:id="17"/>
      </w:r>
      <w:r w:rsidRPr="00BE758C">
        <w:rPr>
          <w:rFonts w:ascii="Arial" w:hAnsi="Arial" w:cs="Arial"/>
        </w:rPr>
        <w:t xml:space="preserve">. </w:t>
      </w:r>
    </w:p>
    <w:p w14:paraId="30B7FD9E"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A </w:t>
      </w:r>
      <w:proofErr w:type="gramStart"/>
      <w:r w:rsidRPr="00BE758C">
        <w:rPr>
          <w:rFonts w:ascii="Arial" w:hAnsi="Arial" w:cs="Arial"/>
        </w:rPr>
        <w:t>continuación</w:t>
      </w:r>
      <w:proofErr w:type="gramEnd"/>
      <w:r w:rsidRPr="00BE758C">
        <w:rPr>
          <w:rFonts w:ascii="Arial" w:hAnsi="Arial" w:cs="Arial"/>
        </w:rPr>
        <w:t xml:space="preserve"> veremos que el Derecho nacional remite al artículo 1.964 CC y, concretamente, al apartado segundo que establece un plazo general de prescripción de 5 años para aquellas acciones que no tienen un plazo específico, como es el caso de la acción restitutoria derivada de la normativa de consumidores. Veremos igualmente que el régimen de prescripción previsto en dicho precepto se ajusta plenamente a los principios de efectividad y de equivalencia, cuyo cumplimiento exige el TJUE para entender que se trata de un régimen razonable.</w:t>
      </w:r>
    </w:p>
    <w:p w14:paraId="1D897183" w14:textId="77777777" w:rsidR="00BD7CC7" w:rsidRPr="00BE758C" w:rsidRDefault="00BD7CC7" w:rsidP="00BD7CC7">
      <w:pPr>
        <w:pStyle w:val="Prrafodelista"/>
        <w:numPr>
          <w:ilvl w:val="0"/>
          <w:numId w:val="12"/>
        </w:numPr>
        <w:suppressAutoHyphens w:val="0"/>
        <w:spacing w:before="240" w:after="240" w:line="360" w:lineRule="auto"/>
        <w:ind w:left="1134" w:hanging="567"/>
        <w:contextualSpacing w:val="0"/>
        <w:jc w:val="both"/>
        <w:rPr>
          <w:rFonts w:ascii="Arial" w:hAnsi="Arial"/>
          <w:b/>
          <w:color w:val="000000"/>
          <w:szCs w:val="20"/>
        </w:rPr>
      </w:pPr>
      <w:r w:rsidRPr="00BE758C">
        <w:rPr>
          <w:rFonts w:ascii="Arial" w:hAnsi="Arial"/>
          <w:b/>
          <w:color w:val="000000"/>
          <w:szCs w:val="20"/>
        </w:rPr>
        <w:t>Derecho nacional aplicable: 1964 CC</w:t>
      </w:r>
    </w:p>
    <w:p w14:paraId="3CD483A2" w14:textId="77777777" w:rsidR="00BD7CC7" w:rsidRPr="00BE758C" w:rsidRDefault="00BD7CC7" w:rsidP="00BD7CC7">
      <w:pPr>
        <w:spacing w:before="240" w:after="240" w:line="360" w:lineRule="auto"/>
        <w:jc w:val="both"/>
        <w:rPr>
          <w:rFonts w:ascii="Arial" w:hAnsi="Arial" w:cs="Arial"/>
          <w:i/>
        </w:rPr>
      </w:pPr>
      <w:r w:rsidRPr="00BE758C">
        <w:rPr>
          <w:rFonts w:ascii="Arial" w:hAnsi="Arial" w:cs="Arial"/>
        </w:rPr>
        <w:t xml:space="preserve">Ni la Directiva 93/13 ni su normativa de transposición al ordenamiento español (LCGC y LGDCU) </w:t>
      </w:r>
      <w:r w:rsidRPr="00BE758C">
        <w:rPr>
          <w:rFonts w:ascii="Arial" w:hAnsi="Arial" w:cs="Arial"/>
        </w:rPr>
        <w:lastRenderedPageBreak/>
        <w:t>prevén regulación alguna acerca del régimen de prescripción aplicable a la acción restitución. Por tanto, resulta de aplicación el plazo común para las acciones personales previsto en el artículo 1964.2 CC:</w:t>
      </w:r>
    </w:p>
    <w:p w14:paraId="3FCABDE9" w14:textId="77777777" w:rsidR="00BD7CC7" w:rsidRPr="00BE758C" w:rsidRDefault="00BD7CC7" w:rsidP="00BD7CC7">
      <w:pPr>
        <w:spacing w:before="240" w:after="240" w:line="360" w:lineRule="auto"/>
        <w:ind w:firstLine="567"/>
        <w:jc w:val="both"/>
        <w:rPr>
          <w:rFonts w:ascii="Arial" w:hAnsi="Arial" w:cs="Arial"/>
          <w:iCs/>
        </w:rPr>
      </w:pPr>
      <w:r w:rsidRPr="00BE758C">
        <w:rPr>
          <w:rFonts w:ascii="Arial" w:hAnsi="Arial" w:cs="Arial"/>
          <w:iCs/>
        </w:rPr>
        <w:t>“</w:t>
      </w:r>
      <w:r w:rsidRPr="00BE758C">
        <w:rPr>
          <w:rFonts w:ascii="Arial" w:hAnsi="Arial" w:cs="Arial"/>
          <w:i/>
        </w:rPr>
        <w:t>2. Las acciones personales que no tengan plazo especial prescriben a los cinco años desde que pueda exigirse el cumplimiento de la obligación. En las obligaciones continuadas de hacer o no hacer, el plazo comenzará cada vez que se incumplan.</w:t>
      </w:r>
      <w:r w:rsidRPr="00BE758C">
        <w:rPr>
          <w:rFonts w:ascii="Arial" w:hAnsi="Arial" w:cs="Arial"/>
          <w:iCs/>
        </w:rPr>
        <w:t>”</w:t>
      </w:r>
    </w:p>
    <w:p w14:paraId="5FE4683D" w14:textId="77777777" w:rsidR="00BD7CC7" w:rsidRPr="00BE758C" w:rsidRDefault="00BD7CC7" w:rsidP="00BD7CC7">
      <w:pPr>
        <w:spacing w:before="240" w:after="240" w:line="360" w:lineRule="auto"/>
        <w:jc w:val="both"/>
        <w:rPr>
          <w:rFonts w:ascii="Arial" w:hAnsi="Arial" w:cs="Arial"/>
          <w:iCs/>
        </w:rPr>
      </w:pPr>
      <w:r w:rsidRPr="00BE758C">
        <w:rPr>
          <w:rFonts w:ascii="Arial" w:hAnsi="Arial" w:cs="Arial"/>
          <w:iCs/>
        </w:rPr>
        <w:t xml:space="preserve">La jurisprudencia ha venido considerando que la acción restitutoria fundada en la normativa de consumidores está sujeta al plazo de prescripción del artículo 1964.2 CC. </w:t>
      </w:r>
      <w:bookmarkStart w:id="6" w:name="_Hlk83301915"/>
      <w:r w:rsidRPr="00BE758C">
        <w:rPr>
          <w:rFonts w:ascii="Arial" w:hAnsi="Arial" w:cs="Arial"/>
          <w:iCs/>
        </w:rPr>
        <w:t xml:space="preserve">Así lo </w:t>
      </w:r>
      <w:r w:rsidRPr="00BE758C">
        <w:rPr>
          <w:rFonts w:ascii="Arial" w:hAnsi="Arial" w:cs="Arial"/>
        </w:rPr>
        <w:t>establece de forma definitiva el Tribunal Supremo en el Auto Cuestión Prejudicial GH, confirmando lo que ya venían estableciendo las Audiencias Provinciales y el TJUE, esto es, que dicho plazo no es contrario a la Directiva 93/13. Citamos</w:t>
      </w:r>
      <w:r w:rsidRPr="00BE758C">
        <w:rPr>
          <w:rFonts w:ascii="Arial" w:hAnsi="Arial" w:cs="Arial"/>
          <w:iCs/>
        </w:rPr>
        <w:t xml:space="preserve">, por ejemplo, la ya mencionada </w:t>
      </w:r>
      <w:r w:rsidRPr="00BE758C">
        <w:rPr>
          <w:rFonts w:ascii="Arial" w:hAnsi="Arial" w:cs="Arial"/>
        </w:rPr>
        <w:t xml:space="preserve">Sentencia de la Audiencia Provincial de Valencia </w:t>
      </w:r>
      <w:proofErr w:type="spellStart"/>
      <w:r w:rsidRPr="00BE758C">
        <w:rPr>
          <w:rFonts w:ascii="Arial" w:hAnsi="Arial" w:cs="Arial"/>
        </w:rPr>
        <w:t>nº</w:t>
      </w:r>
      <w:proofErr w:type="spellEnd"/>
      <w:r w:rsidRPr="00BE758C">
        <w:rPr>
          <w:rFonts w:ascii="Arial" w:hAnsi="Arial" w:cs="Arial"/>
        </w:rPr>
        <w:t xml:space="preserve"> 1332/2020, de 24 de noviembre</w:t>
      </w:r>
      <w:bookmarkEnd w:id="6"/>
      <w:r w:rsidRPr="00BE758C">
        <w:rPr>
          <w:rFonts w:ascii="Arial" w:hAnsi="Arial" w:cs="Arial"/>
        </w:rPr>
        <w:t>:</w:t>
      </w:r>
    </w:p>
    <w:p w14:paraId="587FC8C5" w14:textId="77777777" w:rsidR="00BD7CC7" w:rsidRPr="00BE758C" w:rsidRDefault="00BD7CC7" w:rsidP="00BD7CC7">
      <w:pPr>
        <w:spacing w:before="240" w:after="240" w:line="360" w:lineRule="auto"/>
        <w:ind w:firstLine="708"/>
        <w:jc w:val="both"/>
        <w:rPr>
          <w:rFonts w:ascii="Arial" w:hAnsi="Arial" w:cs="Arial"/>
          <w:i/>
          <w:iCs/>
        </w:rPr>
      </w:pPr>
      <w:r w:rsidRPr="00BE758C">
        <w:rPr>
          <w:rFonts w:ascii="Arial" w:hAnsi="Arial" w:cs="Arial"/>
        </w:rPr>
        <w:t>“</w:t>
      </w:r>
      <w:r w:rsidRPr="00BE758C">
        <w:rPr>
          <w:rFonts w:ascii="Arial" w:hAnsi="Arial" w:cs="Arial"/>
          <w:i/>
          <w:iCs/>
        </w:rPr>
        <w:t xml:space="preserve">2. El plazo de prescripción. </w:t>
      </w:r>
      <w:r w:rsidRPr="00BE758C">
        <w:rPr>
          <w:rFonts w:ascii="Arial" w:hAnsi="Arial" w:cs="Arial"/>
        </w:rPr>
        <w:t>(…)</w:t>
      </w:r>
      <w:r w:rsidRPr="00BE758C">
        <w:rPr>
          <w:rFonts w:ascii="Arial" w:hAnsi="Arial" w:cs="Arial"/>
          <w:i/>
          <w:iCs/>
        </w:rPr>
        <w:t xml:space="preserve"> </w:t>
      </w:r>
      <w:r w:rsidRPr="00BE758C">
        <w:rPr>
          <w:rFonts w:ascii="Arial" w:hAnsi="Arial" w:cs="Arial"/>
          <w:i/>
          <w:iCs/>
          <w:u w:val="single"/>
        </w:rPr>
        <w:t xml:space="preserve">La Ley de Condiciones Generales de la Contratación no establece un plazo de prescripción de la acción de restitución; por ello, al no tener señalado un plazo expreso para su ejercicio debe aplicarse el plazo general previsto para las acciones personales que no tengan señalado plazo especial (ex - art. 1964, </w:t>
      </w:r>
      <w:proofErr w:type="gramStart"/>
      <w:r w:rsidRPr="00BE758C">
        <w:rPr>
          <w:rFonts w:ascii="Arial" w:hAnsi="Arial" w:cs="Arial"/>
          <w:i/>
          <w:iCs/>
          <w:u w:val="single"/>
        </w:rPr>
        <w:t>CC )</w:t>
      </w:r>
      <w:proofErr w:type="gramEnd"/>
      <w:r w:rsidRPr="00BE758C">
        <w:rPr>
          <w:rFonts w:ascii="Arial" w:hAnsi="Arial" w:cs="Arial"/>
          <w:i/>
          <w:iCs/>
        </w:rPr>
        <w:t xml:space="preserve"> </w:t>
      </w:r>
    </w:p>
    <w:p w14:paraId="39461AE3" w14:textId="77777777" w:rsidR="00BD7CC7" w:rsidRPr="00BE758C" w:rsidRDefault="00BD7CC7" w:rsidP="00BD7CC7">
      <w:pPr>
        <w:pStyle w:val="Prrafodelista"/>
        <w:spacing w:before="240" w:after="240" w:line="360" w:lineRule="auto"/>
        <w:ind w:left="1134"/>
        <w:jc w:val="both"/>
        <w:rPr>
          <w:rFonts w:ascii="Arial" w:hAnsi="Arial"/>
          <w:color w:val="000000"/>
          <w:szCs w:val="20"/>
        </w:rPr>
      </w:pPr>
      <w:r w:rsidRPr="00BE758C">
        <w:rPr>
          <w:rFonts w:ascii="Arial" w:hAnsi="Arial"/>
          <w:color w:val="000000"/>
          <w:szCs w:val="20"/>
        </w:rPr>
        <w:t xml:space="preserve">(…) </w:t>
      </w:r>
    </w:p>
    <w:p w14:paraId="518250D4" w14:textId="77777777" w:rsidR="00BD7CC7" w:rsidRPr="00BE758C" w:rsidRDefault="00BD7CC7" w:rsidP="00BD7CC7">
      <w:pPr>
        <w:pStyle w:val="Prrafodelista"/>
        <w:spacing w:before="240" w:after="240" w:line="360" w:lineRule="auto"/>
        <w:ind w:left="1134"/>
        <w:jc w:val="both"/>
        <w:rPr>
          <w:rFonts w:ascii="Arial" w:hAnsi="Arial"/>
          <w:color w:val="000000"/>
          <w:szCs w:val="20"/>
        </w:rPr>
      </w:pPr>
    </w:p>
    <w:p w14:paraId="0F63B11B" w14:textId="77777777" w:rsidR="00BD7CC7" w:rsidRPr="00BE758C" w:rsidRDefault="00BD7CC7" w:rsidP="00BD7CC7">
      <w:pPr>
        <w:spacing w:before="240" w:after="240" w:line="360" w:lineRule="auto"/>
        <w:jc w:val="both"/>
        <w:rPr>
          <w:rFonts w:ascii="Arial" w:hAnsi="Arial" w:cs="Arial"/>
          <w:b/>
          <w:bCs/>
        </w:rPr>
      </w:pPr>
      <w:r w:rsidRPr="00BE758C">
        <w:rPr>
          <w:rFonts w:ascii="Arial" w:hAnsi="Arial" w:cs="Arial"/>
        </w:rPr>
        <w:t xml:space="preserve">(…) </w:t>
      </w:r>
      <w:r w:rsidRPr="00BE758C">
        <w:rPr>
          <w:rFonts w:ascii="Arial" w:hAnsi="Arial" w:cs="Arial"/>
          <w:i/>
          <w:iCs/>
        </w:rPr>
        <w:t xml:space="preserve">A la luz de lo expuesto, y a efectos del presente caso, </w:t>
      </w:r>
      <w:r w:rsidRPr="00BE758C">
        <w:rPr>
          <w:rFonts w:ascii="Arial" w:hAnsi="Arial" w:cs="Arial"/>
          <w:b/>
          <w:i/>
          <w:iCs/>
        </w:rPr>
        <w:t xml:space="preserve">el plazo de quince años no es menos favorable que el aplicable a acciones similares de derecho interno (artículo 1964 del Código Civil). </w:t>
      </w:r>
      <w:r w:rsidRPr="00BE758C">
        <w:rPr>
          <w:rFonts w:ascii="Arial" w:hAnsi="Arial" w:cs="Arial"/>
          <w:b/>
          <w:i/>
          <w:iCs/>
          <w:u w:val="single"/>
        </w:rPr>
        <w:t>Atendiendo a su propia extensión, a su cómputo no desde la celebración del contrato sino desde que se efectúan los concretos pagos</w:t>
      </w:r>
      <w:r w:rsidRPr="00BE758C">
        <w:rPr>
          <w:rFonts w:ascii="Arial" w:hAnsi="Arial" w:cs="Arial"/>
          <w:b/>
          <w:i/>
          <w:iCs/>
        </w:rPr>
        <w:t xml:space="preserve">, y a la propia posibilidad de interrupción mediante reclamación extrajudicial (artículo 1973 del Código Civil), </w:t>
      </w:r>
      <w:r w:rsidRPr="00BE758C">
        <w:rPr>
          <w:rFonts w:ascii="Arial" w:hAnsi="Arial" w:cs="Arial"/>
          <w:b/>
          <w:i/>
          <w:iCs/>
          <w:u w:val="single"/>
        </w:rPr>
        <w:t>puede considerarse materialmente suficiente para permitir que el consumidor prepare e interponga un recurso efectivo, de modo que, en la práctica, no hace excesivamente difícil el ejercicio del derecho del consumidor a solicitar tal restitución</w:t>
      </w:r>
      <w:r w:rsidRPr="00BE758C">
        <w:rPr>
          <w:rFonts w:ascii="Arial" w:hAnsi="Arial" w:cs="Arial"/>
          <w:i/>
          <w:iCs/>
        </w:rPr>
        <w:t>.</w:t>
      </w:r>
      <w:r w:rsidRPr="00BE758C">
        <w:rPr>
          <w:rFonts w:ascii="Arial" w:hAnsi="Arial" w:cs="Arial"/>
        </w:rPr>
        <w:t>”</w:t>
      </w:r>
    </w:p>
    <w:p w14:paraId="7E8E1559" w14:textId="77777777" w:rsidR="00BD7CC7" w:rsidRDefault="00BD7CC7" w:rsidP="00BD7CC7">
      <w:pPr>
        <w:spacing w:before="240" w:after="240" w:line="360" w:lineRule="auto"/>
        <w:jc w:val="both"/>
        <w:rPr>
          <w:rFonts w:ascii="Arial" w:hAnsi="Arial" w:cs="Arial"/>
          <w:bCs/>
          <w:iCs/>
        </w:rPr>
      </w:pPr>
      <w:r w:rsidRPr="00BE758C">
        <w:rPr>
          <w:rFonts w:ascii="Arial" w:hAnsi="Arial" w:cs="Arial"/>
          <w:iCs/>
        </w:rPr>
        <w:t xml:space="preserve">En idéntico sentido se pronuncia la Sentencia de la Audiencia Provincial de A Coruña </w:t>
      </w:r>
      <w:proofErr w:type="spellStart"/>
      <w:r w:rsidRPr="00BE758C">
        <w:rPr>
          <w:rFonts w:ascii="Arial" w:hAnsi="Arial" w:cs="Arial"/>
          <w:iCs/>
        </w:rPr>
        <w:t>nº</w:t>
      </w:r>
      <w:proofErr w:type="spellEnd"/>
      <w:r w:rsidRPr="00BE758C">
        <w:rPr>
          <w:rFonts w:ascii="Arial" w:hAnsi="Arial" w:cs="Arial"/>
          <w:iCs/>
        </w:rPr>
        <w:t xml:space="preserve"> 447/2020, de 19 de noviembre, al indicar que “</w:t>
      </w:r>
      <w:r w:rsidRPr="00BE758C">
        <w:rPr>
          <w:rFonts w:ascii="Arial" w:hAnsi="Arial" w:cs="Arial"/>
          <w:i/>
          <w:iCs/>
        </w:rPr>
        <w:t>mantenemos que la acción de remoción o reembolso del consumidor está sometida al plazo prescriptivo del artículo 1964 del Código civil, previsto para las acciones personales que no tengan señalado término especial de prescripción</w:t>
      </w:r>
      <w:r w:rsidRPr="00BE758C">
        <w:rPr>
          <w:rFonts w:ascii="Arial" w:hAnsi="Arial" w:cs="Arial"/>
        </w:rPr>
        <w:t xml:space="preserve">”; la Sentencia de la Audiencia Provincial de Murcia </w:t>
      </w:r>
      <w:proofErr w:type="spellStart"/>
      <w:r w:rsidRPr="00BE758C">
        <w:rPr>
          <w:rFonts w:ascii="Arial" w:hAnsi="Arial" w:cs="Arial"/>
        </w:rPr>
        <w:t>nº</w:t>
      </w:r>
      <w:proofErr w:type="spellEnd"/>
      <w:r w:rsidRPr="00BE758C">
        <w:rPr>
          <w:rFonts w:ascii="Arial" w:hAnsi="Arial" w:cs="Arial"/>
        </w:rPr>
        <w:t xml:space="preserve"> 721/2020, de 3 de septiembre; la Sentencia de la Audiencia Provincial de Palencia </w:t>
      </w:r>
      <w:proofErr w:type="spellStart"/>
      <w:r w:rsidRPr="00BE758C">
        <w:rPr>
          <w:rFonts w:ascii="Arial" w:hAnsi="Arial" w:cs="Arial"/>
        </w:rPr>
        <w:t>nº</w:t>
      </w:r>
      <w:proofErr w:type="spellEnd"/>
      <w:r w:rsidRPr="00BE758C">
        <w:rPr>
          <w:rFonts w:ascii="Arial" w:hAnsi="Arial" w:cs="Arial"/>
        </w:rPr>
        <w:t xml:space="preserve"> 207/2020, de 2 de julio, que indica que “</w:t>
      </w:r>
      <w:r w:rsidRPr="00BE758C">
        <w:rPr>
          <w:rFonts w:ascii="Arial" w:hAnsi="Arial" w:cs="Arial"/>
          <w:bCs/>
          <w:i/>
        </w:rPr>
        <w:t>la prescripción de la acción restitutoria no resulta contraria al artículo 6. 1º de la Directiva 93/13, siempre que el plazo de prescripción resulte “razonable”; como ocurre en nuestro Derecho con los plazos de prescripción de las acciones personales (artículo 1964 del Código Civil)</w:t>
      </w:r>
      <w:r w:rsidRPr="00BE758C">
        <w:rPr>
          <w:rFonts w:ascii="Arial" w:hAnsi="Arial" w:cs="Arial"/>
          <w:bCs/>
          <w:iCs/>
        </w:rPr>
        <w:t>”; o la Sentencia de 26 de junio de 2020 de la Audiencia Provincial de Palma de Mallorca (Secc. 5ª).</w:t>
      </w:r>
    </w:p>
    <w:p w14:paraId="68F26812" w14:textId="77777777" w:rsidR="00362EA8" w:rsidRDefault="00362EA8" w:rsidP="00BD7CC7">
      <w:pPr>
        <w:spacing w:before="240" w:after="240" w:line="360" w:lineRule="auto"/>
        <w:jc w:val="both"/>
        <w:rPr>
          <w:rFonts w:ascii="Arial" w:hAnsi="Arial" w:cs="Arial"/>
          <w:bCs/>
          <w:iCs/>
        </w:rPr>
      </w:pPr>
    </w:p>
    <w:p w14:paraId="389E459F" w14:textId="77777777" w:rsidR="00362EA8" w:rsidRPr="00BE758C" w:rsidRDefault="00362EA8" w:rsidP="00BD7CC7">
      <w:pPr>
        <w:spacing w:before="240" w:after="240" w:line="360" w:lineRule="auto"/>
        <w:jc w:val="both"/>
        <w:rPr>
          <w:rFonts w:ascii="Arial" w:hAnsi="Arial" w:cs="Arial"/>
          <w:bCs/>
        </w:rPr>
      </w:pPr>
    </w:p>
    <w:p w14:paraId="2BD5EE8B" w14:textId="77777777" w:rsidR="00BD7CC7" w:rsidRPr="00BE758C" w:rsidRDefault="00BD7CC7" w:rsidP="00BD7CC7">
      <w:pPr>
        <w:spacing w:before="240" w:after="240" w:line="360" w:lineRule="auto"/>
        <w:jc w:val="both"/>
        <w:rPr>
          <w:rFonts w:ascii="Arial" w:hAnsi="Arial" w:cs="Arial"/>
          <w:iCs/>
        </w:rPr>
      </w:pPr>
      <w:r w:rsidRPr="00BE758C">
        <w:rPr>
          <w:rFonts w:ascii="Arial" w:hAnsi="Arial" w:cs="Arial"/>
          <w:iCs/>
        </w:rPr>
        <w:t xml:space="preserve">Por su parte, el TJUE en la Sentencia en el asunto </w:t>
      </w:r>
      <w:proofErr w:type="spellStart"/>
      <w:r w:rsidRPr="00BE758C">
        <w:rPr>
          <w:rFonts w:ascii="Arial" w:hAnsi="Arial" w:cs="Arial"/>
          <w:i/>
        </w:rPr>
        <w:t>Caixabank</w:t>
      </w:r>
      <w:proofErr w:type="spellEnd"/>
      <w:r w:rsidRPr="00BE758C">
        <w:rPr>
          <w:rFonts w:ascii="Arial" w:hAnsi="Arial" w:cs="Arial"/>
          <w:i/>
        </w:rPr>
        <w:t xml:space="preserve"> </w:t>
      </w:r>
      <w:r w:rsidRPr="00BE758C">
        <w:rPr>
          <w:rFonts w:ascii="Arial" w:hAnsi="Arial" w:cs="Arial"/>
          <w:iCs/>
        </w:rPr>
        <w:t xml:space="preserve">ha declarado </w:t>
      </w:r>
      <w:r w:rsidRPr="00BE758C">
        <w:rPr>
          <w:rFonts w:ascii="Arial" w:hAnsi="Arial" w:cs="Arial"/>
        </w:rPr>
        <w:t xml:space="preserve">adecuada la aplicación del plazo previsto en el artículo 1964 CC a los efectos restitutorios derivados de una declaración de nulidad por </w:t>
      </w:r>
      <w:proofErr w:type="spellStart"/>
      <w:r w:rsidRPr="00BE758C">
        <w:rPr>
          <w:rFonts w:ascii="Arial" w:hAnsi="Arial" w:cs="Arial"/>
        </w:rPr>
        <w:t>abusividad</w:t>
      </w:r>
      <w:proofErr w:type="spellEnd"/>
      <w:r w:rsidRPr="00BE758C">
        <w:rPr>
          <w:rFonts w:ascii="Arial" w:hAnsi="Arial" w:cs="Arial"/>
        </w:rPr>
        <w:t>, siempre y cuando el cómputo de ese plazo cumpla determinadas características que, como veremos a continuación, concurren en este caso</w:t>
      </w:r>
      <w:r w:rsidRPr="00BE758C">
        <w:rPr>
          <w:rStyle w:val="Refdenotaalpie"/>
          <w:rFonts w:cs="Arial"/>
        </w:rPr>
        <w:footnoteReference w:id="18"/>
      </w:r>
      <w:r w:rsidRPr="00BE758C">
        <w:rPr>
          <w:rFonts w:ascii="Arial" w:hAnsi="Arial" w:cs="Arial"/>
        </w:rPr>
        <w:t>.</w:t>
      </w:r>
    </w:p>
    <w:p w14:paraId="492D2409" w14:textId="77777777" w:rsidR="00BD7CC7" w:rsidRPr="00BE758C" w:rsidRDefault="00BD7CC7" w:rsidP="00BD7CC7">
      <w:pPr>
        <w:spacing w:before="240" w:after="240" w:line="360" w:lineRule="auto"/>
        <w:jc w:val="both"/>
        <w:rPr>
          <w:rFonts w:ascii="Arial" w:hAnsi="Arial" w:cs="Arial"/>
          <w:i/>
        </w:rPr>
      </w:pPr>
      <w:r w:rsidRPr="00BE758C">
        <w:rPr>
          <w:rFonts w:ascii="Arial" w:hAnsi="Arial" w:cs="Arial"/>
        </w:rPr>
        <w:t>De hecho, el Ministerio de Consumo en su “</w:t>
      </w:r>
      <w:r w:rsidRPr="00BE758C">
        <w:rPr>
          <w:rFonts w:ascii="Arial" w:hAnsi="Arial" w:cs="Arial"/>
          <w:i/>
          <w:iCs/>
        </w:rPr>
        <w:t>Nota informativa sobre los derechos que asisten a las personas consumidoras en relación con gastos derivados de las hipotecas y otras cuestiones de ámbito financiero</w:t>
      </w:r>
      <w:r w:rsidRPr="00BE758C">
        <w:rPr>
          <w:rFonts w:ascii="Arial" w:hAnsi="Arial" w:cs="Arial"/>
        </w:rPr>
        <w:t>”, cuya primera versión se emitió en enero de 2021 y la segunda el 4 de marzo de 2021, confirmó que el “</w:t>
      </w:r>
      <w:r w:rsidRPr="00BE758C">
        <w:rPr>
          <w:rFonts w:ascii="Arial" w:hAnsi="Arial" w:cs="Arial"/>
          <w:i/>
          <w:iCs/>
        </w:rPr>
        <w:t>plazo para solicitar la devolución de gastos</w:t>
      </w:r>
      <w:r w:rsidRPr="00BE758C">
        <w:rPr>
          <w:rFonts w:ascii="Arial" w:hAnsi="Arial" w:cs="Arial"/>
          <w:i/>
        </w:rPr>
        <w:t xml:space="preserve"> derivados de una cláusula declarada abusiva es de cinco años</w:t>
      </w:r>
      <w:r w:rsidRPr="00BE758C">
        <w:rPr>
          <w:rFonts w:ascii="Arial" w:hAnsi="Arial" w:cs="Arial"/>
          <w:iCs/>
        </w:rPr>
        <w:t>”.</w:t>
      </w:r>
    </w:p>
    <w:p w14:paraId="63CC496E"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En definitiva, ni el Derecho nacional, ni el Derecho de la Unión contienen ninguna previsión que permita inaplicar en este caso el plazo de prescripción previsto en el artículo 1964 CC a los efectos restitutorios derivados de la eventual declaración de </w:t>
      </w:r>
      <w:proofErr w:type="spellStart"/>
      <w:r w:rsidRPr="00BE758C">
        <w:rPr>
          <w:rFonts w:ascii="Arial" w:hAnsi="Arial" w:cs="Arial"/>
        </w:rPr>
        <w:t>abusividad</w:t>
      </w:r>
      <w:proofErr w:type="spellEnd"/>
      <w:r w:rsidRPr="00BE758C">
        <w:rPr>
          <w:rFonts w:ascii="Arial" w:hAnsi="Arial" w:cs="Arial"/>
        </w:rPr>
        <w:t xml:space="preserve"> de las cláusulas del préstamo </w:t>
      </w:r>
      <w:proofErr w:type="spellStart"/>
      <w:r w:rsidRPr="00BE758C">
        <w:rPr>
          <w:rFonts w:ascii="Arial" w:hAnsi="Arial" w:cs="Arial"/>
        </w:rPr>
        <w:t>multidivisa</w:t>
      </w:r>
      <w:proofErr w:type="spellEnd"/>
      <w:r w:rsidRPr="00BE758C">
        <w:rPr>
          <w:rFonts w:ascii="Arial" w:hAnsi="Arial" w:cs="Arial"/>
        </w:rPr>
        <w:t xml:space="preserve"> impugnadas de contrario.</w:t>
      </w:r>
    </w:p>
    <w:p w14:paraId="2F29EAD6" w14:textId="77777777" w:rsidR="00BD7CC7" w:rsidRPr="00BE758C" w:rsidRDefault="00BD7CC7" w:rsidP="00BD7CC7">
      <w:pPr>
        <w:pStyle w:val="Prrafodelista"/>
        <w:numPr>
          <w:ilvl w:val="0"/>
          <w:numId w:val="12"/>
        </w:numPr>
        <w:suppressAutoHyphens w:val="0"/>
        <w:spacing w:before="240" w:after="240" w:line="360" w:lineRule="auto"/>
        <w:ind w:left="1134" w:hanging="567"/>
        <w:contextualSpacing w:val="0"/>
        <w:jc w:val="both"/>
        <w:rPr>
          <w:rFonts w:ascii="Arial" w:hAnsi="Arial"/>
          <w:b/>
          <w:color w:val="000000"/>
          <w:szCs w:val="20"/>
        </w:rPr>
      </w:pPr>
      <w:r w:rsidRPr="00BE758C">
        <w:rPr>
          <w:rFonts w:ascii="Arial" w:hAnsi="Arial"/>
          <w:b/>
          <w:color w:val="000000"/>
          <w:szCs w:val="20"/>
        </w:rPr>
        <w:t>La aplicación del artículo 1964 respeta los principios de equivalencia y efectividad</w:t>
      </w:r>
    </w:p>
    <w:p w14:paraId="7622E077"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En el apartado </w:t>
      </w:r>
      <w:r w:rsidRPr="00BE758C">
        <w:rPr>
          <w:rFonts w:ascii="Arial" w:hAnsi="Arial" w:cs="Arial"/>
        </w:rPr>
        <w:fldChar w:fldCharType="begin"/>
      </w:r>
      <w:r w:rsidRPr="00BE758C">
        <w:rPr>
          <w:rFonts w:ascii="Arial" w:hAnsi="Arial" w:cs="Arial"/>
        </w:rPr>
        <w:instrText xml:space="preserve"> REF _Ref74758751 \r \h  \* MERGEFORMAT </w:instrText>
      </w:r>
      <w:r w:rsidRPr="00BE758C">
        <w:rPr>
          <w:rFonts w:ascii="Arial" w:hAnsi="Arial" w:cs="Arial"/>
        </w:rPr>
      </w:r>
      <w:r w:rsidRPr="00BE758C">
        <w:rPr>
          <w:rFonts w:ascii="Arial" w:hAnsi="Arial" w:cs="Arial"/>
        </w:rPr>
        <w:fldChar w:fldCharType="separate"/>
      </w:r>
      <w:r w:rsidRPr="00BE758C">
        <w:rPr>
          <w:rFonts w:ascii="Arial" w:hAnsi="Arial" w:cs="Arial"/>
        </w:rPr>
        <w:t>17</w:t>
      </w:r>
      <w:r w:rsidRPr="00BE758C">
        <w:rPr>
          <w:rFonts w:ascii="Arial" w:hAnsi="Arial" w:cs="Arial"/>
        </w:rPr>
        <w:fldChar w:fldCharType="end"/>
      </w:r>
      <w:r w:rsidRPr="00BE758C">
        <w:rPr>
          <w:rFonts w:ascii="Arial" w:hAnsi="Arial" w:cs="Arial"/>
        </w:rPr>
        <w:t xml:space="preserve"> anterior hemos reproducido la posición del TJUE en lo que respecta a la prescripción de la acción restitutoria, posición que puede resumirse en que sí es posible dicha prescripción siempre que respete el principio de equivalencia y efectividad.</w:t>
      </w:r>
    </w:p>
    <w:p w14:paraId="330A356F" w14:textId="77777777" w:rsidR="00BD7CC7" w:rsidRPr="00BE758C" w:rsidRDefault="00BD7CC7" w:rsidP="00BD7CC7">
      <w:pPr>
        <w:spacing w:before="240" w:after="240" w:line="360" w:lineRule="auto"/>
        <w:jc w:val="both"/>
        <w:rPr>
          <w:rFonts w:ascii="Arial" w:hAnsi="Arial" w:cs="Arial"/>
        </w:rPr>
      </w:pPr>
      <w:bookmarkStart w:id="7" w:name="_Hlk83302071"/>
      <w:r w:rsidRPr="00BE758C">
        <w:rPr>
          <w:rFonts w:ascii="Arial" w:hAnsi="Arial" w:cs="Arial"/>
        </w:rPr>
        <w:t>En primer lugar, la aplicación del plazo de prescripción del artículo 1.964 CC a la acción restitutoria derivada de la normativa de consumidores resulta no solo consistente sino necesaria para respetar el principio de equivalencia. Y ello porque en el Derecho nacional nos encontramos con que la restitución de las ventajas (o prestaciones) derivadas de otras acciones que persiguen fines similares están sujetas a plazo (de caducidad o prescripción, respectivamente). A título de ejemplo:</w:t>
      </w:r>
    </w:p>
    <w:p w14:paraId="29B0B513"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La acción de daños y perjuicios del artículo 1101 CC, derivado del incumplimiento de obligaciones, está sujeta al plazo de prescripción del artículo 1964.2 CC. Es importante destacar que la acción de remoción de efectos o de restitución de ventajas es similar a la acción del artículo 1101 CC pues esta última también “</w:t>
      </w:r>
      <w:r w:rsidRPr="00BE758C">
        <w:rPr>
          <w:rFonts w:ascii="Arial" w:hAnsi="Arial"/>
          <w:i/>
          <w:color w:val="000000"/>
          <w:szCs w:val="20"/>
        </w:rPr>
        <w:t xml:space="preserve">persigue reequilibrar la economía del consumidor tras el daño </w:t>
      </w:r>
      <w:r w:rsidRPr="00BE758C">
        <w:rPr>
          <w:rFonts w:ascii="Arial" w:hAnsi="Arial"/>
          <w:i/>
          <w:color w:val="000000"/>
          <w:szCs w:val="20"/>
        </w:rPr>
        <w:lastRenderedPageBreak/>
        <w:t>patrimonial sufrido por causa del incumplimiento del deber de información</w:t>
      </w:r>
      <w:r w:rsidRPr="00BE758C">
        <w:rPr>
          <w:rFonts w:ascii="Arial" w:hAnsi="Arial"/>
          <w:color w:val="000000"/>
          <w:szCs w:val="20"/>
        </w:rPr>
        <w:t>”</w:t>
      </w:r>
      <w:r w:rsidRPr="00BE758C">
        <w:rPr>
          <w:rStyle w:val="Refdenotaalpie"/>
          <w:color w:val="000000"/>
          <w:szCs w:val="20"/>
        </w:rPr>
        <w:t xml:space="preserve"> </w:t>
      </w:r>
      <w:r w:rsidRPr="00BE758C">
        <w:rPr>
          <w:rStyle w:val="Refdenotaalpie"/>
          <w:color w:val="000000"/>
          <w:szCs w:val="20"/>
        </w:rPr>
        <w:footnoteReference w:id="19"/>
      </w:r>
      <w:r w:rsidRPr="00BE758C">
        <w:rPr>
          <w:rFonts w:ascii="Arial" w:hAnsi="Arial"/>
          <w:color w:val="000000"/>
          <w:szCs w:val="20"/>
        </w:rPr>
        <w:t>, quedando el contrato en vigor.</w:t>
      </w:r>
    </w:p>
    <w:p w14:paraId="7B1F53E5"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 xml:space="preserve">Con carácter general, las obligaciones personales de todo tipo que no tengan un plazo de prescripción específico fijado legalmente están también sujetas al plazo de 5 años del artículo 1964.2 CC. </w:t>
      </w:r>
    </w:p>
    <w:p w14:paraId="7BE268A8"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BE758C">
        <w:rPr>
          <w:rFonts w:ascii="Arial" w:hAnsi="Arial"/>
          <w:color w:val="000000"/>
          <w:szCs w:val="20"/>
        </w:rPr>
        <w:t>De igual modo, la acción de indemnización derivada de la responsabilidad extracontractual (artículo 1902 CC) está sujeta también a un plazo de prescripción, más restrictivo si cabe, ya que el artículo 1968 CC prevé un plazo de un año.</w:t>
      </w:r>
    </w:p>
    <w:p w14:paraId="37D5E799" w14:textId="233FE95B"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lang w:val="es-ES_tradnl"/>
        </w:rPr>
      </w:pPr>
      <w:r w:rsidRPr="00BE758C">
        <w:rPr>
          <w:rFonts w:ascii="Arial" w:hAnsi="Arial"/>
          <w:color w:val="000000"/>
          <w:szCs w:val="20"/>
          <w:lang w:val="es-ES_tradnl"/>
        </w:rPr>
        <w:t xml:space="preserve">Por </w:t>
      </w:r>
      <w:r w:rsidR="00362EA8" w:rsidRPr="00BE758C">
        <w:rPr>
          <w:rFonts w:ascii="Arial" w:hAnsi="Arial"/>
          <w:color w:val="000000"/>
          <w:szCs w:val="20"/>
          <w:lang w:val="es-ES_tradnl"/>
        </w:rPr>
        <w:t>último,</w:t>
      </w:r>
      <w:r w:rsidRPr="00BE758C">
        <w:rPr>
          <w:rFonts w:ascii="Arial" w:hAnsi="Arial"/>
          <w:color w:val="000000"/>
          <w:szCs w:val="20"/>
          <w:lang w:val="es-ES_tradnl"/>
        </w:rPr>
        <w:t xml:space="preserve"> resulta altamente ilustrativo atender a los plazos para ejercitar acciones que buscan dejar sin efecto contratos en su integridad, por ser un supuesto si cabe más grave que el perseguido por la declaración de </w:t>
      </w:r>
      <w:proofErr w:type="spellStart"/>
      <w:r w:rsidRPr="00BE758C">
        <w:rPr>
          <w:rFonts w:ascii="Arial" w:hAnsi="Arial"/>
          <w:color w:val="000000"/>
          <w:szCs w:val="20"/>
          <w:lang w:val="es-ES_tradnl"/>
        </w:rPr>
        <w:t>abusividad</w:t>
      </w:r>
      <w:proofErr w:type="spellEnd"/>
      <w:r w:rsidRPr="00BE758C">
        <w:rPr>
          <w:rFonts w:ascii="Arial" w:hAnsi="Arial"/>
          <w:color w:val="000000"/>
          <w:szCs w:val="20"/>
          <w:lang w:val="es-ES_tradnl"/>
        </w:rPr>
        <w:t xml:space="preserve"> (donde se pretende dejar sin efectos determinadas cláusulas, perviviendo el resto de clausulado no abusivo). Estas reclamaciones, que llevan aparejada su consiguiente remoción de efectos (a diferencia de la nulidad por </w:t>
      </w:r>
      <w:proofErr w:type="spellStart"/>
      <w:r w:rsidRPr="00BE758C">
        <w:rPr>
          <w:rFonts w:ascii="Arial" w:hAnsi="Arial"/>
          <w:color w:val="000000"/>
          <w:szCs w:val="20"/>
          <w:lang w:val="es-ES_tradnl"/>
        </w:rPr>
        <w:t>abusividad</w:t>
      </w:r>
      <w:proofErr w:type="spellEnd"/>
      <w:r w:rsidRPr="00BE758C">
        <w:rPr>
          <w:rFonts w:ascii="Arial" w:hAnsi="Arial"/>
          <w:color w:val="000000"/>
          <w:szCs w:val="20"/>
          <w:lang w:val="es-ES_tradnl"/>
        </w:rPr>
        <w:t xml:space="preserve"> donde dicha remoción no es automática y necesita el ejercicio de una acción separada), están sujetas a plazos mucho más estrictos que los que analizamos en este caso.</w:t>
      </w:r>
    </w:p>
    <w:p w14:paraId="2422A815" w14:textId="77777777" w:rsidR="00BD7CC7" w:rsidRPr="00BE758C" w:rsidRDefault="00BD7CC7" w:rsidP="00BD7CC7">
      <w:pPr>
        <w:pStyle w:val="Prrafodelista"/>
        <w:spacing w:before="240" w:after="240" w:line="360" w:lineRule="auto"/>
        <w:ind w:left="1134"/>
        <w:contextualSpacing w:val="0"/>
        <w:jc w:val="both"/>
        <w:rPr>
          <w:rFonts w:ascii="Arial" w:hAnsi="Arial"/>
          <w:color w:val="000000"/>
          <w:szCs w:val="20"/>
          <w:lang w:val="es-ES_tradnl"/>
        </w:rPr>
      </w:pPr>
      <w:r w:rsidRPr="00BE758C">
        <w:rPr>
          <w:rFonts w:ascii="Arial" w:hAnsi="Arial"/>
          <w:color w:val="000000"/>
          <w:szCs w:val="20"/>
          <w:lang w:val="es-ES_tradnl"/>
        </w:rPr>
        <w:t xml:space="preserve">Por ejemplo, la acción pauliana </w:t>
      </w:r>
      <w:r w:rsidRPr="00BE758C">
        <w:rPr>
          <w:rFonts w:ascii="Arial" w:hAnsi="Arial"/>
          <w:i/>
          <w:iCs/>
          <w:color w:val="000000"/>
          <w:szCs w:val="20"/>
          <w:lang w:val="es-ES_tradnl"/>
        </w:rPr>
        <w:t xml:space="preserve">ex </w:t>
      </w:r>
      <w:r w:rsidRPr="00BE758C">
        <w:rPr>
          <w:rFonts w:ascii="Arial" w:hAnsi="Arial"/>
          <w:color w:val="000000"/>
          <w:szCs w:val="20"/>
          <w:lang w:val="es-ES_tradnl"/>
        </w:rPr>
        <w:t xml:space="preserve">artículo 1111 CC (que busca la revocación de actos realizados en fraude de acreedores) o la acción rescisoria del artículo 1291 CC (que busca dejar sin efecto contratos en su totalidad) están sujetas a un plazo de caducidad de 4 años desde que se pudo ejercitar la acción de conformidad con el artículo 1299 CC. Dichas acciones rescisorias, de conformidad con el artículo 1295 CC, llevan aparejada la remoción de efectos </w:t>
      </w:r>
      <w:r w:rsidRPr="00BE758C">
        <w:rPr>
          <w:rFonts w:ascii="Arial" w:hAnsi="Arial"/>
          <w:color w:val="000000"/>
          <w:szCs w:val="20"/>
        </w:rPr>
        <w:t xml:space="preserve">(sin necesidad de ejercitar una acción separada como sí ocurre en la nulidad por </w:t>
      </w:r>
      <w:proofErr w:type="spellStart"/>
      <w:r w:rsidRPr="00BE758C">
        <w:rPr>
          <w:rFonts w:ascii="Arial" w:hAnsi="Arial"/>
          <w:color w:val="000000"/>
          <w:szCs w:val="20"/>
        </w:rPr>
        <w:t>abusividad</w:t>
      </w:r>
      <w:proofErr w:type="spellEnd"/>
      <w:r w:rsidRPr="00BE758C">
        <w:rPr>
          <w:rFonts w:ascii="Arial" w:hAnsi="Arial"/>
          <w:color w:val="000000"/>
          <w:szCs w:val="20"/>
        </w:rPr>
        <w:t xml:space="preserve">) </w:t>
      </w:r>
      <w:r w:rsidRPr="00BE758C">
        <w:rPr>
          <w:rFonts w:ascii="Arial" w:hAnsi="Arial"/>
          <w:color w:val="000000"/>
          <w:szCs w:val="20"/>
          <w:lang w:val="es-ES_tradnl"/>
        </w:rPr>
        <w:t>por lo que dicha restitución queda subsumida en el referido plazo de caducidad.</w:t>
      </w:r>
    </w:p>
    <w:p w14:paraId="6096FCC0" w14:textId="77777777" w:rsidR="00BD7CC7" w:rsidRPr="00BE758C" w:rsidRDefault="00BD7CC7" w:rsidP="00BD7CC7">
      <w:pPr>
        <w:pStyle w:val="Prrafodelista"/>
        <w:spacing w:before="240" w:after="240" w:line="360" w:lineRule="auto"/>
        <w:ind w:left="1134"/>
        <w:contextualSpacing w:val="0"/>
        <w:jc w:val="both"/>
        <w:rPr>
          <w:rFonts w:ascii="Arial" w:hAnsi="Arial"/>
          <w:color w:val="000000"/>
          <w:szCs w:val="20"/>
        </w:rPr>
      </w:pPr>
      <w:r w:rsidRPr="00BE758C">
        <w:rPr>
          <w:rFonts w:ascii="Arial" w:hAnsi="Arial"/>
          <w:color w:val="000000"/>
          <w:szCs w:val="20"/>
        </w:rPr>
        <w:t xml:space="preserve">Al mismo plazo de caducidad de 4 años se sujeta la acción de nulidad de los contratos por intimidación, violencia, error, dolo o falsedad en la causa </w:t>
      </w:r>
      <w:r w:rsidRPr="00BE758C">
        <w:rPr>
          <w:rFonts w:ascii="Arial" w:hAnsi="Arial"/>
          <w:i/>
          <w:iCs/>
          <w:color w:val="000000"/>
          <w:szCs w:val="20"/>
        </w:rPr>
        <w:t xml:space="preserve">ex </w:t>
      </w:r>
      <w:r w:rsidRPr="00BE758C">
        <w:rPr>
          <w:rFonts w:ascii="Arial" w:hAnsi="Arial"/>
          <w:color w:val="000000"/>
          <w:szCs w:val="20"/>
        </w:rPr>
        <w:t xml:space="preserve">artículo 1301 CC. En estos casos de nulidad por vicio en el consentimiento el artículo 1303 CC también prevé expresamente como consecuencia de esa nulidad la remoción de los efectos sin necesidad de ejercitar una acción separada. </w:t>
      </w:r>
    </w:p>
    <w:p w14:paraId="1B6B4AC3" w14:textId="77777777" w:rsidR="00BD7CC7" w:rsidRDefault="00BD7CC7" w:rsidP="00BD7CC7">
      <w:pPr>
        <w:pStyle w:val="Prrafodelista"/>
        <w:spacing w:before="240" w:after="240" w:line="360" w:lineRule="auto"/>
        <w:ind w:left="1134"/>
        <w:contextualSpacing w:val="0"/>
        <w:jc w:val="both"/>
        <w:rPr>
          <w:rFonts w:ascii="Arial" w:hAnsi="Arial"/>
          <w:color w:val="000000"/>
          <w:szCs w:val="20"/>
        </w:rPr>
      </w:pPr>
      <w:r w:rsidRPr="00BE758C">
        <w:rPr>
          <w:rFonts w:ascii="Arial" w:hAnsi="Arial"/>
          <w:color w:val="000000"/>
          <w:szCs w:val="20"/>
        </w:rPr>
        <w:lastRenderedPageBreak/>
        <w:t>Recordemos que el plazo de caducidad que aplica a estas acciones que persiguen dejar sin efecto la totalidad el contrato no es susceptible de interrupción, de ahí que sea especialmente relevante a efectos de valorar el cumplimiento del principio de equivalencia en este caso.</w:t>
      </w:r>
    </w:p>
    <w:p w14:paraId="13AE9A25" w14:textId="77777777" w:rsidR="00362EA8" w:rsidRPr="00BE758C" w:rsidRDefault="00362EA8" w:rsidP="00BD7CC7">
      <w:pPr>
        <w:pStyle w:val="Prrafodelista"/>
        <w:spacing w:before="240" w:after="240" w:line="360" w:lineRule="auto"/>
        <w:ind w:left="1134"/>
        <w:contextualSpacing w:val="0"/>
        <w:jc w:val="both"/>
        <w:rPr>
          <w:rFonts w:ascii="Arial" w:hAnsi="Arial"/>
          <w:color w:val="000000"/>
          <w:szCs w:val="20"/>
        </w:rPr>
      </w:pPr>
    </w:p>
    <w:p w14:paraId="7E1FDBB9"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Las anteriores acciones protegen los mismos derechos que la acción restitutoria derivada de la declaración de </w:t>
      </w:r>
      <w:proofErr w:type="spellStart"/>
      <w:r w:rsidRPr="00BE758C">
        <w:rPr>
          <w:rFonts w:ascii="Arial" w:hAnsi="Arial" w:cs="Arial"/>
        </w:rPr>
        <w:t>abusividad</w:t>
      </w:r>
      <w:proofErr w:type="spellEnd"/>
      <w:r w:rsidRPr="00BE758C">
        <w:rPr>
          <w:rFonts w:ascii="Arial" w:hAnsi="Arial" w:cs="Arial"/>
        </w:rPr>
        <w:t xml:space="preserve"> y, desde el punto de vista de la causa, objeto y elementos esenciales de dichas acciones, nos encontramos con que son similares a la acción de remoción de efectos o de restitución de ventajas que nos ocupa. Por tanto, es evidente que la acción restitutoria derivada de la declaración de </w:t>
      </w:r>
      <w:proofErr w:type="spellStart"/>
      <w:r w:rsidRPr="00BE758C">
        <w:rPr>
          <w:rFonts w:ascii="Arial" w:hAnsi="Arial" w:cs="Arial"/>
        </w:rPr>
        <w:t>abusividad</w:t>
      </w:r>
      <w:proofErr w:type="spellEnd"/>
      <w:r w:rsidRPr="00BE758C">
        <w:rPr>
          <w:rFonts w:ascii="Arial" w:hAnsi="Arial" w:cs="Arial"/>
        </w:rPr>
        <w:t xml:space="preserve">, cuando se ejercita con base en la Directiva 93/13, no puede estar sujeta a un tratamiento no equivalente y debe estar también sometida a plazo. </w:t>
      </w:r>
    </w:p>
    <w:bookmarkEnd w:id="7"/>
    <w:p w14:paraId="273D53F3" w14:textId="2C5C454D" w:rsidR="00BD7CC7" w:rsidRPr="00BE758C" w:rsidRDefault="00BD7CC7" w:rsidP="00BD7CC7">
      <w:pPr>
        <w:spacing w:before="240" w:after="240" w:line="360" w:lineRule="auto"/>
        <w:jc w:val="both"/>
        <w:rPr>
          <w:rFonts w:ascii="Arial" w:hAnsi="Arial" w:cs="Arial"/>
          <w:i/>
        </w:rPr>
      </w:pPr>
      <w:r w:rsidRPr="00BE758C">
        <w:rPr>
          <w:rFonts w:ascii="Arial" w:hAnsi="Arial" w:cs="Arial"/>
        </w:rPr>
        <w:t xml:space="preserve">Al respecto, la ya mencionada Sentencia </w:t>
      </w:r>
      <w:proofErr w:type="spellStart"/>
      <w:r w:rsidRPr="00BE758C">
        <w:rPr>
          <w:rFonts w:ascii="Arial" w:hAnsi="Arial" w:cs="Arial"/>
        </w:rPr>
        <w:t>nº</w:t>
      </w:r>
      <w:proofErr w:type="spellEnd"/>
      <w:r w:rsidRPr="00BE758C">
        <w:rPr>
          <w:rFonts w:ascii="Arial" w:hAnsi="Arial" w:cs="Arial"/>
        </w:rPr>
        <w:t xml:space="preserve"> 447/2020 de la Audiencia Provincial de A Coruña (Secc. 4ª), de 19 de noviembre, considera que la aplicación del artículo 1964 CC respeta el principio de equivalencia ya que “</w:t>
      </w:r>
      <w:r w:rsidRPr="00BE758C">
        <w:rPr>
          <w:rFonts w:ascii="Arial" w:hAnsi="Arial" w:cs="Arial"/>
          <w:i/>
        </w:rPr>
        <w:t>no es dudoso que la norma no confiere a los consumidores, en este contexto, un trato menos favorable que el de otras aplicables a situaciones similares. De hecho, en las disposiciones generales del Código civil no existen plazos más extensos de prescripción de acciones de naturaleza personal que el que contempla el artículo 1964</w:t>
      </w:r>
      <w:r w:rsidRPr="00BE758C">
        <w:rPr>
          <w:rFonts w:ascii="Arial" w:hAnsi="Arial" w:cs="Arial"/>
          <w:iCs/>
        </w:rPr>
        <w:t xml:space="preserve">”. </w:t>
      </w:r>
    </w:p>
    <w:p w14:paraId="76CA61F9"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Enlazando con el principio de efectividad, que pasamos a analizar a continuación, dicha sentencia considera que la aplicación del artículo 1964 CC respeta igualmente ese principio a la vista de la extensión del plazo previsto (5 años, con las particularidades que se verán a continuación). La Sentencia </w:t>
      </w:r>
      <w:proofErr w:type="spellStart"/>
      <w:r w:rsidRPr="00BE758C">
        <w:rPr>
          <w:rFonts w:ascii="Arial" w:hAnsi="Arial" w:cs="Arial"/>
        </w:rPr>
        <w:t>nº</w:t>
      </w:r>
      <w:proofErr w:type="spellEnd"/>
      <w:r w:rsidRPr="00BE758C">
        <w:rPr>
          <w:rFonts w:ascii="Arial" w:hAnsi="Arial" w:cs="Arial"/>
        </w:rPr>
        <w:t xml:space="preserve"> 2473/2020 de la Audiencia Provincial de Madrid (Secc. 28ª Refuerzo), de 23 de noviembre, también considera que el principio de efectividad no se ve afectado por la aplicación de dicho precepto ya que “</w:t>
      </w:r>
      <w:r w:rsidRPr="00BE758C">
        <w:rPr>
          <w:rFonts w:ascii="Arial" w:hAnsi="Arial" w:cs="Arial"/>
          <w:i/>
          <w:iCs/>
        </w:rPr>
        <w:t>debe tenerse en cuenta, en el caso del Ordenamiento jurídico español, que la extensión temporal del plazo de prescripción establecido legalmente es suficientemente amplio como para habilitar la posibilidad real de autotutela de los derechos del consumidor, mediante el ejercicio de acciones judiciales para su defensa</w:t>
      </w:r>
      <w:r w:rsidRPr="00BE758C">
        <w:rPr>
          <w:rFonts w:ascii="Arial" w:hAnsi="Arial" w:cs="Arial"/>
        </w:rPr>
        <w:t>”.</w:t>
      </w:r>
    </w:p>
    <w:p w14:paraId="4D1D7F59"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Efectivamente, el TJUE considera que la clave para entender que el principio de efectividad se respeta es garantizar que el plazo de prescripción aplicado “</w:t>
      </w:r>
      <w:r w:rsidRPr="00BE758C">
        <w:rPr>
          <w:rFonts w:ascii="Arial" w:hAnsi="Arial" w:cs="Arial"/>
          <w:i/>
          <w:iCs/>
        </w:rPr>
        <w:t>no haga imposible en la práctica o excesivamente difícil el ejercicio de los derechos conferidos en dicha Directiva</w:t>
      </w:r>
      <w:r w:rsidRPr="00BE758C">
        <w:rPr>
          <w:rFonts w:ascii="Arial" w:hAnsi="Arial" w:cs="Arial"/>
        </w:rPr>
        <w:t>”</w:t>
      </w:r>
      <w:r w:rsidRPr="00BE758C">
        <w:rPr>
          <w:rStyle w:val="Refdenotaalpie"/>
          <w:rFonts w:cs="Arial"/>
        </w:rPr>
        <w:footnoteReference w:id="20"/>
      </w:r>
      <w:r w:rsidRPr="00BE758C">
        <w:rPr>
          <w:rFonts w:ascii="Arial" w:hAnsi="Arial" w:cs="Arial"/>
        </w:rPr>
        <w:t xml:space="preserve">. Y, precisamente, el TJUE ha tenido la oportunidad de analizar el plazo de 5 años </w:t>
      </w:r>
      <w:r w:rsidRPr="00BE758C">
        <w:rPr>
          <w:rFonts w:ascii="Arial" w:hAnsi="Arial" w:cs="Arial"/>
          <w:i/>
        </w:rPr>
        <w:t>ex</w:t>
      </w:r>
      <w:r w:rsidRPr="00BE758C">
        <w:rPr>
          <w:rFonts w:ascii="Arial" w:hAnsi="Arial" w:cs="Arial"/>
        </w:rPr>
        <w:t xml:space="preserve"> artículo 1964 CC y ha determinado que su duración respeta el principio de efectividad. Lo ha hecho en la sentencia dictada en el asunto </w:t>
      </w:r>
      <w:proofErr w:type="spellStart"/>
      <w:r w:rsidRPr="00BE758C">
        <w:rPr>
          <w:rFonts w:ascii="Arial" w:hAnsi="Arial" w:cs="Arial"/>
          <w:i/>
        </w:rPr>
        <w:t>Caixabank</w:t>
      </w:r>
      <w:proofErr w:type="spellEnd"/>
      <w:r w:rsidRPr="00BE758C">
        <w:rPr>
          <w:rFonts w:ascii="Arial" w:hAnsi="Arial" w:cs="Arial"/>
        </w:rPr>
        <w:t>, recordando que en otros asuntos ya se habían declarado conformes plazos de prescripción de tres y dos años</w:t>
      </w:r>
      <w:r w:rsidRPr="00BE758C">
        <w:rPr>
          <w:rStyle w:val="Refdenotaalpie"/>
          <w:rFonts w:cs="Arial"/>
        </w:rPr>
        <w:footnoteReference w:id="21"/>
      </w:r>
      <w:r w:rsidRPr="00BE758C">
        <w:rPr>
          <w:rFonts w:ascii="Arial" w:hAnsi="Arial" w:cs="Arial"/>
        </w:rPr>
        <w:t xml:space="preserve">. De igual forma el reciente en el Auto Cuestión Prejudicial GH, el TS también confirma que el plazo de 5 años del artículo 1964 CC es el aplicable a la acción restitutoria vinculada a la reclamación de reembolso de gastos de </w:t>
      </w:r>
      <w:r w:rsidRPr="00BE758C">
        <w:rPr>
          <w:rFonts w:ascii="Arial" w:hAnsi="Arial" w:cs="Arial"/>
        </w:rPr>
        <w:lastRenderedPageBreak/>
        <w:t xml:space="preserve">constitución de hipoteca derivada de una declaración de </w:t>
      </w:r>
      <w:proofErr w:type="spellStart"/>
      <w:r w:rsidRPr="00BE758C">
        <w:rPr>
          <w:rFonts w:ascii="Arial" w:hAnsi="Arial" w:cs="Arial"/>
        </w:rPr>
        <w:t>abusividad</w:t>
      </w:r>
      <w:proofErr w:type="spellEnd"/>
      <w:r w:rsidRPr="00BE758C">
        <w:rPr>
          <w:rFonts w:ascii="Arial" w:hAnsi="Arial" w:cs="Arial"/>
        </w:rPr>
        <w:t>.</w:t>
      </w:r>
    </w:p>
    <w:p w14:paraId="7FAB56C4" w14:textId="77777777" w:rsidR="00BD7CC7" w:rsidRPr="00BE758C" w:rsidRDefault="00BD7CC7" w:rsidP="00BD7CC7">
      <w:pPr>
        <w:spacing w:before="240" w:after="240" w:line="360" w:lineRule="auto"/>
        <w:jc w:val="both"/>
        <w:rPr>
          <w:rFonts w:ascii="Arial" w:hAnsi="Arial" w:cs="Arial"/>
          <w:lang w:val="es-ES_tradnl"/>
        </w:rPr>
      </w:pPr>
      <w:r w:rsidRPr="00BE758C">
        <w:rPr>
          <w:rFonts w:ascii="Arial" w:hAnsi="Arial" w:cs="Arial"/>
          <w:lang w:val="es-ES_tradnl"/>
        </w:rPr>
        <w:t xml:space="preserve">No existe, por tanto, ninguna duda sobre la conformidad del artículo 1964.2 CC y, en particular, el plazo de prescripción de 5 años a la acción restitutoria aquí analizada, con los principios de equivalencia y efectividad. </w:t>
      </w:r>
    </w:p>
    <w:p w14:paraId="6B2C8A72" w14:textId="77777777" w:rsidR="00BD7CC7" w:rsidRPr="00BE758C" w:rsidRDefault="00BD7CC7" w:rsidP="00BD7CC7">
      <w:pPr>
        <w:pStyle w:val="Prrafodelista"/>
        <w:numPr>
          <w:ilvl w:val="0"/>
          <w:numId w:val="10"/>
        </w:numPr>
        <w:suppressAutoHyphens w:val="0"/>
        <w:spacing w:before="240" w:after="240" w:line="360" w:lineRule="auto"/>
        <w:ind w:left="567" w:hanging="578"/>
        <w:contextualSpacing w:val="0"/>
        <w:jc w:val="both"/>
        <w:rPr>
          <w:rFonts w:ascii="Arial" w:hAnsi="Arial"/>
          <w:b/>
          <w:color w:val="000000"/>
          <w:szCs w:val="20"/>
        </w:rPr>
      </w:pPr>
      <w:r w:rsidRPr="00BE758C">
        <w:rPr>
          <w:rFonts w:ascii="Arial" w:hAnsi="Arial"/>
          <w:b/>
          <w:color w:val="000000"/>
          <w:szCs w:val="20"/>
        </w:rPr>
        <w:t>Cómputo del plazo aplicable</w:t>
      </w:r>
    </w:p>
    <w:p w14:paraId="26C83153" w14:textId="77777777" w:rsidR="00BD7CC7" w:rsidRPr="00BE758C" w:rsidRDefault="00BD7CC7" w:rsidP="00BD7CC7">
      <w:pPr>
        <w:spacing w:before="240" w:after="240" w:line="360" w:lineRule="auto"/>
        <w:ind w:left="-11"/>
        <w:jc w:val="both"/>
        <w:rPr>
          <w:rFonts w:ascii="Arial" w:hAnsi="Arial" w:cs="Arial"/>
          <w:bCs/>
        </w:rPr>
      </w:pPr>
      <w:r w:rsidRPr="00BE758C">
        <w:rPr>
          <w:rFonts w:ascii="Arial" w:hAnsi="Arial" w:cs="Arial"/>
          <w:bCs/>
        </w:rPr>
        <w:t xml:space="preserve">De cara a la correcta aplicación del artículo 1964.2 CC es necesario abordar los criterios para fijar el </w:t>
      </w:r>
      <w:proofErr w:type="spellStart"/>
      <w:r w:rsidRPr="00BE758C">
        <w:rPr>
          <w:rFonts w:ascii="Arial" w:hAnsi="Arial" w:cs="Arial"/>
          <w:bCs/>
          <w:i/>
          <w:iCs/>
        </w:rPr>
        <w:t>dies</w:t>
      </w:r>
      <w:proofErr w:type="spellEnd"/>
      <w:r w:rsidRPr="00BE758C">
        <w:rPr>
          <w:rFonts w:ascii="Arial" w:hAnsi="Arial" w:cs="Arial"/>
          <w:bCs/>
          <w:i/>
          <w:iCs/>
        </w:rPr>
        <w:t xml:space="preserve"> a </w:t>
      </w:r>
      <w:bookmarkStart w:id="8" w:name="_Hlk80787654"/>
      <w:r w:rsidRPr="00BE758C">
        <w:rPr>
          <w:rFonts w:ascii="Arial" w:hAnsi="Arial" w:cs="Arial"/>
          <w:bCs/>
          <w:i/>
          <w:iCs/>
        </w:rPr>
        <w:t>quo</w:t>
      </w:r>
      <w:r w:rsidRPr="00BE758C">
        <w:rPr>
          <w:rFonts w:ascii="Arial" w:hAnsi="Arial" w:cs="Arial"/>
          <w:bCs/>
        </w:rPr>
        <w:t>.</w:t>
      </w:r>
    </w:p>
    <w:p w14:paraId="69190502" w14:textId="77777777" w:rsidR="00BD7CC7" w:rsidRPr="00BE758C" w:rsidRDefault="00BD7CC7" w:rsidP="00BD7CC7">
      <w:pPr>
        <w:pStyle w:val="Prrafodelista"/>
        <w:numPr>
          <w:ilvl w:val="0"/>
          <w:numId w:val="13"/>
        </w:numPr>
        <w:suppressAutoHyphens w:val="0"/>
        <w:spacing w:before="240" w:after="240" w:line="360" w:lineRule="auto"/>
        <w:ind w:left="1134" w:hanging="567"/>
        <w:contextualSpacing w:val="0"/>
        <w:jc w:val="both"/>
        <w:rPr>
          <w:rFonts w:ascii="Arial" w:hAnsi="Arial"/>
          <w:b/>
          <w:color w:val="000000"/>
          <w:szCs w:val="20"/>
        </w:rPr>
      </w:pPr>
      <w:bookmarkStart w:id="9" w:name="_Hlk80787690"/>
      <w:bookmarkStart w:id="10" w:name="_Hlk80787774"/>
      <w:bookmarkEnd w:id="8"/>
      <w:r w:rsidRPr="00BE758C">
        <w:rPr>
          <w:rFonts w:ascii="Arial" w:hAnsi="Arial"/>
          <w:b/>
          <w:color w:val="000000"/>
          <w:szCs w:val="20"/>
        </w:rPr>
        <w:t xml:space="preserve">Fijación del </w:t>
      </w:r>
      <w:proofErr w:type="spellStart"/>
      <w:r w:rsidRPr="00BE758C">
        <w:rPr>
          <w:rFonts w:ascii="Arial" w:hAnsi="Arial"/>
          <w:b/>
          <w:i/>
          <w:iCs/>
          <w:color w:val="000000"/>
          <w:szCs w:val="20"/>
        </w:rPr>
        <w:t>dies</w:t>
      </w:r>
      <w:proofErr w:type="spellEnd"/>
      <w:r w:rsidRPr="00BE758C">
        <w:rPr>
          <w:rFonts w:ascii="Arial" w:hAnsi="Arial"/>
          <w:b/>
          <w:i/>
          <w:iCs/>
          <w:color w:val="000000"/>
          <w:szCs w:val="20"/>
        </w:rPr>
        <w:t xml:space="preserve"> a quo </w:t>
      </w:r>
      <w:r w:rsidRPr="00BE758C">
        <w:rPr>
          <w:rFonts w:ascii="Arial" w:hAnsi="Arial"/>
          <w:b/>
          <w:color w:val="000000"/>
          <w:szCs w:val="20"/>
        </w:rPr>
        <w:t>o momento de inicio de la prescripción</w:t>
      </w:r>
    </w:p>
    <w:p w14:paraId="7FE1FEFB" w14:textId="77777777" w:rsidR="00BD7CC7" w:rsidRPr="00BE758C" w:rsidRDefault="00BD7CC7" w:rsidP="00BD7CC7">
      <w:pPr>
        <w:spacing w:before="240" w:after="240" w:line="360" w:lineRule="auto"/>
        <w:jc w:val="both"/>
        <w:rPr>
          <w:rFonts w:ascii="Arial" w:hAnsi="Arial" w:cs="Arial"/>
        </w:rPr>
      </w:pPr>
      <w:bookmarkStart w:id="11" w:name="_Ref82445566"/>
      <w:bookmarkEnd w:id="9"/>
      <w:r>
        <w:rPr>
          <w:rFonts w:ascii="Arial" w:hAnsi="Arial" w:cs="Arial"/>
        </w:rPr>
        <w:t>Debemos</w:t>
      </w:r>
      <w:r w:rsidRPr="00BE758C">
        <w:rPr>
          <w:rFonts w:ascii="Arial" w:hAnsi="Arial" w:cs="Arial"/>
        </w:rPr>
        <w:t xml:space="preserve"> pasar a analizar cómo se fija el momento de inicio del cómputo de la prescripción, esto es, el </w:t>
      </w:r>
      <w:proofErr w:type="spellStart"/>
      <w:r w:rsidRPr="00BE758C">
        <w:rPr>
          <w:rFonts w:ascii="Arial" w:hAnsi="Arial" w:cs="Arial"/>
          <w:i/>
          <w:iCs/>
        </w:rPr>
        <w:t>dies</w:t>
      </w:r>
      <w:proofErr w:type="spellEnd"/>
      <w:r w:rsidRPr="00BE758C">
        <w:rPr>
          <w:rFonts w:ascii="Arial" w:hAnsi="Arial" w:cs="Arial"/>
          <w:i/>
          <w:iCs/>
        </w:rPr>
        <w:t xml:space="preserve"> a quo.</w:t>
      </w:r>
      <w:r w:rsidRPr="00BE758C">
        <w:rPr>
          <w:rFonts w:ascii="Arial" w:hAnsi="Arial" w:cs="Arial"/>
        </w:rPr>
        <w:t xml:space="preserve"> </w:t>
      </w:r>
      <w:bookmarkStart w:id="12" w:name="_Hlk83302183"/>
      <w:r w:rsidRPr="00BE758C">
        <w:rPr>
          <w:rFonts w:ascii="Arial" w:hAnsi="Arial" w:cs="Arial"/>
        </w:rPr>
        <w:t>Al respecto, el TJUE ha declarado que lo relevante es el momento en el que el consumidor “</w:t>
      </w:r>
      <w:r w:rsidRPr="00BE758C">
        <w:rPr>
          <w:rFonts w:ascii="Arial" w:hAnsi="Arial" w:cs="Arial"/>
          <w:i/>
          <w:u w:val="single"/>
        </w:rPr>
        <w:t>tenía o podía razonablemente tener conocimiento del carácter abusivo de esta cláusula</w:t>
      </w:r>
      <w:r w:rsidRPr="00BE758C">
        <w:rPr>
          <w:rFonts w:ascii="Arial" w:hAnsi="Arial" w:cs="Arial"/>
        </w:rPr>
        <w:t>” y estaba en condiciones de ejercitar la acción (que no se haga “</w:t>
      </w:r>
      <w:r w:rsidRPr="00BE758C">
        <w:rPr>
          <w:rFonts w:ascii="Arial" w:hAnsi="Arial" w:cs="Arial"/>
          <w:i/>
        </w:rPr>
        <w:t>imposible en la práctica o excesivamente difícil el ejercicio del derecho del consumidor a solicitar tal restitución</w:t>
      </w:r>
      <w:r w:rsidRPr="00BE758C">
        <w:rPr>
          <w:rFonts w:ascii="Arial" w:hAnsi="Arial" w:cs="Arial"/>
          <w:iCs/>
        </w:rPr>
        <w:t>”)</w:t>
      </w:r>
      <w:r w:rsidRPr="00BE758C">
        <w:rPr>
          <w:rStyle w:val="Refdenotaalpie"/>
          <w:rFonts w:eastAsia="Calibri" w:cs="Arial"/>
        </w:rPr>
        <w:footnoteReference w:id="22"/>
      </w:r>
      <w:r w:rsidRPr="00BE758C">
        <w:rPr>
          <w:rFonts w:ascii="Arial" w:hAnsi="Arial" w:cs="Arial"/>
        </w:rPr>
        <w:t>. Precisamente este es el criterio que opera en la normativa nacional aplicable, tal y como ha sido interpretada por el Tribunal Supremo.</w:t>
      </w:r>
      <w:bookmarkEnd w:id="11"/>
    </w:p>
    <w:bookmarkEnd w:id="12"/>
    <w:p w14:paraId="1BFFDA8C" w14:textId="77777777" w:rsidR="00BD7CC7" w:rsidRPr="00BE758C" w:rsidRDefault="00BD7CC7" w:rsidP="00BD7CC7">
      <w:pPr>
        <w:spacing w:before="240" w:after="240" w:line="360" w:lineRule="auto"/>
        <w:jc w:val="both"/>
        <w:rPr>
          <w:rFonts w:ascii="Arial" w:hAnsi="Arial" w:cs="Arial"/>
          <w:bCs/>
        </w:rPr>
      </w:pPr>
      <w:r w:rsidRPr="00BE758C">
        <w:rPr>
          <w:rFonts w:ascii="Arial" w:hAnsi="Arial" w:cs="Arial"/>
          <w:bCs/>
        </w:rPr>
        <w:t>El artículo 1964.2 CC establece que las acciones personales que no tengan plazo especial prescriben a los 5 años “</w:t>
      </w:r>
      <w:r w:rsidRPr="00BE758C">
        <w:rPr>
          <w:rFonts w:ascii="Arial" w:hAnsi="Arial" w:cs="Arial"/>
          <w:bCs/>
          <w:i/>
          <w:iCs/>
        </w:rPr>
        <w:t>desde que pueda exigirse el cumplimiento de la obligación</w:t>
      </w:r>
      <w:r w:rsidRPr="00BE758C">
        <w:rPr>
          <w:rFonts w:ascii="Arial" w:hAnsi="Arial" w:cs="Arial"/>
          <w:bCs/>
        </w:rPr>
        <w:t>”. Por su parte, el artículo 1969 CC establece que “</w:t>
      </w:r>
      <w:r w:rsidRPr="00BE758C">
        <w:rPr>
          <w:rFonts w:ascii="Arial" w:hAnsi="Arial" w:cs="Arial"/>
          <w:bCs/>
          <w:i/>
          <w:iCs/>
        </w:rPr>
        <w:t>el tiempo para la prescripción de toda clase de acciones, cuando no haya disposición especial que otra cosa determine, se contará desde el día en que pudieron ejercitarse</w:t>
      </w:r>
      <w:r w:rsidRPr="00BE758C">
        <w:rPr>
          <w:rFonts w:ascii="Arial" w:hAnsi="Arial" w:cs="Arial"/>
          <w:bCs/>
        </w:rPr>
        <w:t>”.</w:t>
      </w:r>
    </w:p>
    <w:p w14:paraId="416FEDF9" w14:textId="77777777" w:rsidR="00BD7CC7" w:rsidRPr="00BE758C" w:rsidRDefault="00BD7CC7" w:rsidP="00BD7CC7">
      <w:pPr>
        <w:spacing w:before="240" w:after="240" w:line="360" w:lineRule="auto"/>
        <w:jc w:val="both"/>
        <w:rPr>
          <w:rFonts w:ascii="Arial" w:hAnsi="Arial" w:cs="Arial"/>
        </w:rPr>
      </w:pPr>
      <w:r w:rsidRPr="00BE758C">
        <w:rPr>
          <w:rFonts w:ascii="Arial" w:hAnsi="Arial" w:cs="Arial"/>
        </w:rPr>
        <w:t xml:space="preserve">Los anteriores preceptos acuden a la regla de la </w:t>
      </w:r>
      <w:proofErr w:type="spellStart"/>
      <w:r w:rsidRPr="00BE758C">
        <w:rPr>
          <w:rFonts w:ascii="Arial" w:hAnsi="Arial" w:cs="Arial"/>
          <w:i/>
        </w:rPr>
        <w:t>actio</w:t>
      </w:r>
      <w:proofErr w:type="spellEnd"/>
      <w:r w:rsidRPr="00BE758C">
        <w:rPr>
          <w:rFonts w:ascii="Arial" w:hAnsi="Arial" w:cs="Arial"/>
          <w:i/>
        </w:rPr>
        <w:t xml:space="preserve"> nata</w:t>
      </w:r>
      <w:r w:rsidRPr="00BE758C">
        <w:rPr>
          <w:rFonts w:ascii="Arial" w:hAnsi="Arial" w:cs="Arial"/>
        </w:rPr>
        <w:t>, de carácter objetivo, si bien la interpretación dada por el Tribunal Supremo a dicha regla ha ido evolucionando hacia una interpretación acorde a lo exigido por el TJUE, en el sentido de considerar que “poder ejercitar la acción” incluye un elemento subjetivo, a saber, la posibilidad real de ejercicio de la acción y el conocimiento por el acreedor de la lesión de su derecho</w:t>
      </w:r>
      <w:r w:rsidRPr="00BE758C">
        <w:rPr>
          <w:rStyle w:val="Refdenotaalpie"/>
          <w:rFonts w:cs="Arial"/>
        </w:rPr>
        <w:footnoteReference w:id="23"/>
      </w:r>
      <w:r w:rsidRPr="00BE758C">
        <w:rPr>
          <w:rFonts w:ascii="Arial" w:hAnsi="Arial" w:cs="Arial"/>
        </w:rPr>
        <w:t xml:space="preserve">. Ese elemento subjetivo exige, por tanto, analizar las circunstancias del caso concreto y las particularidades de la situación de cada consumidor para determinar en qué momento tuvo conciencia de la posible </w:t>
      </w:r>
      <w:proofErr w:type="spellStart"/>
      <w:r w:rsidRPr="00BE758C">
        <w:rPr>
          <w:rFonts w:ascii="Arial" w:hAnsi="Arial" w:cs="Arial"/>
        </w:rPr>
        <w:t>abusividad</w:t>
      </w:r>
      <w:proofErr w:type="spellEnd"/>
      <w:r w:rsidRPr="00BE758C">
        <w:rPr>
          <w:rFonts w:ascii="Arial" w:hAnsi="Arial" w:cs="Arial"/>
        </w:rPr>
        <w:t xml:space="preserve"> de la cláusula y pudo haberse planteado el ejercicio de la acción.</w:t>
      </w:r>
    </w:p>
    <w:p w14:paraId="7E093D60" w14:textId="77777777" w:rsidR="00BD7CC7" w:rsidRDefault="00BD7CC7" w:rsidP="00BD7CC7">
      <w:pPr>
        <w:spacing w:before="240" w:after="240" w:line="360" w:lineRule="auto"/>
        <w:jc w:val="both"/>
        <w:rPr>
          <w:rFonts w:ascii="Arial" w:hAnsi="Arial" w:cs="Arial"/>
        </w:rPr>
      </w:pPr>
      <w:r w:rsidRPr="00D94AA2">
        <w:rPr>
          <w:rFonts w:ascii="Arial" w:hAnsi="Arial" w:cs="Arial"/>
        </w:rPr>
        <w:t xml:space="preserve">Sentado lo anterior y teniendo en cuenta la jurisprudencia del TJUE, muchas de nuestras Audiencias Provinciales entienden que dicho conocimiento razonable de la posibilidad de que la cláusula fuera abusiva, </w:t>
      </w:r>
      <w:proofErr w:type="gramStart"/>
      <w:r w:rsidRPr="00D94AA2">
        <w:rPr>
          <w:rFonts w:ascii="Arial" w:hAnsi="Arial" w:cs="Arial"/>
        </w:rPr>
        <w:t>y</w:t>
      </w:r>
      <w:proofErr w:type="gramEnd"/>
      <w:r w:rsidRPr="00D94AA2">
        <w:rPr>
          <w:rFonts w:ascii="Arial" w:hAnsi="Arial" w:cs="Arial"/>
        </w:rPr>
        <w:t xml:space="preserve"> por tanto, de la posibilidad de ejercitar la acción, fue adquirida </w:t>
      </w:r>
      <w:r>
        <w:rPr>
          <w:rFonts w:ascii="Arial" w:hAnsi="Arial" w:cs="Arial"/>
        </w:rPr>
        <w:t xml:space="preserve">en el momento de la </w:t>
      </w:r>
      <w:r w:rsidRPr="00C468FD">
        <w:rPr>
          <w:rFonts w:ascii="Arial" w:hAnsi="Arial" w:cs="Arial"/>
          <w:b/>
        </w:rPr>
        <w:t xml:space="preserve">fecha de publicación de la Sentencia del Tribunal Supremo de 23 de </w:t>
      </w:r>
      <w:r w:rsidRPr="00C468FD">
        <w:rPr>
          <w:rFonts w:ascii="Arial" w:hAnsi="Arial" w:cs="Arial"/>
          <w:b/>
        </w:rPr>
        <w:lastRenderedPageBreak/>
        <w:t>diciembre de 2015</w:t>
      </w:r>
      <w:r>
        <w:rPr>
          <w:rFonts w:ascii="Arial" w:hAnsi="Arial" w:cs="Arial"/>
        </w:rPr>
        <w:t xml:space="preserve"> en virtud de la cual, se declaró la nulidad de la cláusula de gastos. </w:t>
      </w:r>
    </w:p>
    <w:p w14:paraId="43847680" w14:textId="77777777" w:rsidR="00BD7CC7" w:rsidRDefault="00BD7CC7" w:rsidP="00BD7CC7">
      <w:pPr>
        <w:spacing w:before="240" w:after="240" w:line="360" w:lineRule="auto"/>
        <w:jc w:val="both"/>
        <w:rPr>
          <w:rFonts w:ascii="Arial" w:hAnsi="Arial" w:cs="Arial"/>
          <w:lang w:val="es-ES_tradnl"/>
        </w:rPr>
      </w:pPr>
      <w:r w:rsidRPr="00C47D8A">
        <w:rPr>
          <w:rFonts w:ascii="Arial" w:hAnsi="Arial" w:cs="Arial"/>
          <w:lang w:val="es-ES_tradnl"/>
        </w:rPr>
        <w:t xml:space="preserve">Sentado lo anterior y teniendo en cuenta la jurisprudencia del TJUE, muchas de nuestras Audiencias Provinciales, incluyen en su análisis otro elemento relevante tenido en cuenta por los diferentes Tribunales para valorar el </w:t>
      </w:r>
      <w:proofErr w:type="spellStart"/>
      <w:r w:rsidRPr="00C47D8A">
        <w:rPr>
          <w:rFonts w:ascii="Arial" w:hAnsi="Arial" w:cs="Arial"/>
          <w:lang w:val="es-ES_tradnl"/>
        </w:rPr>
        <w:t>dies</w:t>
      </w:r>
      <w:proofErr w:type="spellEnd"/>
      <w:r w:rsidRPr="00C47D8A">
        <w:rPr>
          <w:rFonts w:ascii="Arial" w:hAnsi="Arial" w:cs="Arial"/>
          <w:lang w:val="es-ES_tradnl"/>
        </w:rPr>
        <w:t xml:space="preserve"> a quo que no es otro que el conocimiento generalizado de la potencial </w:t>
      </w:r>
      <w:proofErr w:type="spellStart"/>
      <w:r w:rsidRPr="00C47D8A">
        <w:rPr>
          <w:rFonts w:ascii="Arial" w:hAnsi="Arial" w:cs="Arial"/>
          <w:lang w:val="es-ES_tradnl"/>
        </w:rPr>
        <w:t>abusividad</w:t>
      </w:r>
      <w:proofErr w:type="spellEnd"/>
      <w:r w:rsidRPr="00C47D8A">
        <w:rPr>
          <w:rFonts w:ascii="Arial" w:hAnsi="Arial" w:cs="Arial"/>
          <w:lang w:val="es-ES_tradnl"/>
        </w:rPr>
        <w:t xml:space="preserve"> de la cláusula. Muchos Tribunales, con carácter general, han venido </w:t>
      </w:r>
      <w:r w:rsidRPr="00C47D8A">
        <w:rPr>
          <w:rFonts w:ascii="Arial" w:hAnsi="Arial" w:cs="Arial"/>
          <w:b/>
          <w:lang w:val="es-ES_tradnl"/>
        </w:rPr>
        <w:t>fijando ese momento en la Sentencia del Tribunal Supremo de 23 de diciembre de 2015</w:t>
      </w:r>
      <w:bookmarkStart w:id="13" w:name="_Ref75164769"/>
      <w:r>
        <w:rPr>
          <w:rFonts w:ascii="Arial" w:hAnsi="Arial" w:cs="Arial"/>
          <w:lang w:val="es-ES_tradnl"/>
        </w:rPr>
        <w:t>:</w:t>
      </w:r>
    </w:p>
    <w:p w14:paraId="4BC2D242" w14:textId="77777777" w:rsidR="00BD7CC7" w:rsidRDefault="00BD7CC7" w:rsidP="00BD7CC7">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734/2022 de la Sección Primera, de lo Civil, de la Audiencia Provincial de Córdoba, de 19 de julio de 2022. </w:t>
      </w:r>
    </w:p>
    <w:p w14:paraId="0C090BF1" w14:textId="77777777" w:rsidR="00BD7CC7" w:rsidRDefault="00BD7CC7" w:rsidP="00BD7CC7">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100/2022 de la Sección Primera, de lo Civil, de la Audiencia Provincial de Girona, de 9 de febrero de 2022. </w:t>
      </w:r>
    </w:p>
    <w:p w14:paraId="521BC77C" w14:textId="77777777" w:rsidR="00BD7CC7" w:rsidRDefault="00BD7CC7" w:rsidP="00BD7CC7">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138/2022 de la Sección Tercera, de lo Civil, de la Audiencia Provincial de Burgos, de 29 de abril de 2022. </w:t>
      </w:r>
    </w:p>
    <w:p w14:paraId="0EC0BCF6" w14:textId="77777777" w:rsidR="00BD7CC7" w:rsidRDefault="00BD7CC7" w:rsidP="00BD7CC7">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4 de la Sección Tercera, de lo Civil, de la Audiencia Provincial de Burgos, de 12 de enero de 2023. </w:t>
      </w:r>
    </w:p>
    <w:p w14:paraId="131DE5D6" w14:textId="77777777" w:rsidR="00BD7CC7" w:rsidRDefault="00BD7CC7" w:rsidP="00BD7CC7">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648/2022 de la Sección Sexta, de lo Civil, de la Audiencia Provincial de Málaga, de 6 de abril de 2022. </w:t>
      </w:r>
    </w:p>
    <w:p w14:paraId="7D070C9E" w14:textId="77777777" w:rsidR="00BD7CC7" w:rsidRDefault="00BD7CC7" w:rsidP="00BD7CC7">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58/2023 de la Sección Primera, de lo Civil, de la Audiencia Provincial de Valladolid, de 3 de marzo de 2023. </w:t>
      </w:r>
    </w:p>
    <w:p w14:paraId="127C0D5A" w14:textId="77777777" w:rsidR="00BD7CC7" w:rsidRDefault="00BD7CC7" w:rsidP="00BD7CC7">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Núm. 531 de la Sección Primera, de lo Civil, de la Audiencia Provincial de Toledo, de 22 de abril de 2022. </w:t>
      </w:r>
    </w:p>
    <w:p w14:paraId="3C18E43A" w14:textId="77777777" w:rsidR="00BD7CC7" w:rsidRDefault="00BD7CC7" w:rsidP="00BD7CC7">
      <w:pPr>
        <w:pStyle w:val="Prrafodelista"/>
        <w:numPr>
          <w:ilvl w:val="0"/>
          <w:numId w:val="14"/>
        </w:numPr>
        <w:suppressAutoHyphens w:val="0"/>
        <w:spacing w:before="240" w:after="240" w:line="360" w:lineRule="auto"/>
        <w:jc w:val="both"/>
        <w:rPr>
          <w:rFonts w:ascii="Arial" w:hAnsi="Arial"/>
          <w:szCs w:val="20"/>
          <w:lang w:val="es-ES_tradnl"/>
        </w:rPr>
      </w:pPr>
      <w:r>
        <w:rPr>
          <w:rFonts w:ascii="Arial" w:hAnsi="Arial"/>
          <w:szCs w:val="20"/>
          <w:lang w:val="es-ES_tradnl"/>
        </w:rPr>
        <w:t xml:space="preserve">Sentencia 577/2022 del Juzgado de Primera Instancia Núm. 50 bis de Barcelona, de 21 de enero de 2022: </w:t>
      </w:r>
    </w:p>
    <w:p w14:paraId="21F85732" w14:textId="77777777" w:rsidR="00BD7CC7" w:rsidRPr="00441ECA" w:rsidRDefault="00BD7CC7" w:rsidP="00BD7CC7">
      <w:pPr>
        <w:pStyle w:val="Prrafodelista"/>
        <w:spacing w:before="240" w:after="240" w:line="360" w:lineRule="auto"/>
        <w:jc w:val="both"/>
        <w:rPr>
          <w:rFonts w:ascii="DejaVuSans" w:hAnsi="DejaVuSans" w:cs="DejaVuSans"/>
          <w:i/>
          <w:sz w:val="21"/>
        </w:rPr>
      </w:pPr>
      <w:r>
        <w:rPr>
          <w:rFonts w:ascii="DejaVuSans" w:hAnsi="DejaVuSans" w:cs="DejaVuSans"/>
          <w:sz w:val="21"/>
        </w:rPr>
        <w:t>“</w:t>
      </w:r>
      <w:r w:rsidRPr="00441ECA">
        <w:rPr>
          <w:rFonts w:ascii="DejaVuSans" w:hAnsi="DejaVuSans" w:cs="DejaVuSans"/>
          <w:i/>
          <w:sz w:val="21"/>
        </w:rPr>
        <w:t>En consecuencia, aplicando el derecho y la jurisprudencia citados al</w:t>
      </w:r>
    </w:p>
    <w:p w14:paraId="4F35CFA3" w14:textId="77777777" w:rsidR="00BD7CC7" w:rsidRPr="00441ECA" w:rsidRDefault="00BD7CC7" w:rsidP="00BD7CC7">
      <w:pPr>
        <w:pStyle w:val="Prrafodelista"/>
        <w:spacing w:before="240" w:after="240" w:line="360" w:lineRule="auto"/>
        <w:jc w:val="both"/>
        <w:rPr>
          <w:rFonts w:ascii="Arial" w:hAnsi="Arial"/>
          <w:szCs w:val="20"/>
          <w:lang w:val="es-ES_tradnl"/>
        </w:rPr>
      </w:pPr>
      <w:r w:rsidRPr="00441ECA">
        <w:rPr>
          <w:rFonts w:ascii="DejaVuSans" w:hAnsi="DejaVuSans" w:cs="DejaVuSans"/>
          <w:i/>
          <w:sz w:val="21"/>
        </w:rPr>
        <w:t xml:space="preserve">supuesto de autos, considerando como día inicial para el cómputo del </w:t>
      </w:r>
      <w:proofErr w:type="spellStart"/>
      <w:r w:rsidRPr="00441ECA">
        <w:rPr>
          <w:rFonts w:ascii="DejaVuSans" w:hAnsi="DejaVuSans" w:cs="DejaVuSans"/>
          <w:b/>
          <w:i/>
          <w:sz w:val="21"/>
        </w:rPr>
        <w:t>díes</w:t>
      </w:r>
      <w:proofErr w:type="spellEnd"/>
      <w:r w:rsidRPr="00441ECA">
        <w:rPr>
          <w:rFonts w:ascii="DejaVuSans" w:hAnsi="DejaVuSans" w:cs="DejaVuSans"/>
          <w:b/>
          <w:i/>
          <w:sz w:val="21"/>
        </w:rPr>
        <w:t xml:space="preserve"> a quo</w:t>
      </w:r>
      <w:r w:rsidRPr="00441ECA">
        <w:rPr>
          <w:rFonts w:ascii="DejaVuSans" w:hAnsi="DejaVuSans" w:cs="DejaVuSans"/>
          <w:i/>
          <w:sz w:val="21"/>
        </w:rPr>
        <w:t xml:space="preserve"> la fecha en la que el consumidor podía tener conocimiento del carácter abusivo de la cláusula de gastos, es decir, desde la determinación de la doctrina jurisprudencial reflejada en las </w:t>
      </w:r>
      <w:r w:rsidRPr="00441ECA">
        <w:rPr>
          <w:rFonts w:ascii="DejaVuSans" w:hAnsi="DejaVuSans" w:cs="DejaVuSans"/>
          <w:b/>
          <w:i/>
          <w:sz w:val="21"/>
        </w:rPr>
        <w:t>Sentencias del Pleno del Tribunal Supremo de 23 de diciembre de 2015</w:t>
      </w:r>
      <w:r w:rsidRPr="00441ECA">
        <w:rPr>
          <w:rFonts w:ascii="DejaVuSans" w:hAnsi="DejaVuSans" w:cs="DejaVuSans"/>
          <w:i/>
          <w:sz w:val="21"/>
        </w:rPr>
        <w:t>, procede desestimar la prescripción de la acción, puesto que no ha transcurrido el plazo de prescripción de diez años, previsto en el art. 121-20 del Código Civil de Catalunya, desde el dictado de las resoluciones de 23 de diciembre de 2015, hasta la interposición de la demanda principal objeto del presente procedimiento</w:t>
      </w:r>
      <w:r w:rsidRPr="00441ECA">
        <w:rPr>
          <w:rFonts w:ascii="DejaVuSans" w:hAnsi="DejaVuSans" w:cs="DejaVuSans"/>
          <w:sz w:val="21"/>
        </w:rPr>
        <w:t>.</w:t>
      </w:r>
      <w:r>
        <w:rPr>
          <w:rFonts w:ascii="DejaVuSans" w:hAnsi="DejaVuSans" w:cs="DejaVuSans"/>
          <w:sz w:val="21"/>
        </w:rPr>
        <w:t>”</w:t>
      </w:r>
    </w:p>
    <w:p w14:paraId="5E6B7C13" w14:textId="77777777" w:rsidR="00BD7CC7" w:rsidRPr="00C47D8A" w:rsidRDefault="00BD7CC7" w:rsidP="00BD7CC7">
      <w:pPr>
        <w:spacing w:before="240" w:after="240" w:line="360" w:lineRule="auto"/>
        <w:jc w:val="both"/>
        <w:rPr>
          <w:rFonts w:ascii="Arial" w:hAnsi="Arial" w:cs="Arial"/>
          <w:strike/>
        </w:rPr>
      </w:pPr>
      <w:r>
        <w:rPr>
          <w:rFonts w:ascii="Arial" w:hAnsi="Arial" w:cs="Arial"/>
        </w:rPr>
        <w:t xml:space="preserve">Las anteriores resoluciones, </w:t>
      </w:r>
      <w:r w:rsidRPr="00D94AA2">
        <w:rPr>
          <w:rFonts w:ascii="Arial" w:hAnsi="Arial" w:cs="Arial"/>
        </w:rPr>
        <w:t xml:space="preserve">además, </w:t>
      </w:r>
      <w:bookmarkEnd w:id="10"/>
      <w:bookmarkEnd w:id="13"/>
      <w:r w:rsidRPr="00D94AA2">
        <w:rPr>
          <w:rFonts w:ascii="Arial" w:hAnsi="Arial" w:cs="Arial"/>
          <w:lang w:val="es-ES_tradnl"/>
        </w:rPr>
        <w:t xml:space="preserve">incluyen en su análisis otro elemento relevante tenido en cuenta por los diferentes Tribunales para valorar el </w:t>
      </w:r>
      <w:proofErr w:type="spellStart"/>
      <w:r w:rsidRPr="00D94AA2">
        <w:rPr>
          <w:rFonts w:ascii="Arial" w:hAnsi="Arial" w:cs="Arial"/>
          <w:i/>
          <w:iCs/>
          <w:lang w:val="es-ES_tradnl"/>
        </w:rPr>
        <w:t>dies</w:t>
      </w:r>
      <w:proofErr w:type="spellEnd"/>
      <w:r w:rsidRPr="00D94AA2">
        <w:rPr>
          <w:rFonts w:ascii="Arial" w:hAnsi="Arial" w:cs="Arial"/>
          <w:i/>
          <w:iCs/>
          <w:lang w:val="es-ES_tradnl"/>
        </w:rPr>
        <w:t xml:space="preserve"> a quo </w:t>
      </w:r>
      <w:r w:rsidRPr="00D94AA2">
        <w:rPr>
          <w:rFonts w:ascii="Arial" w:hAnsi="Arial" w:cs="Arial"/>
          <w:lang w:val="es-ES_tradnl"/>
        </w:rPr>
        <w:t xml:space="preserve">que no es otro que el conocimiento generalizado de la potencial </w:t>
      </w:r>
      <w:proofErr w:type="spellStart"/>
      <w:r w:rsidRPr="00D94AA2">
        <w:rPr>
          <w:rFonts w:ascii="Arial" w:hAnsi="Arial" w:cs="Arial"/>
          <w:lang w:val="es-ES_tradnl"/>
        </w:rPr>
        <w:t>abusividad</w:t>
      </w:r>
      <w:proofErr w:type="spellEnd"/>
      <w:r w:rsidRPr="00D94AA2">
        <w:rPr>
          <w:rFonts w:ascii="Arial" w:hAnsi="Arial" w:cs="Arial"/>
          <w:lang w:val="es-ES_tradnl"/>
        </w:rPr>
        <w:t xml:space="preserve"> de la cláusula. Muchos Tribunales, con carácter general, han venido fijando ese momento en la </w:t>
      </w:r>
      <w:r w:rsidRPr="00D94AA2">
        <w:rPr>
          <w:rFonts w:ascii="Arial" w:hAnsi="Arial" w:cs="Arial"/>
        </w:rPr>
        <w:t xml:space="preserve">Sentencia del Tribunal Supremo de 23 de diciembre de 2015 que se pronunció por primera vez sobre una acción colectiva de cesación interpuesta por la OCU en relación con nulidad por abusiva de varias cláusulas, entre ellas, la de imposición de </w:t>
      </w:r>
      <w:r w:rsidRPr="00D94AA2">
        <w:rPr>
          <w:rFonts w:ascii="Arial" w:hAnsi="Arial" w:cs="Arial"/>
        </w:rPr>
        <w:lastRenderedPageBreak/>
        <w:t xml:space="preserve">gastos hipotecarios. </w:t>
      </w:r>
    </w:p>
    <w:p w14:paraId="5C83D944"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La litigación masiva en materia de consumo comenzó en 2013, momento en que existían “</w:t>
      </w:r>
      <w:r w:rsidRPr="00BE758C">
        <w:rPr>
          <w:rFonts w:ascii="Arial" w:hAnsi="Arial"/>
          <w:i/>
          <w:iCs/>
          <w:szCs w:val="20"/>
        </w:rPr>
        <w:t>agresivas campañas de publicidad</w:t>
      </w:r>
      <w:r w:rsidRPr="00BE758C">
        <w:rPr>
          <w:rFonts w:ascii="Arial" w:hAnsi="Arial"/>
          <w:szCs w:val="20"/>
        </w:rPr>
        <w:t>” y momento en que los consumidores tenían grandes facilidades para ejercitar sus derechos</w:t>
      </w:r>
      <w:r w:rsidRPr="00BE758C">
        <w:rPr>
          <w:rStyle w:val="Refdenotaalpie"/>
          <w:color w:val="000000"/>
          <w:szCs w:val="20"/>
        </w:rPr>
        <w:footnoteReference w:id="24"/>
      </w:r>
      <w:r w:rsidRPr="00BE758C">
        <w:rPr>
          <w:rFonts w:ascii="Arial" w:hAnsi="Arial"/>
          <w:szCs w:val="20"/>
        </w:rPr>
        <w:t xml:space="preserve">. </w:t>
      </w:r>
    </w:p>
    <w:p w14:paraId="4932E2EA"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La Audiencia Provincial de Barcelona indicó que en noviembre de 2015 dictó su primera resolución en materia de gastos hipotecarios “</w:t>
      </w:r>
      <w:r w:rsidRPr="00BE758C">
        <w:rPr>
          <w:rFonts w:ascii="Arial" w:hAnsi="Arial"/>
          <w:i/>
          <w:iCs/>
          <w:szCs w:val="20"/>
          <w:lang w:val="es-ES_tradnl"/>
        </w:rPr>
        <w:t>antes que el propio Tribunal Supremo (Sentencia de 18 de noviembre de 2015), en un procedimiento iniciado a principios del año 2013 y cuando proliferaban este tipo de acciones</w:t>
      </w:r>
      <w:r w:rsidRPr="00BE758C">
        <w:rPr>
          <w:rFonts w:ascii="Arial" w:hAnsi="Arial"/>
          <w:szCs w:val="20"/>
          <w:lang w:val="es-ES_tradnl"/>
        </w:rPr>
        <w:t>”</w:t>
      </w:r>
    </w:p>
    <w:p w14:paraId="40380359"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La Sentencia del Tribunal Supremo de 23 de diciembre de 2015 “</w:t>
      </w:r>
      <w:r w:rsidRPr="00BE758C">
        <w:rPr>
          <w:rFonts w:ascii="Arial" w:hAnsi="Arial"/>
          <w:i/>
          <w:iCs/>
          <w:szCs w:val="20"/>
          <w:lang w:val="es-ES_tradnl"/>
        </w:rPr>
        <w:t>se dictó en casación en un procedimiento iniciado muchos años antes, lo que prueba que los consumidores pudieron ejercitar la acción con mucha antelación</w:t>
      </w:r>
      <w:r w:rsidRPr="00BE758C">
        <w:rPr>
          <w:rFonts w:ascii="Arial" w:hAnsi="Arial"/>
          <w:szCs w:val="20"/>
          <w:lang w:val="es-ES_tradnl"/>
        </w:rPr>
        <w:t>”</w:t>
      </w:r>
      <w:r w:rsidRPr="00BE758C">
        <w:rPr>
          <w:rStyle w:val="Refdenotaalpie"/>
          <w:szCs w:val="20"/>
          <w:lang w:val="es-ES_tradnl"/>
        </w:rPr>
        <w:footnoteReference w:id="25"/>
      </w:r>
      <w:r w:rsidRPr="00BE758C">
        <w:rPr>
          <w:rFonts w:ascii="Arial" w:hAnsi="Arial"/>
          <w:szCs w:val="20"/>
          <w:lang w:val="es-ES_tradnl"/>
        </w:rPr>
        <w:t xml:space="preserve">. Esta resolución tuvo una gran difusión gracias al contexto de litigación masiva que ya existía al respecto, con lo que la resolución fue conocida por la gran mayoría de los consumidores medios que pudieran estar afectados. Esta gran difusión en medios de comunicación de resoluciones judiciales ha sido tenida en cuenta por el Pleno del Tribunal Supremo, </w:t>
      </w:r>
      <w:r w:rsidRPr="00BE758C">
        <w:rPr>
          <w:rFonts w:ascii="Arial" w:hAnsi="Arial"/>
          <w:szCs w:val="20"/>
        </w:rPr>
        <w:t>con ocasión de las cláusulas suelo</w:t>
      </w:r>
      <w:r w:rsidRPr="00BE758C">
        <w:rPr>
          <w:rStyle w:val="Refdenotaalpie"/>
          <w:szCs w:val="20"/>
        </w:rPr>
        <w:footnoteReference w:id="26"/>
      </w:r>
      <w:r w:rsidRPr="00BE758C">
        <w:rPr>
          <w:rFonts w:ascii="Arial" w:hAnsi="Arial"/>
          <w:szCs w:val="20"/>
        </w:rPr>
        <w:t xml:space="preserve">, para arrojar luz sobre el momento en que el consumidor tuvo razonable conocimiento de la potencial </w:t>
      </w:r>
      <w:proofErr w:type="spellStart"/>
      <w:r w:rsidRPr="00BE758C">
        <w:rPr>
          <w:rFonts w:ascii="Arial" w:hAnsi="Arial"/>
          <w:szCs w:val="20"/>
        </w:rPr>
        <w:t>abusividad</w:t>
      </w:r>
      <w:proofErr w:type="spellEnd"/>
      <w:r w:rsidRPr="00BE758C">
        <w:rPr>
          <w:rFonts w:ascii="Arial" w:hAnsi="Arial"/>
          <w:szCs w:val="20"/>
        </w:rPr>
        <w:t xml:space="preserve"> de la cláusula y pudo ejercitar la acción. </w:t>
      </w:r>
    </w:p>
    <w:p w14:paraId="3FE54D17" w14:textId="77777777" w:rsidR="00BD7CC7" w:rsidRPr="00D94AA2" w:rsidRDefault="00BD7CC7" w:rsidP="00BD7CC7">
      <w:pPr>
        <w:spacing w:before="240" w:after="240" w:line="360" w:lineRule="auto"/>
        <w:jc w:val="both"/>
        <w:rPr>
          <w:rFonts w:ascii="Arial" w:hAnsi="Arial" w:cs="Arial"/>
        </w:rPr>
      </w:pPr>
      <w:bookmarkStart w:id="14" w:name="_Ref77332970"/>
      <w:r w:rsidRPr="00D94AA2">
        <w:rPr>
          <w:rFonts w:ascii="Arial" w:hAnsi="Arial" w:cs="Arial"/>
        </w:rPr>
        <w:t xml:space="preserve">El Juzgado de Primera Instancia </w:t>
      </w:r>
      <w:proofErr w:type="spellStart"/>
      <w:r w:rsidRPr="00D94AA2">
        <w:rPr>
          <w:rFonts w:ascii="Arial" w:hAnsi="Arial" w:cs="Arial"/>
        </w:rPr>
        <w:t>nº</w:t>
      </w:r>
      <w:proofErr w:type="spellEnd"/>
      <w:r w:rsidRPr="00D94AA2">
        <w:rPr>
          <w:rFonts w:ascii="Arial" w:hAnsi="Arial" w:cs="Arial"/>
        </w:rPr>
        <w:t xml:space="preserve"> 20 de Barcelona acordó en su auto de 22 de julio de 2021 elevar cuestión prejudicial planteando exponiendo precisamente las tesis anteriores y solicitando al TJUE que se pronuncie sobre la compatibilidad con el Derecho Europeo de fijar el </w:t>
      </w:r>
      <w:proofErr w:type="spellStart"/>
      <w:r w:rsidRPr="00D94AA2">
        <w:rPr>
          <w:rFonts w:ascii="Arial" w:hAnsi="Arial" w:cs="Arial"/>
          <w:i/>
          <w:iCs/>
        </w:rPr>
        <w:t>dies</w:t>
      </w:r>
      <w:proofErr w:type="spellEnd"/>
      <w:r w:rsidRPr="00D94AA2">
        <w:rPr>
          <w:rFonts w:ascii="Arial" w:hAnsi="Arial" w:cs="Arial"/>
          <w:i/>
          <w:iCs/>
        </w:rPr>
        <w:t xml:space="preserve"> a quo</w:t>
      </w:r>
      <w:r w:rsidRPr="00D94AA2">
        <w:rPr>
          <w:rFonts w:ascii="Arial" w:hAnsi="Arial" w:cs="Arial"/>
        </w:rPr>
        <w:t>: (i) en la declaración individual de nulidad (algo que ya ha descartado el propio Tribunal Supremo en el Auto Cuestión Prejudicial GH por ser contrario a la seguridad jurídica); (</w:t>
      </w:r>
      <w:proofErr w:type="spellStart"/>
      <w:r w:rsidRPr="00D94AA2">
        <w:rPr>
          <w:rFonts w:ascii="Arial" w:hAnsi="Arial" w:cs="Arial"/>
        </w:rPr>
        <w:t>ii</w:t>
      </w:r>
      <w:proofErr w:type="spellEnd"/>
      <w:r w:rsidRPr="00D94AA2">
        <w:rPr>
          <w:rFonts w:ascii="Arial" w:hAnsi="Arial" w:cs="Arial"/>
        </w:rPr>
        <w:t xml:space="preserve">) en una sentencia del Tribunal Supremo declarando la </w:t>
      </w:r>
      <w:proofErr w:type="spellStart"/>
      <w:r w:rsidRPr="00D94AA2">
        <w:rPr>
          <w:rFonts w:ascii="Arial" w:hAnsi="Arial" w:cs="Arial"/>
        </w:rPr>
        <w:t>abusividad</w:t>
      </w:r>
      <w:proofErr w:type="spellEnd"/>
      <w:r w:rsidRPr="00D94AA2">
        <w:rPr>
          <w:rFonts w:ascii="Arial" w:hAnsi="Arial" w:cs="Arial"/>
        </w:rPr>
        <w:t xml:space="preserve"> de la cláusula (en referencia a la Sentencia del Tribunal Supremo de 23 de diciembre de 2015) “</w:t>
      </w:r>
      <w:r w:rsidRPr="00D94AA2">
        <w:rPr>
          <w:rFonts w:ascii="Arial" w:hAnsi="Arial" w:cs="Arial"/>
          <w:i/>
          <w:iCs/>
          <w:lang w:val="es-ES_tradnl"/>
        </w:rPr>
        <w:t>con independencia de que el consumidor concreto conozca o no el contenido de esa sentencia</w:t>
      </w:r>
      <w:r w:rsidRPr="00D94AA2">
        <w:rPr>
          <w:rFonts w:ascii="Arial" w:hAnsi="Arial" w:cs="Arial"/>
          <w:lang w:val="es-ES_tradnl"/>
        </w:rPr>
        <w:t>”</w:t>
      </w:r>
      <w:r w:rsidRPr="00D94AA2">
        <w:rPr>
          <w:rFonts w:ascii="Arial" w:hAnsi="Arial" w:cs="Arial"/>
        </w:rPr>
        <w:t>; o (</w:t>
      </w:r>
      <w:proofErr w:type="spellStart"/>
      <w:r w:rsidRPr="00D94AA2">
        <w:rPr>
          <w:rFonts w:ascii="Arial" w:hAnsi="Arial" w:cs="Arial"/>
        </w:rPr>
        <w:t>iii</w:t>
      </w:r>
      <w:proofErr w:type="spellEnd"/>
      <w:r w:rsidRPr="00D94AA2">
        <w:rPr>
          <w:rFonts w:ascii="Arial" w:hAnsi="Arial" w:cs="Arial"/>
        </w:rPr>
        <w:t xml:space="preserve">) en el pago efectivo de los gastos reclamados. </w:t>
      </w:r>
    </w:p>
    <w:p w14:paraId="5ACB4A70" w14:textId="77777777" w:rsidR="00BD7CC7" w:rsidRPr="00D94AA2" w:rsidRDefault="00BD7CC7" w:rsidP="00BD7CC7">
      <w:pPr>
        <w:spacing w:before="240" w:after="240" w:line="360" w:lineRule="auto"/>
        <w:jc w:val="both"/>
        <w:rPr>
          <w:rFonts w:ascii="Arial" w:hAnsi="Arial" w:cs="Arial"/>
        </w:rPr>
      </w:pPr>
      <w:bookmarkStart w:id="15" w:name="_Hlk83302998"/>
      <w:r w:rsidRPr="00D94AA2">
        <w:rPr>
          <w:rFonts w:ascii="Arial" w:hAnsi="Arial" w:cs="Arial"/>
        </w:rPr>
        <w:t xml:space="preserve">Teniendo lo anterior en mente, podemos afirmar que desde 2013 nos encontrábamos en un contexto de litigación masiva en materia de consumo con campañas agresivas de los despachos para fomentar este tipo de litigios. La Sentencia del Tribunal Supremo de 23 de diciembre de 2015 no fue más que un hito adicional y confirmatorio del conocimiento razonable de los consumidores que provocó una explosión en la litigación en esta materia concreta a partir de </w:t>
      </w:r>
      <w:r w:rsidRPr="00D94AA2">
        <w:rPr>
          <w:rFonts w:ascii="Arial" w:hAnsi="Arial" w:cs="Arial"/>
        </w:rPr>
        <w:lastRenderedPageBreak/>
        <w:t xml:space="preserve">2016. </w:t>
      </w:r>
      <w:bookmarkStart w:id="16" w:name="_Hlk80788323"/>
      <w:r w:rsidRPr="00D94AA2">
        <w:rPr>
          <w:rFonts w:ascii="Arial" w:hAnsi="Arial" w:cs="Arial"/>
        </w:rPr>
        <w:t>Para cuando el Tribunal Supremo dictó la sentencia de 23 de enero de 2019, la litigación masiva en materia de gastos hipotecarios era sobradamente conocida y no existía un solo consumidor que no estuviera al tanto de la situación. Veámoslo:</w:t>
      </w:r>
      <w:bookmarkEnd w:id="14"/>
    </w:p>
    <w:bookmarkEnd w:id="15"/>
    <w:p w14:paraId="43F397C8"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El exponencial incremento de la litigiosidad bancaria se inició en 2013 con dos resoluciones de gran relevancia, que supusieron un punto de inflexión en la toma de conciencia de los consumidores de sus derechos emanados de la Directiva 93/13:</w:t>
      </w:r>
    </w:p>
    <w:p w14:paraId="314893C6" w14:textId="319D9F56" w:rsidR="00BD7CC7" w:rsidRPr="00362EA8" w:rsidRDefault="00BD7CC7" w:rsidP="00362EA8">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La STJUE de 14 de marzo de 2013 (</w:t>
      </w:r>
      <w:proofErr w:type="spellStart"/>
      <w:r w:rsidRPr="00BE758C">
        <w:rPr>
          <w:rFonts w:ascii="Arial" w:hAnsi="Arial"/>
          <w:i/>
          <w:iCs/>
          <w:szCs w:val="20"/>
        </w:rPr>
        <w:t>Aziz</w:t>
      </w:r>
      <w:proofErr w:type="spellEnd"/>
      <w:r w:rsidRPr="00BE758C">
        <w:rPr>
          <w:rFonts w:ascii="Arial" w:hAnsi="Arial"/>
          <w:szCs w:val="20"/>
        </w:rPr>
        <w:t>, C</w:t>
      </w:r>
      <w:r w:rsidRPr="00BE758C">
        <w:rPr>
          <w:rFonts w:ascii="Cambria Math" w:hAnsi="Cambria Math" w:cs="Cambria Math"/>
          <w:szCs w:val="20"/>
        </w:rPr>
        <w:t>‑</w:t>
      </w:r>
      <w:r w:rsidRPr="00BE758C">
        <w:rPr>
          <w:rFonts w:ascii="Arial" w:hAnsi="Arial"/>
          <w:szCs w:val="20"/>
        </w:rPr>
        <w:t xml:space="preserve">415/11), que fue un hito relevante en materia de cláusulas abusivas y en la interpretación de la Directiva 93/13 en relación con determinadas cláusulas e incluso motivó la reforma legal de parte de nuestro sistema de ejecución hipotecaria. El TJUE analizó determinadas estipulaciones incorporadas en un préstamo hipotecario desde el prisma normativo de las cláusulas abusivas, por lo que ya se podía aventurar la importancia y alcance de ese control sobre el clausulado no negociado de los contratos de préstamo hipotecario. </w:t>
      </w:r>
    </w:p>
    <w:p w14:paraId="4859CE7F" w14:textId="77777777" w:rsidR="00BD7CC7" w:rsidRPr="00BE758C" w:rsidRDefault="00BD7CC7" w:rsidP="00BD7CC7">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 xml:space="preserve">La Sentencia del Tribunal Supremo n.º 241/2013, de 9 de mayo que, en sede de una acción colectiva de cesación, declaró la nulidad por falta de transparencia y </w:t>
      </w:r>
      <w:proofErr w:type="spellStart"/>
      <w:r w:rsidRPr="00BE758C">
        <w:rPr>
          <w:rFonts w:ascii="Arial" w:hAnsi="Arial"/>
          <w:szCs w:val="20"/>
        </w:rPr>
        <w:t>abusividad</w:t>
      </w:r>
      <w:proofErr w:type="spellEnd"/>
      <w:r w:rsidRPr="00BE758C">
        <w:rPr>
          <w:rFonts w:ascii="Arial" w:hAnsi="Arial"/>
          <w:szCs w:val="20"/>
        </w:rPr>
        <w:t xml:space="preserve"> de las cláusulas suelo, configuró con extensión y detalle los derechos del consumidor (particularmente, los controles de incorporación, transparencia y </w:t>
      </w:r>
      <w:proofErr w:type="spellStart"/>
      <w:r w:rsidRPr="00BE758C">
        <w:rPr>
          <w:rFonts w:ascii="Arial" w:hAnsi="Arial"/>
          <w:szCs w:val="20"/>
        </w:rPr>
        <w:t>abusividad</w:t>
      </w:r>
      <w:proofErr w:type="spellEnd"/>
      <w:r w:rsidRPr="00BE758C">
        <w:rPr>
          <w:rFonts w:ascii="Arial" w:hAnsi="Arial"/>
          <w:szCs w:val="20"/>
        </w:rPr>
        <w:t xml:space="preserve">) y fue el detonante de la litigación relativa a las cláusulas abusivas en el ámbito específico de la suscripción de préstamos hipotecarios con consumidores.   </w:t>
      </w:r>
    </w:p>
    <w:p w14:paraId="3853C77D" w14:textId="77777777" w:rsidR="00BD7CC7" w:rsidRPr="00BE758C" w:rsidRDefault="00BD7CC7" w:rsidP="00BD7CC7">
      <w:pPr>
        <w:pStyle w:val="Prrafodelista"/>
        <w:spacing w:before="240" w:after="240" w:line="360" w:lineRule="auto"/>
        <w:ind w:left="1134"/>
        <w:contextualSpacing w:val="0"/>
        <w:jc w:val="both"/>
        <w:rPr>
          <w:rFonts w:ascii="Arial" w:hAnsi="Arial"/>
          <w:szCs w:val="20"/>
        </w:rPr>
      </w:pPr>
      <w:r w:rsidRPr="00BE758C">
        <w:rPr>
          <w:rFonts w:ascii="Arial" w:hAnsi="Arial"/>
          <w:szCs w:val="20"/>
        </w:rPr>
        <w:t xml:space="preserve">A raíz de esa jurisprudencia del TJUE y del Tribunal Supremo, con independencia de que ninguna de esas resoluciones se hubiera pronunciado expresamente sobre la cláusula de gastos hipotecarios, se puede justificar que los consumidores pudieron razonablemente conocer el alcance y amplitud de sus derechos al amparo de la Directiva 93/13. </w:t>
      </w:r>
    </w:p>
    <w:p w14:paraId="0118C8BA" w14:textId="77777777" w:rsidR="00BD7CC7"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Las anteriores resoluciones, además y como indica acertadamente la Audiencia Provincial de Barcelona, marcaron el inicio en España de un contexto claro de litigación masiva de consumidores frente a las entidades bancarias con base en la normativa de protección de consumidores. Entre 2013 y 2014 existieron campañas masivas por parte de asociaciones y despachos en diferentes medios de comunicación gracias a las cuales los consumidores pudieron tomar conocimiento de las potenciales acciones que podían emprender contra sus respectivas entidades bancarias en relación con cláusulas que considerasen abusivas.</w:t>
      </w:r>
    </w:p>
    <w:p w14:paraId="35F36176" w14:textId="77777777" w:rsidR="00362EA8" w:rsidRPr="00BE758C" w:rsidRDefault="00362EA8" w:rsidP="00362EA8">
      <w:pPr>
        <w:pStyle w:val="Prrafodelista"/>
        <w:suppressAutoHyphens w:val="0"/>
        <w:spacing w:before="240" w:after="240" w:line="360" w:lineRule="auto"/>
        <w:contextualSpacing w:val="0"/>
        <w:jc w:val="both"/>
        <w:rPr>
          <w:rFonts w:ascii="Arial" w:hAnsi="Arial"/>
          <w:szCs w:val="20"/>
        </w:rPr>
      </w:pPr>
    </w:p>
    <w:bookmarkEnd w:id="16"/>
    <w:p w14:paraId="2ED93188" w14:textId="77777777" w:rsidR="00BD7CC7" w:rsidRPr="00BE758C" w:rsidRDefault="00BD7CC7" w:rsidP="00BD7CC7">
      <w:pPr>
        <w:pStyle w:val="Prrafodelista"/>
        <w:spacing w:before="240" w:after="240" w:line="360" w:lineRule="auto"/>
        <w:ind w:left="1134"/>
        <w:contextualSpacing w:val="0"/>
        <w:jc w:val="both"/>
        <w:rPr>
          <w:rFonts w:ascii="Arial" w:hAnsi="Arial"/>
          <w:szCs w:val="20"/>
        </w:rPr>
      </w:pPr>
      <w:r w:rsidRPr="00BE758C">
        <w:rPr>
          <w:rFonts w:ascii="Arial" w:hAnsi="Arial"/>
          <w:szCs w:val="20"/>
        </w:rPr>
        <w:t xml:space="preserve">En este sentido, se aporta como </w:t>
      </w:r>
      <w:r w:rsidRPr="00D94AA2">
        <w:rPr>
          <w:rFonts w:ascii="Arial" w:hAnsi="Arial"/>
          <w:b/>
          <w:bCs/>
          <w:szCs w:val="20"/>
          <w:u w:val="single"/>
        </w:rPr>
        <w:t xml:space="preserve">bloque documental </w:t>
      </w:r>
      <w:proofErr w:type="spellStart"/>
      <w:r w:rsidRPr="00D94AA2">
        <w:rPr>
          <w:rFonts w:ascii="Arial" w:hAnsi="Arial"/>
          <w:b/>
          <w:bCs/>
          <w:szCs w:val="20"/>
          <w:u w:val="single"/>
        </w:rPr>
        <w:t>nº</w:t>
      </w:r>
      <w:proofErr w:type="spellEnd"/>
      <w:r w:rsidRPr="00D94AA2">
        <w:rPr>
          <w:rFonts w:ascii="Arial" w:hAnsi="Arial"/>
          <w:b/>
          <w:bCs/>
          <w:szCs w:val="20"/>
          <w:u w:val="single"/>
        </w:rPr>
        <w:t xml:space="preserve"> 1</w:t>
      </w:r>
      <w:r w:rsidRPr="00BE758C">
        <w:rPr>
          <w:rFonts w:ascii="Arial" w:hAnsi="Arial"/>
          <w:szCs w:val="20"/>
        </w:rPr>
        <w:t xml:space="preserve"> un conjunto de noticias de prensa relativas a la alta litigiosidad en materia de consumidores evidenciando que esta cuestión se encontraba día a día en los medios. Destacamos una noticia de El Mundo de 13 de noviembre de 2014 (“La gran banca destina 130.000 millones a litigios con sus clientes”) donde se analiza el incremento del coste legal de toda la banca durante 2013 con motivo de la explosión de los pleitos vinculados a normativa de protección de consumidores.</w:t>
      </w:r>
    </w:p>
    <w:p w14:paraId="5D4DFD75" w14:textId="77777777" w:rsidR="00BD7CC7" w:rsidRPr="00BE758C" w:rsidRDefault="00BD7CC7" w:rsidP="00BD7CC7">
      <w:pPr>
        <w:pStyle w:val="Prrafodelista"/>
        <w:spacing w:before="240" w:after="240" w:line="360" w:lineRule="auto"/>
        <w:ind w:left="1134"/>
        <w:contextualSpacing w:val="0"/>
        <w:jc w:val="both"/>
        <w:rPr>
          <w:rFonts w:ascii="Arial" w:hAnsi="Arial"/>
          <w:szCs w:val="20"/>
        </w:rPr>
      </w:pPr>
      <w:r w:rsidRPr="00BE758C">
        <w:rPr>
          <w:rFonts w:ascii="Arial" w:hAnsi="Arial"/>
          <w:szCs w:val="20"/>
        </w:rPr>
        <w:t xml:space="preserve">Se aporta también como </w:t>
      </w:r>
      <w:r w:rsidRPr="00D94AA2">
        <w:rPr>
          <w:rFonts w:ascii="Arial" w:hAnsi="Arial"/>
          <w:b/>
          <w:bCs/>
          <w:szCs w:val="20"/>
          <w:u w:val="single"/>
        </w:rPr>
        <w:t xml:space="preserve">documento </w:t>
      </w:r>
      <w:proofErr w:type="spellStart"/>
      <w:r w:rsidRPr="00D94AA2">
        <w:rPr>
          <w:rFonts w:ascii="Arial" w:hAnsi="Arial"/>
          <w:b/>
          <w:bCs/>
          <w:szCs w:val="20"/>
          <w:u w:val="single"/>
        </w:rPr>
        <w:t>nº</w:t>
      </w:r>
      <w:proofErr w:type="spellEnd"/>
      <w:r w:rsidRPr="00D94AA2">
        <w:rPr>
          <w:rFonts w:ascii="Arial" w:hAnsi="Arial"/>
          <w:b/>
          <w:bCs/>
          <w:szCs w:val="20"/>
          <w:u w:val="single"/>
        </w:rPr>
        <w:t xml:space="preserve"> 2</w:t>
      </w:r>
      <w:r w:rsidRPr="00BE758C">
        <w:rPr>
          <w:rFonts w:ascii="Arial" w:hAnsi="Arial"/>
          <w:szCs w:val="20"/>
        </w:rPr>
        <w:t xml:space="preserve"> y a título de ejemplo algunas entradas del Blog del despacho de abogados Arriaga Asociados donde se evidencia la intensa actividad comercial en diferentes aspectos (cláusulas suelo, acciones preferentes, valores Santander, etc.).</w:t>
      </w:r>
    </w:p>
    <w:p w14:paraId="140148B0"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 xml:space="preserve">Durante 2015 se intensificó las campañas y las noticias en prensa en relación con la potencial </w:t>
      </w:r>
      <w:proofErr w:type="spellStart"/>
      <w:r w:rsidRPr="00BE758C">
        <w:rPr>
          <w:rFonts w:ascii="Arial" w:hAnsi="Arial"/>
          <w:szCs w:val="20"/>
        </w:rPr>
        <w:t>abusividad</w:t>
      </w:r>
      <w:proofErr w:type="spellEnd"/>
      <w:r w:rsidRPr="00BE758C">
        <w:rPr>
          <w:rFonts w:ascii="Arial" w:hAnsi="Arial"/>
          <w:szCs w:val="20"/>
        </w:rPr>
        <w:t xml:space="preserve"> de cláusulas insertas en contratos bancarios, poniendo esta vez el foco precisamente en los contratos hipotecarios. Desde 2015 ningún consumidor puede desconocer la gran litigiosidad existente en relación con diversas cláusulas de contratos hipotecarios. Se aporta como </w:t>
      </w:r>
      <w:r w:rsidRPr="00D94AA2">
        <w:rPr>
          <w:rFonts w:ascii="Arial" w:hAnsi="Arial"/>
          <w:b/>
          <w:bCs/>
          <w:szCs w:val="20"/>
          <w:u w:val="single"/>
        </w:rPr>
        <w:t xml:space="preserve">bloque documental </w:t>
      </w:r>
      <w:proofErr w:type="spellStart"/>
      <w:r w:rsidRPr="00D94AA2">
        <w:rPr>
          <w:rFonts w:ascii="Arial" w:hAnsi="Arial"/>
          <w:b/>
          <w:bCs/>
          <w:szCs w:val="20"/>
          <w:u w:val="single"/>
        </w:rPr>
        <w:t>nº</w:t>
      </w:r>
      <w:proofErr w:type="spellEnd"/>
      <w:r w:rsidRPr="00D94AA2">
        <w:rPr>
          <w:rFonts w:ascii="Arial" w:hAnsi="Arial"/>
          <w:b/>
          <w:bCs/>
          <w:szCs w:val="20"/>
          <w:u w:val="single"/>
        </w:rPr>
        <w:t xml:space="preserve"> 3</w:t>
      </w:r>
      <w:r w:rsidRPr="00BE758C">
        <w:rPr>
          <w:rFonts w:ascii="Arial" w:hAnsi="Arial"/>
          <w:szCs w:val="20"/>
        </w:rPr>
        <w:t xml:space="preserve"> un conjunto de noticias de 2015 para ilustrar sobre el ambiente durante ese año. Sirva de ejemplo la noticia publicada el 30 de octubre de 2015 por </w:t>
      </w:r>
      <w:proofErr w:type="spellStart"/>
      <w:r w:rsidRPr="00BE758C">
        <w:rPr>
          <w:rFonts w:ascii="Arial" w:hAnsi="Arial"/>
          <w:szCs w:val="20"/>
        </w:rPr>
        <w:t>CincoDias</w:t>
      </w:r>
      <w:proofErr w:type="spellEnd"/>
      <w:r w:rsidRPr="00BE758C">
        <w:rPr>
          <w:rFonts w:ascii="Arial" w:hAnsi="Arial"/>
          <w:szCs w:val="20"/>
        </w:rPr>
        <w:t>, un diario de amplia difusión, titulada “Los jueces revisan hasta las comas de la hipoteca”. O la noticia publicada por El Economista el 25 de agosto de 2015 (“El Banco de España saca a concurso la gestión de las quejas por hipotecas”) donde se da cuenta del explosivo incremento de las reclamaciones en el Banco De España vinculadas a préstamos hipotecarias hasta el punto de hacer imposible la gestión interna por el órgano supervisor. Ello muestra que en esas fechas los consumidores ya eran plenamente conscientes de la posibilidad de reclamar por sus potenciales cláusulas abusivas y, de hecho, ya estaban ejerciendo su derecho a reclamar. No hay duda de que en ese momento ya existía una posibilidad real de ejercitar la acción.</w:t>
      </w:r>
    </w:p>
    <w:p w14:paraId="104E3533"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 xml:space="preserve">Por si lo anterior no fuera suficiente, el 23 de diciembre de 2015 se dictó la Sentencia del Tribunal Supremo por la que se declaró abusiva la cláusula de atribución de gastos hipotecarios. Esta sentencia, como se demuestra en el </w:t>
      </w:r>
      <w:r>
        <w:rPr>
          <w:rFonts w:ascii="Arial" w:hAnsi="Arial"/>
          <w:b/>
          <w:bCs/>
          <w:szCs w:val="20"/>
        </w:rPr>
        <w:t>bloque documental 1</w:t>
      </w:r>
      <w:r w:rsidRPr="00BE758C">
        <w:rPr>
          <w:rFonts w:ascii="Arial" w:hAnsi="Arial"/>
          <w:szCs w:val="20"/>
        </w:rPr>
        <w:t>, tuvo una gran difusión.</w:t>
      </w:r>
    </w:p>
    <w:p w14:paraId="235B8DEA"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 xml:space="preserve">Desde ese momento, los despachos de abogados y asociaciones especializados en la defensa de los intereses de consumidores comenzaron su campaña de publicidad más dirigida a esta cláusula en particular. Llama la atención que este cambio de rumbo en los despachos coincide con el fin del negocio de los </w:t>
      </w:r>
      <w:r w:rsidRPr="00BE758C">
        <w:rPr>
          <w:rFonts w:ascii="Arial" w:hAnsi="Arial"/>
          <w:szCs w:val="20"/>
        </w:rPr>
        <w:lastRenderedPageBreak/>
        <w:t xml:space="preserve">despachos en relación con la cuestión de las acciones preferentes de Bankia. Tal y como publicó Expansión el 18 de febrero de 2016 la decisión de Bankia de alcanzar una solución negociada con los clientes minoristas de este producto supuso a los bufetes la desaparición de un negocio de 100 millones de euros. Ello llevó a los despachos a dirigir sus campañas a otros productos, reforzando en materia de cláusulas suelo y </w:t>
      </w:r>
      <w:proofErr w:type="spellStart"/>
      <w:r w:rsidRPr="00BE758C">
        <w:rPr>
          <w:rFonts w:ascii="Arial" w:hAnsi="Arial"/>
          <w:szCs w:val="20"/>
        </w:rPr>
        <w:t>multidivisa</w:t>
      </w:r>
      <w:proofErr w:type="spellEnd"/>
      <w:r w:rsidRPr="00BE758C">
        <w:rPr>
          <w:rFonts w:ascii="Arial" w:hAnsi="Arial"/>
          <w:szCs w:val="20"/>
        </w:rPr>
        <w:t xml:space="preserve"> (producto donde desde 2014 existían campañas promoviendo la litigiosidad) y gastos hipotecarios, aprovechando el pronunciamiento del Tribunal Supremo.</w:t>
      </w:r>
    </w:p>
    <w:p w14:paraId="0A60202E" w14:textId="77777777" w:rsidR="00BD7CC7" w:rsidRPr="00BE758C" w:rsidRDefault="00BD7CC7" w:rsidP="00BD7CC7">
      <w:pPr>
        <w:pStyle w:val="Prrafodelista"/>
        <w:spacing w:before="240" w:after="240" w:line="360" w:lineRule="auto"/>
        <w:ind w:left="1134"/>
        <w:contextualSpacing w:val="0"/>
        <w:jc w:val="both"/>
        <w:rPr>
          <w:rFonts w:ascii="Arial" w:hAnsi="Arial"/>
          <w:szCs w:val="20"/>
          <w:lang w:val="es-ES_tradnl"/>
        </w:rPr>
      </w:pPr>
      <w:r w:rsidRPr="00BE758C">
        <w:rPr>
          <w:rFonts w:ascii="Arial" w:hAnsi="Arial"/>
          <w:szCs w:val="20"/>
          <w:lang w:val="es-ES_tradnl"/>
        </w:rPr>
        <w:t xml:space="preserve">Aportamos como </w:t>
      </w:r>
      <w:r>
        <w:rPr>
          <w:rFonts w:ascii="Arial" w:hAnsi="Arial"/>
          <w:b/>
          <w:bCs/>
          <w:szCs w:val="20"/>
          <w:lang w:val="es-ES_tradnl"/>
        </w:rPr>
        <w:t xml:space="preserve">bloque documental </w:t>
      </w:r>
      <w:proofErr w:type="spellStart"/>
      <w:r>
        <w:rPr>
          <w:rFonts w:ascii="Arial" w:hAnsi="Arial"/>
          <w:b/>
          <w:bCs/>
          <w:szCs w:val="20"/>
          <w:lang w:val="es-ES_tradnl"/>
        </w:rPr>
        <w:t>nº</w:t>
      </w:r>
      <w:proofErr w:type="spellEnd"/>
      <w:r>
        <w:rPr>
          <w:rFonts w:ascii="Arial" w:hAnsi="Arial"/>
          <w:b/>
          <w:bCs/>
          <w:szCs w:val="20"/>
          <w:lang w:val="es-ES_tradnl"/>
        </w:rPr>
        <w:t xml:space="preserve"> 3</w:t>
      </w:r>
      <w:r w:rsidRPr="00BE758C">
        <w:rPr>
          <w:rFonts w:ascii="Arial" w:hAnsi="Arial"/>
          <w:szCs w:val="20"/>
          <w:lang w:val="es-ES_tradnl"/>
        </w:rPr>
        <w:t xml:space="preserve"> un conjunto de noticias de 2016 y principios de 2017 donde se evidencia este cambio de foco en la litigiosidad. </w:t>
      </w:r>
    </w:p>
    <w:p w14:paraId="24BF33D8" w14:textId="77777777" w:rsidR="00BD7CC7" w:rsidRPr="00BE758C" w:rsidRDefault="00BD7CC7" w:rsidP="00BD7CC7">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BE758C">
        <w:rPr>
          <w:rFonts w:ascii="Arial" w:hAnsi="Arial"/>
          <w:szCs w:val="20"/>
        </w:rPr>
        <w:t>Con este objetivo de reconducir el negocio, las campañas agresivas de los despachos se reforzaron más si cabe desde finales de 2016 en adelante con cobertura muy amplia en periódicos, todo tipo de redes sociales, televisión, radio e incluso campañas publicitarias en autobuses. A título de ejemplo:</w:t>
      </w:r>
    </w:p>
    <w:p w14:paraId="5634A29C" w14:textId="77777777" w:rsidR="00BD7CC7" w:rsidRPr="00BE758C" w:rsidRDefault="00BD7CC7" w:rsidP="00BD7CC7">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 xml:space="preserve">Se aporta como </w:t>
      </w:r>
      <w:r>
        <w:rPr>
          <w:rFonts w:ascii="Arial" w:hAnsi="Arial"/>
          <w:b/>
          <w:bCs/>
          <w:szCs w:val="20"/>
        </w:rPr>
        <w:t xml:space="preserve">documento </w:t>
      </w:r>
      <w:proofErr w:type="spellStart"/>
      <w:r>
        <w:rPr>
          <w:rFonts w:ascii="Arial" w:hAnsi="Arial"/>
          <w:b/>
          <w:bCs/>
          <w:szCs w:val="20"/>
        </w:rPr>
        <w:t>nº</w:t>
      </w:r>
      <w:proofErr w:type="spellEnd"/>
      <w:r>
        <w:rPr>
          <w:rFonts w:ascii="Arial" w:hAnsi="Arial"/>
          <w:b/>
          <w:bCs/>
          <w:szCs w:val="20"/>
        </w:rPr>
        <w:t xml:space="preserve"> 2</w:t>
      </w:r>
      <w:r w:rsidRPr="00BE758C">
        <w:rPr>
          <w:rFonts w:ascii="Arial" w:hAnsi="Arial"/>
          <w:szCs w:val="20"/>
        </w:rPr>
        <w:t xml:space="preserve"> las entradas del Blog de Arriaga Asociados en materia de Gastos Hipotecarios, donde se observa que en diciembre de 2016 ya incluían llamamientos generalizados a demandar. Nos remitimos también a la campaña publicitaria protagonizada por Iker Casillas que se lanzó en enero de 2017 y donde se hacía un llamamiento generalizado a la reclamación</w:t>
      </w:r>
      <w:r w:rsidRPr="00BE758C">
        <w:rPr>
          <w:rStyle w:val="Refdenotaalpie"/>
          <w:szCs w:val="20"/>
        </w:rPr>
        <w:footnoteReference w:id="27"/>
      </w:r>
      <w:r w:rsidRPr="00BE758C">
        <w:rPr>
          <w:rFonts w:ascii="Arial" w:hAnsi="Arial"/>
          <w:szCs w:val="20"/>
        </w:rPr>
        <w:t>. Dicha campaña tuvo difusión en televisión, radio y banners en medios de transporte públicos de todo España.</w:t>
      </w:r>
    </w:p>
    <w:p w14:paraId="3C4F1CE7" w14:textId="77777777" w:rsidR="00BD7CC7" w:rsidRPr="00BE758C" w:rsidRDefault="00BD7CC7" w:rsidP="00BD7CC7">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 xml:space="preserve">Bufete Rosales también publicó campañas para incentivar las reclamaciones en la materia, como se observa en las publicaciones realizadas en </w:t>
      </w:r>
      <w:proofErr w:type="spellStart"/>
      <w:r w:rsidRPr="00BE758C">
        <w:rPr>
          <w:rFonts w:ascii="Arial" w:hAnsi="Arial"/>
          <w:szCs w:val="20"/>
        </w:rPr>
        <w:t>Youtube</w:t>
      </w:r>
      <w:proofErr w:type="spellEnd"/>
      <w:r w:rsidRPr="00BE758C">
        <w:rPr>
          <w:rFonts w:ascii="Arial" w:hAnsi="Arial"/>
          <w:szCs w:val="20"/>
        </w:rPr>
        <w:t>:</w:t>
      </w:r>
    </w:p>
    <w:p w14:paraId="4214A8C7" w14:textId="77777777" w:rsidR="00BD7CC7" w:rsidRPr="00BE758C" w:rsidRDefault="00A806DA" w:rsidP="00BD7CC7">
      <w:pPr>
        <w:pStyle w:val="Prrafodelista"/>
        <w:spacing w:before="240" w:after="240" w:line="360" w:lineRule="auto"/>
        <w:ind w:left="1701"/>
        <w:contextualSpacing w:val="0"/>
        <w:jc w:val="both"/>
        <w:rPr>
          <w:rFonts w:ascii="Arial" w:hAnsi="Arial"/>
          <w:szCs w:val="20"/>
        </w:rPr>
      </w:pPr>
      <w:hyperlink r:id="rId9" w:history="1">
        <w:r w:rsidR="00BD7CC7" w:rsidRPr="00BE758C">
          <w:rPr>
            <w:rStyle w:val="Hipervnculo"/>
            <w:rFonts w:ascii="Arial" w:hAnsi="Arial"/>
            <w:szCs w:val="20"/>
          </w:rPr>
          <w:t>Gastos Hipotecarios I. ¿Qué dice la sentencia del TS? - YouTube</w:t>
        </w:r>
      </w:hyperlink>
    </w:p>
    <w:p w14:paraId="2D9BB27C" w14:textId="77777777" w:rsidR="00BD7CC7" w:rsidRPr="00BE758C" w:rsidRDefault="00A806DA" w:rsidP="00BD7CC7">
      <w:pPr>
        <w:pStyle w:val="Prrafodelista"/>
        <w:spacing w:before="240" w:after="240" w:line="360" w:lineRule="auto"/>
        <w:ind w:left="1701"/>
        <w:contextualSpacing w:val="0"/>
        <w:jc w:val="both"/>
        <w:rPr>
          <w:rFonts w:ascii="Arial" w:hAnsi="Arial"/>
          <w:szCs w:val="20"/>
        </w:rPr>
      </w:pPr>
      <w:hyperlink r:id="rId10" w:history="1">
        <w:r w:rsidR="00BD7CC7" w:rsidRPr="00BE758C">
          <w:rPr>
            <w:rStyle w:val="Hipervnculo"/>
            <w:rFonts w:ascii="Arial" w:hAnsi="Arial"/>
            <w:szCs w:val="20"/>
          </w:rPr>
          <w:t>Gastos Hipotecarios II ¿Qué significa ese fallo? - YouTube</w:t>
        </w:r>
      </w:hyperlink>
    </w:p>
    <w:p w14:paraId="491B10DE" w14:textId="77777777" w:rsidR="00BD7CC7" w:rsidRPr="00BE758C" w:rsidRDefault="00A806DA" w:rsidP="00BD7CC7">
      <w:pPr>
        <w:pStyle w:val="Prrafodelista"/>
        <w:spacing w:before="240" w:after="240" w:line="360" w:lineRule="auto"/>
        <w:ind w:left="1701"/>
        <w:contextualSpacing w:val="0"/>
        <w:jc w:val="both"/>
        <w:rPr>
          <w:rFonts w:ascii="Arial" w:hAnsi="Arial"/>
          <w:szCs w:val="20"/>
        </w:rPr>
      </w:pPr>
      <w:hyperlink r:id="rId11" w:history="1">
        <w:r w:rsidR="00BD7CC7" w:rsidRPr="00BE758C">
          <w:rPr>
            <w:rStyle w:val="Hipervnculo"/>
            <w:rFonts w:ascii="Arial" w:hAnsi="Arial"/>
            <w:szCs w:val="20"/>
          </w:rPr>
          <w:t>Gastos Hipotecarios III ¿Qué gastos puedo reclamar al banco? - YouTube</w:t>
        </w:r>
      </w:hyperlink>
    </w:p>
    <w:p w14:paraId="2E62FBFA" w14:textId="77777777" w:rsidR="00BD7CC7" w:rsidRPr="00BE758C" w:rsidRDefault="00A806DA" w:rsidP="00BD7CC7">
      <w:pPr>
        <w:pStyle w:val="Prrafodelista"/>
        <w:spacing w:before="240" w:after="240" w:line="360" w:lineRule="auto"/>
        <w:ind w:left="1701"/>
        <w:contextualSpacing w:val="0"/>
        <w:jc w:val="both"/>
        <w:rPr>
          <w:rFonts w:ascii="Arial" w:hAnsi="Arial"/>
          <w:szCs w:val="20"/>
        </w:rPr>
      </w:pPr>
      <w:hyperlink r:id="rId12" w:history="1">
        <w:r w:rsidR="00BD7CC7" w:rsidRPr="00BE758C">
          <w:rPr>
            <w:rStyle w:val="Hipervnculo"/>
            <w:rFonts w:ascii="Arial" w:hAnsi="Arial"/>
            <w:szCs w:val="20"/>
          </w:rPr>
          <w:t>Gastos Hipotecarios IV ¿Qué documentos tengo que acompañar a la demanda? - YouTube</w:t>
        </w:r>
      </w:hyperlink>
    </w:p>
    <w:p w14:paraId="26696BCE" w14:textId="77777777" w:rsidR="00BD7CC7" w:rsidRPr="00BE758C" w:rsidRDefault="00BD7CC7" w:rsidP="00BD7CC7">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BE758C">
        <w:rPr>
          <w:rFonts w:ascii="Arial" w:hAnsi="Arial"/>
          <w:szCs w:val="20"/>
        </w:rPr>
        <w:t xml:space="preserve">Se aporta igualmente como </w:t>
      </w:r>
      <w:r>
        <w:rPr>
          <w:rFonts w:ascii="Arial" w:hAnsi="Arial"/>
          <w:b/>
          <w:bCs/>
          <w:szCs w:val="20"/>
        </w:rPr>
        <w:t xml:space="preserve">bloque documental </w:t>
      </w:r>
      <w:proofErr w:type="spellStart"/>
      <w:r>
        <w:rPr>
          <w:rFonts w:ascii="Arial" w:hAnsi="Arial"/>
          <w:b/>
          <w:bCs/>
          <w:szCs w:val="20"/>
        </w:rPr>
        <w:t>nº</w:t>
      </w:r>
      <w:proofErr w:type="spellEnd"/>
      <w:r>
        <w:rPr>
          <w:rFonts w:ascii="Arial" w:hAnsi="Arial"/>
          <w:b/>
          <w:bCs/>
          <w:szCs w:val="20"/>
        </w:rPr>
        <w:t xml:space="preserve"> 3</w:t>
      </w:r>
      <w:r w:rsidRPr="00BE758C">
        <w:rPr>
          <w:rFonts w:ascii="Arial" w:hAnsi="Arial"/>
          <w:szCs w:val="20"/>
        </w:rPr>
        <w:t xml:space="preserve">, conjunto de noticias publicadas en diferentes diarios a principios de 2017 donde se ofrece a los consumidores información clara sobre los pasos a seguir para </w:t>
      </w:r>
      <w:r w:rsidRPr="00BE758C">
        <w:rPr>
          <w:rFonts w:ascii="Arial" w:hAnsi="Arial"/>
          <w:szCs w:val="20"/>
        </w:rPr>
        <w:lastRenderedPageBreak/>
        <w:t>reclamar. Dichas campañas se extendieron también a programas de televisión, como se observa en la entrevista realizada a ADICAE el 11 de enero de 2017 en el programa de La Sexta “Más Vale Tarde”</w:t>
      </w:r>
      <w:r w:rsidRPr="00BE758C">
        <w:rPr>
          <w:rStyle w:val="Refdenotaalpie"/>
          <w:szCs w:val="20"/>
        </w:rPr>
        <w:footnoteReference w:id="28"/>
      </w:r>
      <w:r w:rsidRPr="00BE758C">
        <w:rPr>
          <w:rFonts w:ascii="Arial" w:hAnsi="Arial"/>
          <w:szCs w:val="20"/>
        </w:rPr>
        <w:t>.</w:t>
      </w:r>
    </w:p>
    <w:p w14:paraId="35598A57" w14:textId="77777777" w:rsidR="00BD7CC7" w:rsidRPr="00D94AA2" w:rsidRDefault="00BD7CC7" w:rsidP="00BD7CC7">
      <w:pPr>
        <w:spacing w:before="240" w:after="240" w:line="360" w:lineRule="auto"/>
        <w:jc w:val="both"/>
        <w:rPr>
          <w:rFonts w:ascii="Arial" w:hAnsi="Arial" w:cs="Arial"/>
        </w:rPr>
      </w:pPr>
      <w:r w:rsidRPr="00D94AA2">
        <w:rPr>
          <w:rFonts w:ascii="Arial" w:hAnsi="Arial" w:cs="Arial"/>
        </w:rPr>
        <w:t xml:space="preserve">En definitiva, la propia </w:t>
      </w:r>
      <w:r w:rsidRPr="00C47D8A">
        <w:rPr>
          <w:rFonts w:ascii="Arial" w:hAnsi="Arial" w:cs="Arial"/>
          <w:bCs/>
        </w:rPr>
        <w:t xml:space="preserve">jurisprudencia ya ha analizado en detalle esta cuestión y ha determinado que el </w:t>
      </w:r>
      <w:proofErr w:type="spellStart"/>
      <w:r w:rsidRPr="00C47D8A">
        <w:rPr>
          <w:rFonts w:ascii="Arial" w:hAnsi="Arial" w:cs="Arial"/>
          <w:bCs/>
        </w:rPr>
        <w:t>dies</w:t>
      </w:r>
      <w:proofErr w:type="spellEnd"/>
      <w:r w:rsidRPr="00C47D8A">
        <w:rPr>
          <w:rFonts w:ascii="Arial" w:hAnsi="Arial" w:cs="Arial"/>
          <w:bCs/>
        </w:rPr>
        <w:t xml:space="preserve"> a quo a tener en cuenta debe ser la fecha de publicación de</w:t>
      </w:r>
      <w:r w:rsidRPr="00C47D8A">
        <w:rPr>
          <w:rFonts w:ascii="Arial" w:hAnsi="Arial" w:cs="Arial"/>
          <w:b/>
          <w:bCs/>
        </w:rPr>
        <w:t xml:space="preserve"> la Sentencia del Tribunal Supremo de 23 de diciembre de 2015</w:t>
      </w:r>
      <w:r w:rsidRPr="00D94AA2">
        <w:rPr>
          <w:rFonts w:ascii="Arial" w:hAnsi="Arial" w:cs="Arial"/>
          <w:bCs/>
        </w:rPr>
        <w:t xml:space="preserve">, conocimiento que ya existía con carácter general en 2013 y que, específicamente en relación </w:t>
      </w:r>
      <w:r w:rsidRPr="00C47D8A">
        <w:rPr>
          <w:rFonts w:ascii="Arial" w:hAnsi="Arial" w:cs="Arial"/>
        </w:rPr>
        <w:t>con</w:t>
      </w:r>
      <w:r w:rsidRPr="00D94AA2">
        <w:rPr>
          <w:rFonts w:ascii="Arial" w:hAnsi="Arial" w:cs="Arial"/>
          <w:bCs/>
        </w:rPr>
        <w:t xml:space="preserve"> la potencial </w:t>
      </w:r>
      <w:proofErr w:type="spellStart"/>
      <w:r w:rsidRPr="00D94AA2">
        <w:rPr>
          <w:rFonts w:ascii="Arial" w:hAnsi="Arial" w:cs="Arial"/>
          <w:bCs/>
        </w:rPr>
        <w:t>abusividad</w:t>
      </w:r>
      <w:proofErr w:type="spellEnd"/>
      <w:r w:rsidRPr="00D94AA2">
        <w:rPr>
          <w:rFonts w:ascii="Arial" w:hAnsi="Arial" w:cs="Arial"/>
          <w:bCs/>
        </w:rPr>
        <w:t xml:space="preserve"> de la </w:t>
      </w:r>
      <w:r w:rsidRPr="00D94AA2">
        <w:rPr>
          <w:rFonts w:ascii="Arial" w:hAnsi="Arial" w:cs="Arial"/>
        </w:rPr>
        <w:t>cláusula de imposición de los gastos hipotecarios</w:t>
      </w:r>
      <w:r w:rsidRPr="00D94AA2">
        <w:rPr>
          <w:rFonts w:ascii="Arial" w:hAnsi="Arial" w:cs="Arial"/>
          <w:bCs/>
        </w:rPr>
        <w:t xml:space="preserve"> no hay duda que se produjo como tarde a finales de 2015, con la difusión de la Sentencia del Tribunal Supremo de 23 de diciembre de 2015. </w:t>
      </w:r>
    </w:p>
    <w:p w14:paraId="471CF08A" w14:textId="77777777" w:rsidR="00BD7CC7" w:rsidRPr="00D94AA2" w:rsidRDefault="00BD7CC7" w:rsidP="00BD7CC7">
      <w:pPr>
        <w:spacing w:before="240" w:after="240" w:line="360" w:lineRule="auto"/>
        <w:jc w:val="both"/>
        <w:rPr>
          <w:rFonts w:ascii="Arial" w:hAnsi="Arial" w:cs="Arial"/>
        </w:rPr>
      </w:pPr>
      <w:r w:rsidRPr="00D94AA2">
        <w:rPr>
          <w:rFonts w:ascii="Arial" w:hAnsi="Arial" w:cs="Arial"/>
        </w:rPr>
        <w:t>Todo lo anterior se hizo si cabe aún más patente a partir de 2016 cuando las campañas agresivas de los despachos se dirigieron específicamente a las reclamaciones de gastos hipotecarios.</w:t>
      </w:r>
      <w:r w:rsidRPr="00D94AA2">
        <w:rPr>
          <w:rFonts w:ascii="Arial" w:hAnsi="Arial" w:cs="Arial"/>
          <w:bCs/>
        </w:rPr>
        <w:t xml:space="preserve"> </w:t>
      </w:r>
    </w:p>
    <w:p w14:paraId="3C44BC2B" w14:textId="77777777" w:rsidR="00BD7CC7" w:rsidRPr="00D94AA2" w:rsidRDefault="00BD7CC7" w:rsidP="00BD7CC7">
      <w:pPr>
        <w:spacing w:before="240" w:after="240" w:line="360" w:lineRule="auto"/>
        <w:jc w:val="both"/>
        <w:rPr>
          <w:rFonts w:ascii="Arial" w:hAnsi="Arial" w:cs="Arial"/>
        </w:rPr>
      </w:pPr>
      <w:r w:rsidRPr="00D94AA2">
        <w:rPr>
          <w:rFonts w:ascii="Arial" w:hAnsi="Arial" w:cs="Arial"/>
          <w:bCs/>
        </w:rPr>
        <w:t xml:space="preserve">En ningún caso puede acudirse a un momento posterior, menos aún a la Sentencia del Tribunal Supremo de 23 de enero de 2019 (como podría pretender el Auto Cuestión Prejudicial GH), sentencia dictada en un momento en que la litigación masiva en materia de gastos hipotecarios llevaba más de 3 años colapsando tribunales de este país y copando campañas publicitarias y noticias en todo tipos de medios de comunicación, y donde simplemente se resuelve sobre una cuestión de fijación de cantidades (pero que, precisamente, parte del conocimiento de la potencial </w:t>
      </w:r>
      <w:proofErr w:type="spellStart"/>
      <w:r w:rsidRPr="00D94AA2">
        <w:rPr>
          <w:rFonts w:ascii="Arial" w:hAnsi="Arial" w:cs="Arial"/>
          <w:bCs/>
        </w:rPr>
        <w:t>abusividad</w:t>
      </w:r>
      <w:proofErr w:type="spellEnd"/>
      <w:r w:rsidRPr="00D94AA2">
        <w:rPr>
          <w:rFonts w:ascii="Arial" w:hAnsi="Arial" w:cs="Arial"/>
          <w:bCs/>
        </w:rPr>
        <w:t xml:space="preserve">). </w:t>
      </w:r>
    </w:p>
    <w:p w14:paraId="33F395E3" w14:textId="77777777" w:rsidR="00BD7CC7" w:rsidRPr="00BE758C" w:rsidRDefault="00BD7CC7" w:rsidP="00BD7CC7">
      <w:pPr>
        <w:pStyle w:val="Prrafodelista"/>
        <w:keepNext/>
        <w:numPr>
          <w:ilvl w:val="0"/>
          <w:numId w:val="10"/>
        </w:numPr>
        <w:suppressAutoHyphens w:val="0"/>
        <w:spacing w:before="240" w:after="240" w:line="360" w:lineRule="auto"/>
        <w:ind w:left="567" w:hanging="578"/>
        <w:contextualSpacing w:val="0"/>
        <w:jc w:val="both"/>
        <w:rPr>
          <w:rFonts w:ascii="Arial" w:hAnsi="Arial"/>
          <w:b/>
          <w:color w:val="000000"/>
          <w:szCs w:val="20"/>
        </w:rPr>
      </w:pPr>
      <w:r w:rsidRPr="00BE758C">
        <w:rPr>
          <w:rFonts w:ascii="Arial" w:hAnsi="Arial"/>
          <w:b/>
          <w:color w:val="000000"/>
          <w:szCs w:val="20"/>
        </w:rPr>
        <w:t>Aplicación del plazo al caso concreto: la acción restitutoria ha prescrito</w:t>
      </w:r>
    </w:p>
    <w:p w14:paraId="22C9FE42" w14:textId="77777777" w:rsidR="00BD7CC7" w:rsidRDefault="00BD7CC7" w:rsidP="00BD7CC7">
      <w:pPr>
        <w:keepNext/>
        <w:spacing w:before="240" w:after="240" w:line="360" w:lineRule="auto"/>
        <w:ind w:left="-11"/>
        <w:jc w:val="both"/>
        <w:rPr>
          <w:rFonts w:ascii="Arial" w:hAnsi="Arial" w:cs="Arial"/>
          <w:bCs/>
        </w:rPr>
      </w:pPr>
      <w:r>
        <w:rPr>
          <w:rFonts w:ascii="Arial" w:hAnsi="Arial" w:cs="Arial"/>
          <w:bCs/>
        </w:rPr>
        <w:t xml:space="preserve">Esta parte sostiene que el </w:t>
      </w:r>
      <w:proofErr w:type="spellStart"/>
      <w:r w:rsidRPr="00A66A7C">
        <w:rPr>
          <w:rFonts w:ascii="Arial" w:hAnsi="Arial" w:cs="Arial"/>
          <w:bCs/>
          <w:i/>
        </w:rPr>
        <w:t>dies</w:t>
      </w:r>
      <w:proofErr w:type="spellEnd"/>
      <w:r w:rsidRPr="00A66A7C">
        <w:rPr>
          <w:rFonts w:ascii="Arial" w:hAnsi="Arial" w:cs="Arial"/>
          <w:bCs/>
          <w:i/>
        </w:rPr>
        <w:t xml:space="preserve"> a quo</w:t>
      </w:r>
      <w:r>
        <w:rPr>
          <w:rFonts w:ascii="Arial" w:hAnsi="Arial" w:cs="Arial"/>
          <w:bCs/>
        </w:rPr>
        <w:t xml:space="preserve"> comienza a partir de la fecha de publicación de la Sentencia del Tribunal Supremo de 23 de diciembre de 2015, esto es el 21 de enero de 2016. Asimismo, consideramos que el plazo de prescripción que debe aplicarse es el plazo general de 5 años del artículo 1964.2 del Código Civil, en su nueva redacción. Por lo que, el consumidor dispone hasta el 13 de abril de 2021 para ejercitar sus derechos.  </w:t>
      </w:r>
    </w:p>
    <w:p w14:paraId="0B2AF9AB" w14:textId="1B72CD85" w:rsidR="008175AB" w:rsidRDefault="008175AB" w:rsidP="00BD7CC7">
      <w:pPr>
        <w:keepNext/>
        <w:spacing w:before="240" w:after="240" w:line="360" w:lineRule="auto"/>
        <w:ind w:left="-11"/>
        <w:jc w:val="both"/>
        <w:rPr>
          <w:rFonts w:ascii="Arial" w:hAnsi="Arial" w:cs="Arial"/>
          <w:bCs/>
        </w:rPr>
      </w:pPr>
      <w:r w:rsidRPr="008175AB">
        <w:rPr>
          <w:rFonts w:ascii="Arial" w:hAnsi="Arial" w:cs="Arial"/>
          <w:bCs/>
          <w:highlight w:val="yellow"/>
        </w:rPr>
        <w:t>SI TENEMOIS RECL. EXTRAJUDICIAL</w:t>
      </w:r>
    </w:p>
    <w:p w14:paraId="4142CCA6" w14:textId="7048B367" w:rsidR="00BD7CC7" w:rsidRDefault="00BD7CC7" w:rsidP="00BD7CC7">
      <w:pPr>
        <w:keepNext/>
        <w:spacing w:before="240" w:after="240" w:line="360" w:lineRule="auto"/>
        <w:ind w:left="-11"/>
        <w:jc w:val="both"/>
        <w:rPr>
          <w:rFonts w:ascii="Arial" w:hAnsi="Arial" w:cs="Arial"/>
          <w:b/>
          <w:bCs/>
          <w:u w:val="single"/>
        </w:rPr>
      </w:pPr>
      <w:r w:rsidRPr="00A66A7C">
        <w:rPr>
          <w:rFonts w:ascii="Arial" w:hAnsi="Arial" w:cs="Arial"/>
          <w:bCs/>
        </w:rPr>
        <w:t>En el caso que nos ocupa</w:t>
      </w:r>
      <w:r w:rsidRPr="00A66A7C">
        <w:rPr>
          <w:rFonts w:ascii="Arial" w:hAnsi="Arial" w:cs="Arial"/>
        </w:rPr>
        <w:t>, debemos partir de que l</w:t>
      </w:r>
      <w:r w:rsidRPr="00A66A7C">
        <w:rPr>
          <w:rFonts w:ascii="Arial" w:hAnsi="Arial" w:cs="Arial"/>
          <w:b/>
          <w:bCs/>
          <w:u w:val="single"/>
        </w:rPr>
        <w:t xml:space="preserve">a presentación de la reclamación extrajudicial se produjo </w:t>
      </w:r>
      <w:r w:rsidRPr="008175AB">
        <w:rPr>
          <w:rFonts w:ascii="Arial" w:hAnsi="Arial" w:cs="Arial"/>
          <w:b/>
          <w:bCs/>
          <w:highlight w:val="yellow"/>
          <w:u w:val="single"/>
        </w:rPr>
        <w:t>el</w:t>
      </w:r>
      <w:r w:rsidR="006A3653" w:rsidRPr="008175AB">
        <w:rPr>
          <w:rFonts w:ascii="Arial" w:hAnsi="Arial" w:cs="Arial"/>
          <w:b/>
          <w:bCs/>
          <w:highlight w:val="yellow"/>
          <w:u w:val="single"/>
        </w:rPr>
        <w:t xml:space="preserve"> </w:t>
      </w:r>
      <w:r w:rsidR="00EB48EA">
        <w:rPr>
          <w:rFonts w:ascii="Arial" w:hAnsi="Arial" w:cs="Arial"/>
          <w:b/>
          <w:bCs/>
          <w:highlight w:val="yellow"/>
          <w:u w:val="single"/>
        </w:rPr>
        <w:fldChar w:fldCharType="begin"/>
      </w:r>
      <w:r w:rsidR="00EB48EA">
        <w:rPr>
          <w:rFonts w:ascii="Arial" w:hAnsi="Arial" w:cs="Arial"/>
          <w:b/>
          <w:bCs/>
          <w:highlight w:val="yellow"/>
          <w:u w:val="single"/>
        </w:rPr>
        <w:instrText>persovalores_personalizable1301</w:instrText>
      </w:r>
      <w:r w:rsidR="00EB48EA">
        <w:rPr>
          <w:rFonts w:ascii="Arial" w:hAnsi="Arial" w:cs="Arial"/>
          <w:b/>
          <w:bCs/>
          <w:highlight w:val="yellow"/>
          <w:u w:val="single"/>
        </w:rPr>
        <w:fldChar w:fldCharType="separate"/>
      </w:r>
      <w:r w:rsidR="00EB48EA">
        <w:rPr>
          <w:rFonts w:ascii="Arial" w:hAnsi="Arial" w:cs="Arial"/>
          <w:b/>
          <w:bCs/>
          <w:noProof/>
          <w:highlight w:val="yellow"/>
          <w:u w:val="single"/>
        </w:rPr>
        <w:t>«BANKINTER_CLAUSULAS_FECHA_RECLAMACIÓNM_E»</w:t>
      </w:r>
      <w:r w:rsidR="00EB48EA">
        <w:rPr>
          <w:rFonts w:ascii="Arial" w:hAnsi="Arial" w:cs="Arial"/>
          <w:b/>
          <w:bCs/>
          <w:highlight w:val="yellow"/>
          <w:u w:val="single"/>
        </w:rPr>
        <w:fldChar w:fldCharType="end"/>
      </w:r>
      <w:r w:rsidRPr="00A66A7C">
        <w:rPr>
          <w:rFonts w:ascii="Arial" w:hAnsi="Arial" w:cs="Arial"/>
          <w:b/>
          <w:bCs/>
          <w:u w:val="single"/>
        </w:rPr>
        <w:t>, más de 5 años y 82 días después de la fecha de publicación de la Sentencia del Tribunal Supremo de 23 de diciembre de 2015</w:t>
      </w:r>
      <w:r>
        <w:rPr>
          <w:rFonts w:ascii="Arial" w:hAnsi="Arial" w:cs="Arial"/>
          <w:b/>
          <w:bCs/>
          <w:u w:val="single"/>
        </w:rPr>
        <w:t xml:space="preserve">, por lo que, la acción de </w:t>
      </w:r>
      <w:r w:rsidR="00207101">
        <w:rPr>
          <w:rFonts w:ascii="Arial" w:hAnsi="Arial" w:cs="Arial"/>
          <w:b/>
          <w:bCs/>
          <w:u w:val="single"/>
        </w:rPr>
        <w:t>restitución</w:t>
      </w:r>
      <w:r>
        <w:rPr>
          <w:rFonts w:ascii="Arial" w:hAnsi="Arial" w:cs="Arial"/>
          <w:b/>
          <w:bCs/>
          <w:u w:val="single"/>
        </w:rPr>
        <w:t xml:space="preserve"> se encuentra </w:t>
      </w:r>
      <w:r>
        <w:rPr>
          <w:rFonts w:ascii="Arial" w:hAnsi="Arial" w:cs="Arial"/>
          <w:b/>
          <w:bCs/>
          <w:u w:val="single"/>
        </w:rPr>
        <w:lastRenderedPageBreak/>
        <w:t xml:space="preserve">prescrita. </w:t>
      </w:r>
    </w:p>
    <w:p w14:paraId="0F4DD096" w14:textId="264AF458" w:rsidR="008175AB" w:rsidRPr="008175AB" w:rsidRDefault="008175AB" w:rsidP="00BD7CC7">
      <w:pPr>
        <w:keepNext/>
        <w:spacing w:before="240" w:after="240" w:line="360" w:lineRule="auto"/>
        <w:ind w:left="-11"/>
        <w:jc w:val="both"/>
        <w:rPr>
          <w:rFonts w:ascii="Arial" w:hAnsi="Arial" w:cs="Arial"/>
        </w:rPr>
      </w:pPr>
      <w:r w:rsidRPr="008175AB">
        <w:rPr>
          <w:rFonts w:ascii="Arial" w:hAnsi="Arial" w:cs="Arial"/>
          <w:highlight w:val="yellow"/>
        </w:rPr>
        <w:t>HASTA AQUÍ</w:t>
      </w:r>
    </w:p>
    <w:p w14:paraId="43C3D212" w14:textId="77777777" w:rsidR="008175AB" w:rsidRDefault="008175AB" w:rsidP="00BD7CC7">
      <w:pPr>
        <w:keepNext/>
        <w:spacing w:before="240" w:after="240" w:line="360" w:lineRule="auto"/>
        <w:ind w:left="-11"/>
        <w:jc w:val="both"/>
        <w:rPr>
          <w:rFonts w:ascii="Arial" w:hAnsi="Arial" w:cs="Arial"/>
          <w:b/>
          <w:bCs/>
          <w:u w:val="single"/>
        </w:rPr>
      </w:pPr>
    </w:p>
    <w:p w14:paraId="32420532" w14:textId="1A075D13" w:rsidR="008175AB" w:rsidRPr="008175AB" w:rsidRDefault="008175AB" w:rsidP="00BD7CC7">
      <w:pPr>
        <w:keepNext/>
        <w:spacing w:before="240" w:after="240" w:line="360" w:lineRule="auto"/>
        <w:ind w:left="-11"/>
        <w:jc w:val="both"/>
        <w:rPr>
          <w:rFonts w:ascii="Arial" w:hAnsi="Arial" w:cs="Arial"/>
        </w:rPr>
      </w:pPr>
      <w:r w:rsidRPr="008175AB">
        <w:rPr>
          <w:rFonts w:ascii="Arial" w:hAnsi="Arial" w:cs="Arial"/>
          <w:highlight w:val="yellow"/>
        </w:rPr>
        <w:t>SIN RECL. EXTRAJUDICIAL (FECHA DEMANDA)</w:t>
      </w:r>
    </w:p>
    <w:p w14:paraId="49B47190" w14:textId="77777777" w:rsidR="008175AB" w:rsidRPr="000877B4" w:rsidRDefault="008175AB" w:rsidP="008175AB">
      <w:pPr>
        <w:spacing w:before="240" w:after="240" w:line="360" w:lineRule="auto"/>
        <w:jc w:val="both"/>
        <w:rPr>
          <w:rFonts w:ascii="Arial" w:hAnsi="Arial" w:cs="Arial"/>
          <w:b/>
        </w:rPr>
      </w:pPr>
      <w:r w:rsidRPr="00B57345">
        <w:rPr>
          <w:rFonts w:ascii="Arial" w:hAnsi="Arial" w:cs="Arial"/>
          <w:bCs/>
        </w:rPr>
        <w:t xml:space="preserve">No existiendo en el presente caso reclamación extrajudicial de ningún tipo que interrumpiera el plazo de prescripción, debe quedar el </w:t>
      </w:r>
      <w:proofErr w:type="spellStart"/>
      <w:r w:rsidRPr="00B57345">
        <w:rPr>
          <w:rFonts w:ascii="Arial" w:hAnsi="Arial" w:cs="Arial"/>
          <w:bCs/>
          <w:i/>
          <w:iCs/>
        </w:rPr>
        <w:t>dies</w:t>
      </w:r>
      <w:proofErr w:type="spellEnd"/>
      <w:r w:rsidRPr="00B57345">
        <w:rPr>
          <w:rFonts w:ascii="Arial" w:hAnsi="Arial" w:cs="Arial"/>
          <w:bCs/>
          <w:i/>
          <w:iCs/>
        </w:rPr>
        <w:t xml:space="preserve"> a quo</w:t>
      </w:r>
      <w:r w:rsidRPr="00B57345">
        <w:rPr>
          <w:rFonts w:ascii="Arial" w:hAnsi="Arial" w:cs="Arial"/>
          <w:bCs/>
        </w:rPr>
        <w:t xml:space="preserve"> fijado en </w:t>
      </w:r>
      <w:r>
        <w:rPr>
          <w:rFonts w:ascii="Arial" w:hAnsi="Arial" w:cs="Arial"/>
          <w:bCs/>
        </w:rPr>
        <w:t xml:space="preserve">la </w:t>
      </w:r>
      <w:r w:rsidRPr="00C468FD">
        <w:rPr>
          <w:rFonts w:ascii="Arial" w:hAnsi="Arial" w:cs="Arial"/>
          <w:bCs/>
        </w:rPr>
        <w:t>fecha</w:t>
      </w:r>
      <w:r w:rsidRPr="00C468FD">
        <w:rPr>
          <w:rFonts w:ascii="Arial" w:hAnsi="Arial" w:cs="Arial"/>
        </w:rPr>
        <w:t xml:space="preserve"> de</w:t>
      </w:r>
      <w:r w:rsidRPr="00C468FD">
        <w:rPr>
          <w:rFonts w:ascii="Arial" w:hAnsi="Arial" w:cs="Arial"/>
          <w:b/>
        </w:rPr>
        <w:t xml:space="preserve"> </w:t>
      </w:r>
      <w:r w:rsidRPr="00C468FD">
        <w:rPr>
          <w:rFonts w:ascii="Arial" w:hAnsi="Arial" w:cs="Arial"/>
          <w:b/>
          <w:u w:val="single"/>
        </w:rPr>
        <w:t>21 de enero de 2016</w:t>
      </w:r>
      <w:r w:rsidRPr="00C468FD">
        <w:rPr>
          <w:rFonts w:ascii="Arial" w:hAnsi="Arial" w:cs="Arial"/>
          <w:bCs/>
        </w:rPr>
        <w:t xml:space="preserve">, </w:t>
      </w:r>
      <w:r>
        <w:rPr>
          <w:rFonts w:ascii="Arial" w:hAnsi="Arial" w:cs="Arial"/>
          <w:bCs/>
        </w:rPr>
        <w:t>momento en que</w:t>
      </w:r>
      <w:r w:rsidRPr="00B57345">
        <w:rPr>
          <w:rFonts w:ascii="Arial" w:hAnsi="Arial" w:cs="Arial"/>
          <w:bCs/>
        </w:rPr>
        <w:t xml:space="preserve"> existía pleno conocimiento de la potencial </w:t>
      </w:r>
      <w:proofErr w:type="spellStart"/>
      <w:r w:rsidRPr="00B57345">
        <w:rPr>
          <w:rFonts w:ascii="Arial" w:hAnsi="Arial" w:cs="Arial"/>
          <w:bCs/>
        </w:rPr>
        <w:t>abusividad</w:t>
      </w:r>
      <w:proofErr w:type="spellEnd"/>
      <w:r w:rsidRPr="00B57345">
        <w:rPr>
          <w:rFonts w:ascii="Arial" w:hAnsi="Arial" w:cs="Arial"/>
          <w:bCs/>
        </w:rPr>
        <w:t xml:space="preserve"> de la cláusula de imposic</w:t>
      </w:r>
      <w:r>
        <w:rPr>
          <w:rFonts w:ascii="Arial" w:hAnsi="Arial" w:cs="Arial"/>
          <w:bCs/>
        </w:rPr>
        <w:t>ión de los gastos hipotecarios y que coincide con la fecha de publicación de la Sentencia del Tribunal Supremo de 23 de diciembre de 2015.</w:t>
      </w:r>
    </w:p>
    <w:p w14:paraId="2A758E2F" w14:textId="2A483B3C" w:rsidR="008175AB" w:rsidRDefault="008175AB" w:rsidP="008175AB">
      <w:pPr>
        <w:spacing w:before="240" w:after="240" w:line="360" w:lineRule="auto"/>
        <w:jc w:val="both"/>
        <w:rPr>
          <w:rFonts w:ascii="Arial" w:hAnsi="Arial" w:cs="Arial"/>
          <w:b/>
          <w:bCs/>
          <w:u w:val="single"/>
        </w:rPr>
      </w:pPr>
      <w:r w:rsidRPr="000877B4">
        <w:rPr>
          <w:rFonts w:ascii="Arial" w:hAnsi="Arial" w:cs="Arial"/>
          <w:bCs/>
        </w:rPr>
        <w:t xml:space="preserve">En el caso que nos ocupa, debemos partir de que </w:t>
      </w:r>
      <w:r w:rsidRPr="000877B4">
        <w:rPr>
          <w:rFonts w:ascii="Arial" w:hAnsi="Arial" w:cs="Arial"/>
          <w:b/>
          <w:bCs/>
          <w:u w:val="single"/>
        </w:rPr>
        <w:t xml:space="preserve">la presentación de la demanda se produjo el </w:t>
      </w:r>
      <w:r w:rsidR="00256CB3">
        <w:rPr>
          <w:rFonts w:ascii="Arial" w:hAnsi="Arial" w:cs="Arial"/>
          <w:b/>
          <w:bCs/>
          <w:highlight w:val="yellow"/>
          <w:u w:val="single"/>
        </w:rPr>
        <w:fldChar w:fldCharType="begin"/>
      </w:r>
      <w:r w:rsidR="00D0492B">
        <w:rPr>
          <w:rFonts w:ascii="Arial" w:hAnsi="Arial" w:cs="Arial"/>
          <w:b/>
          <w:bCs/>
          <w:highlight w:val="yellow"/>
          <w:u w:val="single"/>
        </w:rPr>
        <w:instrText>persovalores_personalizable115</w:instrText>
      </w:r>
      <w:r w:rsidR="00256CB3">
        <w:rPr>
          <w:rFonts w:ascii="Arial" w:hAnsi="Arial" w:cs="Arial"/>
          <w:b/>
          <w:bCs/>
          <w:highlight w:val="yellow"/>
          <w:u w:val="single"/>
        </w:rPr>
        <w:fldChar w:fldCharType="separate"/>
      </w:r>
      <w:r w:rsidR="00256CB3">
        <w:rPr>
          <w:rFonts w:ascii="Arial" w:hAnsi="Arial" w:cs="Arial"/>
          <w:b/>
          <w:bCs/>
          <w:noProof/>
          <w:highlight w:val="yellow"/>
          <w:u w:val="single"/>
        </w:rPr>
        <w:t>«Fechas_Clave_Fecha_Presentación_Demanda»</w:t>
      </w:r>
      <w:r w:rsidR="00256CB3">
        <w:rPr>
          <w:rFonts w:ascii="Arial" w:hAnsi="Arial" w:cs="Arial"/>
          <w:b/>
          <w:bCs/>
          <w:highlight w:val="yellow"/>
          <w:u w:val="single"/>
        </w:rPr>
        <w:fldChar w:fldCharType="end"/>
      </w:r>
      <w:r w:rsidRPr="000877B4">
        <w:rPr>
          <w:rFonts w:ascii="Arial" w:hAnsi="Arial" w:cs="Arial"/>
          <w:b/>
          <w:bCs/>
          <w:u w:val="single"/>
        </w:rPr>
        <w:t>, más de 5 años y 82 días después de la fecha de publicación de la Sentencia del Tribunal Supremo de 23 de diciembre de 2015, por lo que, la acción de prescripción se encuentra prescrita.</w:t>
      </w:r>
    </w:p>
    <w:p w14:paraId="268805CE" w14:textId="27D15C27" w:rsidR="008175AB" w:rsidRDefault="008175AB" w:rsidP="008175AB">
      <w:pPr>
        <w:keepNext/>
        <w:spacing w:before="240" w:after="240" w:line="360" w:lineRule="auto"/>
        <w:ind w:left="-11"/>
        <w:jc w:val="both"/>
        <w:rPr>
          <w:rFonts w:ascii="Arial" w:hAnsi="Arial" w:cs="Arial"/>
        </w:rPr>
      </w:pPr>
      <w:r w:rsidRPr="008175AB">
        <w:rPr>
          <w:rFonts w:ascii="Arial" w:hAnsi="Arial" w:cs="Arial"/>
          <w:highlight w:val="yellow"/>
        </w:rPr>
        <w:t>HASTA AQUÍ</w:t>
      </w:r>
    </w:p>
    <w:p w14:paraId="1DD22010" w14:textId="77777777" w:rsidR="00362EA8" w:rsidRPr="008175AB" w:rsidRDefault="00362EA8" w:rsidP="008175AB">
      <w:pPr>
        <w:keepNext/>
        <w:spacing w:before="240" w:after="240" w:line="360" w:lineRule="auto"/>
        <w:ind w:left="-11"/>
        <w:jc w:val="both"/>
        <w:rPr>
          <w:rFonts w:ascii="Arial" w:hAnsi="Arial" w:cs="Arial"/>
        </w:rPr>
      </w:pPr>
    </w:p>
    <w:p w14:paraId="2C358B12" w14:textId="00B006FE" w:rsidR="008175AB" w:rsidRDefault="00BD7CC7" w:rsidP="00BD7CC7">
      <w:pPr>
        <w:spacing w:before="240" w:after="240" w:line="360" w:lineRule="auto"/>
        <w:jc w:val="both"/>
        <w:rPr>
          <w:rFonts w:ascii="Arial" w:hAnsi="Arial" w:cs="Arial"/>
        </w:rPr>
      </w:pPr>
      <w:r w:rsidRPr="00B57345">
        <w:rPr>
          <w:rFonts w:ascii="Arial" w:hAnsi="Arial" w:cs="Arial"/>
          <w:b/>
          <w:u w:val="single"/>
        </w:rPr>
        <w:t>Por tanto, la única acción que podría llegar a prosperar en el presente asunto sería la declarativa de nulidad</w:t>
      </w:r>
      <w:r w:rsidRPr="00B57345">
        <w:rPr>
          <w:rFonts w:ascii="Arial" w:hAnsi="Arial" w:cs="Arial"/>
        </w:rPr>
        <w:t xml:space="preserve">, que, en caso de ser estimada –algo que esta parte no comparte–, supondría la expulsión de las cláusulas impugnadas del contrato y su consecuente inaplicación a futuro. Sin embargo, </w:t>
      </w:r>
      <w:r w:rsidRPr="00B57345">
        <w:rPr>
          <w:rFonts w:ascii="Arial" w:hAnsi="Arial" w:cs="Arial"/>
          <w:b/>
          <w:u w:val="single"/>
        </w:rPr>
        <w:t>en ningún caso podrá atenderse a la remoción de efectos ya producidos</w:t>
      </w:r>
      <w:r w:rsidRPr="00B57345">
        <w:rPr>
          <w:rFonts w:ascii="Arial" w:hAnsi="Arial" w:cs="Arial"/>
        </w:rPr>
        <w:t>, consistente en la restitución de las ventajas obtenidas, puesto que dicha acción restitutoria ha prescrito en este caso.</w:t>
      </w:r>
    </w:p>
    <w:p w14:paraId="68ADFB8F" w14:textId="77777777" w:rsidR="00BD7CC7" w:rsidRPr="004E0894" w:rsidRDefault="00BD7CC7" w:rsidP="00BD7CC7">
      <w:pPr>
        <w:pStyle w:val="Prrafodelista"/>
        <w:numPr>
          <w:ilvl w:val="0"/>
          <w:numId w:val="10"/>
        </w:numPr>
        <w:suppressAutoHyphens w:val="0"/>
        <w:spacing w:before="240" w:after="240" w:line="360" w:lineRule="auto"/>
        <w:jc w:val="both"/>
        <w:rPr>
          <w:rFonts w:ascii="Arial" w:hAnsi="Arial"/>
          <w:b/>
          <w:color w:val="000000"/>
          <w:szCs w:val="20"/>
        </w:rPr>
      </w:pPr>
      <w:r>
        <w:rPr>
          <w:rFonts w:ascii="Arial" w:hAnsi="Arial"/>
          <w:b/>
          <w:color w:val="000000"/>
          <w:szCs w:val="20"/>
        </w:rPr>
        <w:t xml:space="preserve">Conclusión. La acción de restitución se encuentra prescrita. </w:t>
      </w:r>
    </w:p>
    <w:p w14:paraId="759897C1" w14:textId="77777777" w:rsidR="00BD7CC7" w:rsidRDefault="00BD7CC7" w:rsidP="00BD7CC7">
      <w:pPr>
        <w:spacing w:before="240" w:after="240" w:line="360" w:lineRule="auto"/>
        <w:jc w:val="both"/>
        <w:rPr>
          <w:rFonts w:ascii="Arial" w:hAnsi="Arial" w:cs="Arial"/>
          <w:b/>
          <w:u w:val="single"/>
        </w:rPr>
      </w:pPr>
      <w:r w:rsidRPr="000877B4">
        <w:rPr>
          <w:rFonts w:ascii="Arial" w:hAnsi="Arial" w:cs="Arial"/>
        </w:rPr>
        <w:t xml:space="preserve">El </w:t>
      </w:r>
      <w:proofErr w:type="spellStart"/>
      <w:r w:rsidRPr="000877B4">
        <w:rPr>
          <w:rFonts w:ascii="Arial" w:hAnsi="Arial" w:cs="Arial"/>
        </w:rPr>
        <w:t>dies</w:t>
      </w:r>
      <w:proofErr w:type="spellEnd"/>
      <w:r w:rsidRPr="000877B4">
        <w:rPr>
          <w:rFonts w:ascii="Arial" w:hAnsi="Arial" w:cs="Arial"/>
        </w:rPr>
        <w:t xml:space="preserve"> a quo </w:t>
      </w:r>
      <w:proofErr w:type="gramStart"/>
      <w:r w:rsidRPr="000877B4">
        <w:rPr>
          <w:rFonts w:ascii="Arial" w:hAnsi="Arial" w:cs="Arial"/>
        </w:rPr>
        <w:t>a</w:t>
      </w:r>
      <w:proofErr w:type="gramEnd"/>
      <w:r w:rsidRPr="000877B4">
        <w:rPr>
          <w:rFonts w:ascii="Arial" w:hAnsi="Arial" w:cs="Arial"/>
        </w:rPr>
        <w:t xml:space="preserve"> tener en cuenta debe ser la fecha de publicación de la Sentencia </w:t>
      </w:r>
      <w:r>
        <w:rPr>
          <w:rFonts w:ascii="Arial" w:hAnsi="Arial" w:cs="Arial"/>
        </w:rPr>
        <w:t xml:space="preserve">Núm. 705/2015 </w:t>
      </w:r>
      <w:r w:rsidRPr="000877B4">
        <w:rPr>
          <w:rFonts w:ascii="Arial" w:hAnsi="Arial" w:cs="Arial"/>
        </w:rPr>
        <w:t>del Tribunal Supremo</w:t>
      </w:r>
      <w:r>
        <w:rPr>
          <w:rFonts w:ascii="Arial" w:hAnsi="Arial" w:cs="Arial"/>
        </w:rPr>
        <w:t>, Sala de lo Civil Pleno de 23 de diciembre de 2023,</w:t>
      </w:r>
      <w:r w:rsidRPr="000877B4">
        <w:rPr>
          <w:rFonts w:ascii="Arial" w:hAnsi="Arial" w:cs="Arial"/>
        </w:rPr>
        <w:t xml:space="preserve"> </w:t>
      </w:r>
      <w:r>
        <w:rPr>
          <w:rFonts w:ascii="Arial" w:hAnsi="Arial" w:cs="Arial"/>
        </w:rPr>
        <w:t xml:space="preserve">esto es, el día </w:t>
      </w:r>
      <w:r w:rsidRPr="000877B4">
        <w:rPr>
          <w:rFonts w:ascii="Arial" w:hAnsi="Arial" w:cs="Arial"/>
          <w:b/>
          <w:u w:val="single"/>
        </w:rPr>
        <w:t xml:space="preserve">21 de enero de 2016. </w:t>
      </w:r>
    </w:p>
    <w:p w14:paraId="5D882058" w14:textId="038175C8" w:rsidR="00BD7CC7" w:rsidRPr="006A3653" w:rsidRDefault="00BD7CC7" w:rsidP="006A3653">
      <w:pPr>
        <w:spacing w:before="240" w:after="240" w:line="360" w:lineRule="auto"/>
        <w:jc w:val="both"/>
        <w:rPr>
          <w:rFonts w:ascii="Arial" w:hAnsi="Arial" w:cs="Arial"/>
        </w:rPr>
      </w:pPr>
      <w:r w:rsidRPr="004E0894">
        <w:rPr>
          <w:rFonts w:ascii="Arial" w:hAnsi="Arial" w:cs="Arial"/>
        </w:rPr>
        <w:t xml:space="preserve">Así pues, </w:t>
      </w:r>
      <w:r>
        <w:rPr>
          <w:rFonts w:ascii="Arial" w:hAnsi="Arial" w:cs="Arial"/>
        </w:rPr>
        <w:t xml:space="preserve">teniendo en cuenta que la </w:t>
      </w:r>
      <w:r w:rsidR="006A3653">
        <w:rPr>
          <w:rFonts w:ascii="Arial" w:hAnsi="Arial" w:cs="Arial"/>
          <w:highlight w:val="yellow"/>
        </w:rPr>
        <w:t>reclamación extrajudicial</w:t>
      </w:r>
      <w:r w:rsidR="008175AB">
        <w:rPr>
          <w:rFonts w:ascii="Arial" w:hAnsi="Arial" w:cs="Arial"/>
        </w:rPr>
        <w:t>/</w:t>
      </w:r>
      <w:r w:rsidR="008175AB" w:rsidRPr="008175AB">
        <w:rPr>
          <w:rFonts w:ascii="Arial" w:hAnsi="Arial" w:cs="Arial"/>
          <w:highlight w:val="yellow"/>
        </w:rPr>
        <w:t>demanda</w:t>
      </w:r>
      <w:r>
        <w:rPr>
          <w:rFonts w:ascii="Arial" w:hAnsi="Arial" w:cs="Arial"/>
        </w:rPr>
        <w:t xml:space="preserve"> fue presentada el </w:t>
      </w:r>
      <w:r w:rsidR="00A26E54" w:rsidRPr="00362EA8">
        <w:rPr>
          <w:rFonts w:ascii="Arial" w:hAnsi="Arial" w:cs="Arial"/>
          <w:b/>
          <w:bCs/>
          <w:highlight w:val="yellow"/>
        </w:rPr>
        <w:t xml:space="preserve">17 de noviembre </w:t>
      </w:r>
      <w:r w:rsidR="006A3653" w:rsidRPr="00362EA8">
        <w:rPr>
          <w:rFonts w:ascii="Arial" w:hAnsi="Arial" w:cs="Arial"/>
          <w:b/>
          <w:bCs/>
          <w:highlight w:val="yellow"/>
        </w:rPr>
        <w:t>de 2022</w:t>
      </w:r>
      <w:r>
        <w:rPr>
          <w:rFonts w:ascii="Arial" w:hAnsi="Arial" w:cs="Arial"/>
          <w:highlight w:val="yellow"/>
        </w:rPr>
        <w:t xml:space="preserve"> </w:t>
      </w:r>
      <w:r w:rsidRPr="004E0894">
        <w:rPr>
          <w:rFonts w:ascii="Arial" w:hAnsi="Arial" w:cs="Arial"/>
        </w:rPr>
        <w:t xml:space="preserve">y, considerando el 21 de enero de 2016 como fecha de inicio del </w:t>
      </w:r>
      <w:proofErr w:type="spellStart"/>
      <w:r w:rsidRPr="004E0894">
        <w:rPr>
          <w:rFonts w:ascii="Arial" w:hAnsi="Arial" w:cs="Arial"/>
          <w:i/>
        </w:rPr>
        <w:t>dies</w:t>
      </w:r>
      <w:proofErr w:type="spellEnd"/>
      <w:r w:rsidRPr="004E0894">
        <w:rPr>
          <w:rFonts w:ascii="Arial" w:hAnsi="Arial" w:cs="Arial"/>
          <w:i/>
        </w:rPr>
        <w:t xml:space="preserve"> a quo</w:t>
      </w:r>
      <w:r>
        <w:rPr>
          <w:rFonts w:ascii="Arial" w:hAnsi="Arial" w:cs="Arial"/>
        </w:rPr>
        <w:t xml:space="preserve">, en el presente caso que nos ocupa, la acción de prescripción estaría prescrita por el transcurso de 5 años de acuerdo con el artículo 1964.2 del Código Civil, tras la modificación producida por la Disposición Final Primera de la Ley 42/2015, de 5 de octubre. </w:t>
      </w:r>
    </w:p>
    <w:p w14:paraId="07927C9F" w14:textId="54AAA1A8" w:rsidR="00011F76" w:rsidRDefault="00011F76" w:rsidP="006A3653">
      <w:pPr>
        <w:spacing w:line="360" w:lineRule="auto"/>
        <w:rPr>
          <w:rFonts w:ascii="Arial" w:hAnsi="Arial" w:cs="Arial"/>
          <w:b/>
          <w:bCs/>
          <w:color w:val="auto"/>
        </w:rPr>
      </w:pPr>
    </w:p>
    <w:p w14:paraId="626BE8DA" w14:textId="77777777" w:rsidR="008175AB" w:rsidRDefault="008175AB" w:rsidP="008175AB">
      <w:pPr>
        <w:spacing w:before="240" w:after="240" w:line="360" w:lineRule="auto"/>
        <w:jc w:val="both"/>
        <w:rPr>
          <w:rFonts w:ascii="Arial" w:hAnsi="Arial" w:cs="Arial"/>
          <w:b/>
        </w:rPr>
      </w:pPr>
      <w:r w:rsidRPr="004364A0">
        <w:rPr>
          <w:rFonts w:ascii="Arial" w:hAnsi="Arial" w:cs="Arial"/>
          <w:b/>
          <w:highlight w:val="cyan"/>
        </w:rPr>
        <w:lastRenderedPageBreak/>
        <w:t>PARA PRÉSTAMOS HIPOTECARIOS POST 21 DE ENERO DE 2016</w:t>
      </w:r>
    </w:p>
    <w:p w14:paraId="60D0E5C2" w14:textId="77777777" w:rsidR="008175AB" w:rsidRPr="00CD49CA" w:rsidRDefault="008175AB" w:rsidP="008175AB">
      <w:pPr>
        <w:spacing w:before="240" w:after="240" w:line="360" w:lineRule="auto"/>
        <w:ind w:left="1410" w:hanging="1410"/>
        <w:jc w:val="both"/>
        <w:rPr>
          <w:rFonts w:ascii="Arial" w:hAnsi="Arial" w:cs="Arial"/>
          <w:b/>
          <w:u w:val="single"/>
        </w:rPr>
      </w:pPr>
      <w:r w:rsidRPr="00CD49CA">
        <w:rPr>
          <w:rFonts w:ascii="Arial" w:hAnsi="Arial" w:cs="Arial"/>
          <w:b/>
          <w:u w:val="single"/>
        </w:rPr>
        <w:t xml:space="preserve">PRIMERO. - La acción restitutoria ejercitada de contrario se encuentra prescrita </w:t>
      </w:r>
    </w:p>
    <w:p w14:paraId="490B3943" w14:textId="77777777" w:rsidR="008175AB" w:rsidRPr="00CD49CA" w:rsidRDefault="008175AB" w:rsidP="008175AB">
      <w:pPr>
        <w:pStyle w:val="Prrafodelista"/>
        <w:numPr>
          <w:ilvl w:val="0"/>
          <w:numId w:val="10"/>
        </w:numPr>
        <w:suppressAutoHyphens w:val="0"/>
        <w:spacing w:before="240" w:after="240" w:line="360" w:lineRule="auto"/>
        <w:ind w:left="567" w:hanging="567"/>
        <w:contextualSpacing w:val="0"/>
        <w:jc w:val="both"/>
        <w:rPr>
          <w:rFonts w:ascii="Arial" w:hAnsi="Arial"/>
          <w:b/>
          <w:color w:val="000000"/>
          <w:szCs w:val="20"/>
        </w:rPr>
      </w:pPr>
      <w:r w:rsidRPr="00CD49CA">
        <w:rPr>
          <w:rFonts w:ascii="Arial" w:hAnsi="Arial"/>
          <w:b/>
          <w:color w:val="000000"/>
          <w:szCs w:val="20"/>
        </w:rPr>
        <w:t xml:space="preserve">Introducción </w:t>
      </w:r>
    </w:p>
    <w:p w14:paraId="4EA0ADDC"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Como ya se ha tenido oportunidad de indicar en el presente escrito, de contrario se ejercitan dos acciones: por un </w:t>
      </w:r>
      <w:proofErr w:type="gramStart"/>
      <w:r w:rsidRPr="00CD49CA">
        <w:rPr>
          <w:rFonts w:ascii="Arial" w:hAnsi="Arial" w:cs="Arial"/>
        </w:rPr>
        <w:t>lado</w:t>
      </w:r>
      <w:proofErr w:type="gramEnd"/>
      <w:r w:rsidRPr="00CD49CA">
        <w:rPr>
          <w:rFonts w:ascii="Arial" w:hAnsi="Arial" w:cs="Arial"/>
        </w:rPr>
        <w:t xml:space="preserve"> una acción declarativa de nulidad de condición general de contratación, fundada en la eventual </w:t>
      </w:r>
      <w:proofErr w:type="spellStart"/>
      <w:r w:rsidRPr="00CD49CA">
        <w:rPr>
          <w:rFonts w:ascii="Arial" w:hAnsi="Arial" w:cs="Arial"/>
        </w:rPr>
        <w:t>abusividad</w:t>
      </w:r>
      <w:proofErr w:type="spellEnd"/>
      <w:r w:rsidRPr="00CD49CA">
        <w:rPr>
          <w:rFonts w:ascii="Arial" w:hAnsi="Arial" w:cs="Arial"/>
        </w:rPr>
        <w:t xml:space="preserve"> de la cláusula de imposición de gastos, a la cual se acumula una acción restitutoria dirigida al reembolso de los gastos de constitución de hipoteca abonados por la parte actora con sus intereses legales. </w:t>
      </w:r>
    </w:p>
    <w:p w14:paraId="053AA7B1"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Dichas acciones, como se verá a continuación son acciones diferentes e independientes que se rigen por diferentes criterios en materia de prescripción. Así, mientras la jurisprudencia viene considerando como principio asentado que la acción declarativa de nulidad de condición general de contratación no estaría sujeta a ningún plazo de prescripción; la acción restitutoria de las prestaciones realizadas en virtud de la condición declarada nula sí sería prescriptible a la vista de nuestro Código Civil y la jurisprudencia en la materia.</w:t>
      </w:r>
    </w:p>
    <w:p w14:paraId="363FF1D1"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Sentado lo anterior, veremos que la acción restitutoria está sujeta al plazo de prescripción de 5 años (tras la reforma de la </w:t>
      </w:r>
      <w:hyperlink r:id="rId13" w:tooltip="enlace" w:history="1">
        <w:r w:rsidRPr="00CD49CA">
          <w:rPr>
            <w:rFonts w:ascii="Arial" w:hAnsi="Arial" w:cs="Arial"/>
          </w:rPr>
          <w:t>Ley 42/2015, de 5 de octubre</w:t>
        </w:r>
        <w:r w:rsidRPr="00CD49CA">
          <w:rPr>
            <w:rStyle w:val="Refdenotaalpie"/>
            <w:rFonts w:cs="Arial"/>
          </w:rPr>
          <w:footnoteReference w:id="29"/>
        </w:r>
      </w:hyperlink>
      <w:r w:rsidRPr="00CD49CA">
        <w:rPr>
          <w:rFonts w:ascii="Arial" w:hAnsi="Arial" w:cs="Arial"/>
        </w:rPr>
        <w:t xml:space="preserve">) previsto en el artículo 1964 CC, plazo que cumple con los criterios de seguridad jurídica, equivalencia y equidad que exige el TJUE en relación con acciones ejercitadas con base en la Directiva 93/13. Veremos igualmente que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para computar el referido plazo de prescripción es el momento en que la parte actora tuvo conocimiento de la potencial </w:t>
      </w:r>
      <w:proofErr w:type="spellStart"/>
      <w:r w:rsidRPr="00CD49CA">
        <w:rPr>
          <w:rFonts w:ascii="Arial" w:hAnsi="Arial" w:cs="Arial"/>
        </w:rPr>
        <w:t>abusividad</w:t>
      </w:r>
      <w:proofErr w:type="spellEnd"/>
      <w:r w:rsidRPr="00CD49CA">
        <w:rPr>
          <w:rFonts w:ascii="Arial" w:hAnsi="Arial" w:cs="Arial"/>
        </w:rPr>
        <w:t xml:space="preserve"> y estuvo en condiciones de ejercitar la acción.</w:t>
      </w:r>
    </w:p>
    <w:p w14:paraId="4E2CA176"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Aplicando lo anterior al presente supuesto, esta parte acreditará que la acción restitutoria fue ejercitada sobrepasado el plazo de prescripción aplicable. En consecuencia, aun cuando prosperase la acción declarativa de nulidad, en ningún caso podrá prosperar la acción de restitución ejercitada de contrario.</w:t>
      </w:r>
    </w:p>
    <w:p w14:paraId="213B1119" w14:textId="77777777" w:rsidR="008175AB" w:rsidRPr="00CD49CA" w:rsidRDefault="008175AB" w:rsidP="008175AB">
      <w:pPr>
        <w:pStyle w:val="Prrafodelista"/>
        <w:numPr>
          <w:ilvl w:val="0"/>
          <w:numId w:val="10"/>
        </w:numPr>
        <w:suppressAutoHyphens w:val="0"/>
        <w:spacing w:before="240" w:after="240" w:line="360" w:lineRule="auto"/>
        <w:ind w:left="567" w:hanging="567"/>
        <w:contextualSpacing w:val="0"/>
        <w:jc w:val="both"/>
        <w:rPr>
          <w:rFonts w:ascii="Arial" w:hAnsi="Arial"/>
          <w:color w:val="000000"/>
          <w:szCs w:val="20"/>
        </w:rPr>
      </w:pPr>
      <w:r w:rsidRPr="00CD49CA">
        <w:rPr>
          <w:rFonts w:ascii="Arial" w:hAnsi="Arial"/>
          <w:b/>
          <w:color w:val="000000"/>
          <w:szCs w:val="20"/>
        </w:rPr>
        <w:t xml:space="preserve">La acción declarativa de </w:t>
      </w:r>
      <w:proofErr w:type="spellStart"/>
      <w:r w:rsidRPr="00CD49CA">
        <w:rPr>
          <w:rFonts w:ascii="Arial" w:hAnsi="Arial"/>
          <w:b/>
          <w:color w:val="000000"/>
          <w:szCs w:val="20"/>
        </w:rPr>
        <w:t>abusividad</w:t>
      </w:r>
      <w:proofErr w:type="spellEnd"/>
      <w:r w:rsidRPr="00CD49CA">
        <w:rPr>
          <w:rFonts w:ascii="Arial" w:hAnsi="Arial"/>
          <w:b/>
          <w:color w:val="000000"/>
          <w:szCs w:val="20"/>
        </w:rPr>
        <w:t xml:space="preserve"> y la acción restitutoria son acciones autónomas</w:t>
      </w:r>
    </w:p>
    <w:p w14:paraId="720BAEC4" w14:textId="77777777" w:rsidR="008175AB" w:rsidRDefault="008175AB" w:rsidP="008175AB">
      <w:pPr>
        <w:spacing w:before="240" w:after="240" w:line="360" w:lineRule="auto"/>
        <w:jc w:val="both"/>
        <w:rPr>
          <w:rFonts w:ascii="Arial" w:hAnsi="Arial" w:cs="Arial"/>
        </w:rPr>
      </w:pPr>
      <w:r w:rsidRPr="00CD49CA">
        <w:rPr>
          <w:rFonts w:ascii="Arial" w:hAnsi="Arial" w:cs="Arial"/>
        </w:rPr>
        <w:t xml:space="preserve">La acción declarativa de </w:t>
      </w:r>
      <w:proofErr w:type="spellStart"/>
      <w:r w:rsidRPr="00CD49CA">
        <w:rPr>
          <w:rFonts w:ascii="Arial" w:hAnsi="Arial" w:cs="Arial"/>
        </w:rPr>
        <w:t>abusividad</w:t>
      </w:r>
      <w:proofErr w:type="spellEnd"/>
      <w:r w:rsidRPr="00CD49CA">
        <w:rPr>
          <w:rFonts w:ascii="Arial" w:hAnsi="Arial" w:cs="Arial"/>
        </w:rPr>
        <w:t xml:space="preserve"> y la acción de remoción de efectos o restitución de ventajas son dos acciones autónomas e independientes, que responden a distintas causas de pedir: por un lado, la nulidad con base en la </w:t>
      </w:r>
      <w:proofErr w:type="spellStart"/>
      <w:r w:rsidRPr="00CD49CA">
        <w:rPr>
          <w:rFonts w:ascii="Arial" w:hAnsi="Arial" w:cs="Arial"/>
        </w:rPr>
        <w:t>abusividad</w:t>
      </w:r>
      <w:proofErr w:type="spellEnd"/>
      <w:r w:rsidRPr="00CD49CA">
        <w:rPr>
          <w:rFonts w:ascii="Arial" w:hAnsi="Arial" w:cs="Arial"/>
        </w:rPr>
        <w:t xml:space="preserve"> de la cláusula, y, por otro lado, la restitución de las cantidades satisfechas en virtud de la cláusula declarada abusiva.</w:t>
      </w:r>
    </w:p>
    <w:p w14:paraId="7D299030" w14:textId="77777777" w:rsidR="00362EA8" w:rsidRDefault="00362EA8" w:rsidP="008175AB">
      <w:pPr>
        <w:spacing w:before="240" w:after="240" w:line="360" w:lineRule="auto"/>
        <w:jc w:val="both"/>
        <w:rPr>
          <w:rFonts w:ascii="Arial" w:hAnsi="Arial" w:cs="Arial"/>
        </w:rPr>
      </w:pPr>
    </w:p>
    <w:p w14:paraId="5614FDED" w14:textId="77777777" w:rsidR="00362EA8" w:rsidRPr="00CD49CA" w:rsidRDefault="00362EA8" w:rsidP="00362EA8">
      <w:pPr>
        <w:spacing w:before="240" w:line="360" w:lineRule="auto"/>
        <w:jc w:val="both"/>
        <w:rPr>
          <w:rFonts w:ascii="Arial" w:hAnsi="Arial" w:cs="Arial"/>
        </w:rPr>
      </w:pPr>
    </w:p>
    <w:p w14:paraId="453C885E"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 xml:space="preserve">Hay que matizar, eso sí, </w:t>
      </w:r>
      <w:proofErr w:type="gramStart"/>
      <w:r w:rsidRPr="00CD49CA">
        <w:rPr>
          <w:rFonts w:ascii="Arial" w:hAnsi="Arial" w:cs="Arial"/>
        </w:rPr>
        <w:t>que</w:t>
      </w:r>
      <w:proofErr w:type="gramEnd"/>
      <w:r w:rsidRPr="00CD49CA">
        <w:rPr>
          <w:rFonts w:ascii="Arial" w:hAnsi="Arial" w:cs="Arial"/>
        </w:rPr>
        <w:t xml:space="preserve"> aunque con carácter genérico se habla de “declaración de nulidad”, la Directiva 93/13 no regula ni hace mención a ninguna acción de nulidad. El artículo 6, apartado 1 de la Directiva 93/13 dispone que las cláusulas abusivas que figuren en un contrato celebrado entre un consumidor y un profesional “</w:t>
      </w:r>
      <w:r w:rsidRPr="00CD49CA">
        <w:rPr>
          <w:rFonts w:ascii="Arial" w:hAnsi="Arial" w:cs="Arial"/>
          <w:i/>
        </w:rPr>
        <w:t xml:space="preserve">no vincularán al </w:t>
      </w:r>
      <w:r w:rsidRPr="00CD49CA">
        <w:rPr>
          <w:rFonts w:ascii="Arial" w:hAnsi="Arial" w:cs="Arial"/>
          <w:i/>
          <w:iCs/>
        </w:rPr>
        <w:t>consumidor</w:t>
      </w:r>
      <w:r w:rsidRPr="00CD49CA">
        <w:rPr>
          <w:rFonts w:ascii="Arial" w:hAnsi="Arial" w:cs="Arial"/>
        </w:rPr>
        <w:t>”. Al aplicar este principio de “no vinculación”, tanto las Directrices para la interpretación y aplicación de la Directiva 93/13 elaboradas por la Comisión Europea</w:t>
      </w:r>
      <w:r w:rsidRPr="00CD49CA">
        <w:rPr>
          <w:rStyle w:val="Refdenotaalpie"/>
          <w:rFonts w:cs="Arial"/>
        </w:rPr>
        <w:footnoteReference w:id="30"/>
      </w:r>
      <w:r w:rsidRPr="00CD49CA">
        <w:rPr>
          <w:rFonts w:ascii="Arial" w:hAnsi="Arial" w:cs="Arial"/>
        </w:rPr>
        <w:t xml:space="preserve"> (“</w:t>
      </w:r>
      <w:r w:rsidRPr="00CD49CA">
        <w:rPr>
          <w:rFonts w:ascii="Arial" w:hAnsi="Arial" w:cs="Arial"/>
          <w:b/>
        </w:rPr>
        <w:t>Directrices de la Comisión</w:t>
      </w:r>
      <w:r w:rsidRPr="00CD49CA">
        <w:rPr>
          <w:rFonts w:ascii="Arial" w:hAnsi="Arial" w:cs="Arial"/>
        </w:rPr>
        <w:t xml:space="preserve">”) como el TJUE distinguen entre dos aspectos distintos: (i) la declaración de </w:t>
      </w:r>
      <w:proofErr w:type="spellStart"/>
      <w:r w:rsidRPr="00CD49CA">
        <w:rPr>
          <w:rFonts w:ascii="Arial" w:hAnsi="Arial" w:cs="Arial"/>
        </w:rPr>
        <w:t>abusividad</w:t>
      </w:r>
      <w:proofErr w:type="spellEnd"/>
      <w:r w:rsidRPr="00CD49CA">
        <w:rPr>
          <w:rFonts w:ascii="Arial" w:hAnsi="Arial" w:cs="Arial"/>
        </w:rPr>
        <w:t xml:space="preserve"> y (</w:t>
      </w:r>
      <w:proofErr w:type="spellStart"/>
      <w:r w:rsidRPr="00CD49CA">
        <w:rPr>
          <w:rFonts w:ascii="Arial" w:hAnsi="Arial" w:cs="Arial"/>
        </w:rPr>
        <w:t>ii</w:t>
      </w:r>
      <w:proofErr w:type="spellEnd"/>
      <w:r w:rsidRPr="00CD49CA">
        <w:rPr>
          <w:rFonts w:ascii="Arial" w:hAnsi="Arial" w:cs="Arial"/>
        </w:rPr>
        <w:t xml:space="preserve">) la remoción de los efectos que haya producido la cláusula abusiva hasta el momento, en el sentido de restitución de las ventajas obtenidas en aplicación de dicha cláusula. </w:t>
      </w:r>
    </w:p>
    <w:p w14:paraId="3E485F08"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Respecto de la remoción de los efectos que se han producido de manera efectiva en la relación contractual en aplicación de la cláusula declarada abusiva (“</w:t>
      </w:r>
      <w:r w:rsidRPr="00CD49CA">
        <w:rPr>
          <w:rFonts w:ascii="Arial" w:hAnsi="Arial" w:cs="Arial"/>
          <w:u w:val="single"/>
        </w:rPr>
        <w:t>restitución de ventajas obtenidas mediante cláusulas contractuales abusivas</w:t>
      </w:r>
      <w:r w:rsidRPr="00CD49CA">
        <w:rPr>
          <w:rFonts w:ascii="Arial" w:hAnsi="Arial" w:cs="Arial"/>
        </w:rPr>
        <w:t>”, en palabras de la Comisión</w:t>
      </w:r>
      <w:r w:rsidRPr="00CD49CA">
        <w:rPr>
          <w:rStyle w:val="Refdenotaalpie"/>
          <w:rFonts w:cs="Arial"/>
        </w:rPr>
        <w:footnoteReference w:id="31"/>
      </w:r>
      <w:r w:rsidRPr="00CD49CA">
        <w:rPr>
          <w:rFonts w:ascii="Arial" w:hAnsi="Arial" w:cs="Arial"/>
        </w:rPr>
        <w:t xml:space="preserve">) no es automática o inherente a la propia declaración de </w:t>
      </w:r>
      <w:proofErr w:type="spellStart"/>
      <w:r w:rsidRPr="00CD49CA">
        <w:rPr>
          <w:rFonts w:ascii="Arial" w:hAnsi="Arial" w:cs="Arial"/>
        </w:rPr>
        <w:t>abusividad</w:t>
      </w:r>
      <w:proofErr w:type="spellEnd"/>
      <w:r w:rsidRPr="00CD49CA">
        <w:rPr>
          <w:rFonts w:ascii="Arial" w:hAnsi="Arial" w:cs="Arial"/>
        </w:rPr>
        <w:t xml:space="preserve">, sino que </w:t>
      </w:r>
      <w:r w:rsidRPr="00CD49CA">
        <w:rPr>
          <w:rFonts w:ascii="Arial" w:hAnsi="Arial" w:cs="Arial"/>
          <w:u w:val="single"/>
        </w:rPr>
        <w:t>responde a una acción autónoma y accesoria a la declarativa</w:t>
      </w:r>
      <w:r w:rsidRPr="00CD49CA">
        <w:rPr>
          <w:rFonts w:ascii="Arial" w:hAnsi="Arial" w:cs="Arial"/>
        </w:rPr>
        <w:t xml:space="preserve">. </w:t>
      </w:r>
    </w:p>
    <w:p w14:paraId="79728A6C"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Esta configuración del régimen de protección al consumidor que ejercita acciones individuales es plenamente conforme con la regulación de las acciones colectivas en esta misma materia, respecto de las que se ha publicado recientemente la Directiva 2020/1828 del Parlamento Europeo y del Consejo de 25 de noviembre de 2020 relativa a las acciones de representación para la protección de los intereses colectivos de los consumidores y por la que se deroga la Directiva 2009/22/CEE, en la que también se distingue entre la acción declarativa y la remoción de efectos mediante determinadas “medidas resarcitorias” que se clasifican en indemnización,  reparación, sustitución, reducción de precio, resolución contractual o reembolso del precio pagado</w:t>
      </w:r>
      <w:r w:rsidRPr="00CD49CA">
        <w:rPr>
          <w:rStyle w:val="Refdenotaalpie"/>
          <w:rFonts w:cs="Arial"/>
        </w:rPr>
        <w:footnoteReference w:id="32"/>
      </w:r>
      <w:r w:rsidRPr="00CD49CA">
        <w:rPr>
          <w:rFonts w:ascii="Arial" w:hAnsi="Arial" w:cs="Arial"/>
        </w:rPr>
        <w:t xml:space="preserve">. </w:t>
      </w:r>
    </w:p>
    <w:p w14:paraId="3A354D3E"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Este carácter autónomo y accesorio de la acción de remoción de efectos ha sido confirmado por el TJUE tal y como se desprende de </w:t>
      </w:r>
      <w:r w:rsidRPr="00CD49CA">
        <w:rPr>
          <w:rFonts w:ascii="Arial" w:hAnsi="Arial" w:cs="Arial"/>
          <w:lang w:val="es-ES_tradnl"/>
        </w:rPr>
        <w:t xml:space="preserve">la STJUE de 16 de julio de 2020 en el asunto </w:t>
      </w:r>
      <w:proofErr w:type="spellStart"/>
      <w:r w:rsidRPr="00CD49CA">
        <w:rPr>
          <w:rFonts w:ascii="Arial" w:hAnsi="Arial" w:cs="Arial"/>
          <w:i/>
          <w:iCs/>
          <w:lang w:val="es-ES_tradnl"/>
        </w:rPr>
        <w:t>Caixabank</w:t>
      </w:r>
      <w:proofErr w:type="spellEnd"/>
      <w:r w:rsidRPr="00CD49CA">
        <w:rPr>
          <w:rStyle w:val="Refdenotaalpie"/>
          <w:rFonts w:cs="Arial"/>
          <w:lang w:val="es-ES_tradnl"/>
        </w:rPr>
        <w:footnoteReference w:id="33"/>
      </w:r>
      <w:r w:rsidRPr="00CD49CA">
        <w:rPr>
          <w:rFonts w:ascii="Arial" w:hAnsi="Arial" w:cs="Arial"/>
          <w:i/>
          <w:iCs/>
          <w:lang w:val="es-ES_tradnl"/>
        </w:rPr>
        <w:t xml:space="preserve"> </w:t>
      </w:r>
      <w:r w:rsidRPr="00CD49CA">
        <w:rPr>
          <w:rFonts w:ascii="Arial" w:hAnsi="Arial" w:cs="Arial"/>
          <w:lang w:val="es-ES_tradnl"/>
        </w:rPr>
        <w:t xml:space="preserve">o la </w:t>
      </w:r>
      <w:r w:rsidRPr="00CD49CA">
        <w:rPr>
          <w:rFonts w:ascii="Arial" w:hAnsi="Arial" w:cs="Arial"/>
        </w:rPr>
        <w:t xml:space="preserve">más reciente STJUE de 10 de junio de 2021 (asunto </w:t>
      </w:r>
      <w:r w:rsidRPr="00CD49CA">
        <w:rPr>
          <w:rFonts w:ascii="Arial" w:hAnsi="Arial" w:cs="Arial"/>
          <w:i/>
          <w:iCs/>
        </w:rPr>
        <w:t xml:space="preserve">BNP </w:t>
      </w:r>
      <w:proofErr w:type="spellStart"/>
      <w:r w:rsidRPr="00CD49CA">
        <w:rPr>
          <w:rFonts w:ascii="Arial" w:hAnsi="Arial" w:cs="Arial"/>
          <w:i/>
          <w:iCs/>
        </w:rPr>
        <w:t>Paribas</w:t>
      </w:r>
      <w:proofErr w:type="spellEnd"/>
      <w:r w:rsidRPr="00CD49CA">
        <w:rPr>
          <w:rFonts w:ascii="Arial" w:hAnsi="Arial" w:cs="Arial"/>
        </w:rPr>
        <w:t>)</w:t>
      </w:r>
      <w:r w:rsidRPr="00CD49CA">
        <w:rPr>
          <w:rStyle w:val="Refdenotaalpie"/>
          <w:rFonts w:cs="Arial"/>
        </w:rPr>
        <w:footnoteReference w:id="34"/>
      </w:r>
      <w:r w:rsidRPr="00CD49CA">
        <w:rPr>
          <w:rFonts w:ascii="Arial" w:hAnsi="Arial" w:cs="Arial"/>
        </w:rPr>
        <w:t xml:space="preserve">, donde se establece que el carácter autónomo de dichas acciones determina la aplicación de un diferente régimen de prescripción. </w:t>
      </w:r>
    </w:p>
    <w:p w14:paraId="29E10EAE"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La distinción entre ambas acciones se refleja también en el régimen nacional en materia de acciones colectivas en defensa de los consumidores. En la normativa nacional, respecto de los efectos producidos por una cláusula abusiva, se prevé la posibilidad de ejercitar, como acciones </w:t>
      </w:r>
      <w:r w:rsidRPr="00CD49CA">
        <w:rPr>
          <w:rFonts w:ascii="Arial" w:hAnsi="Arial" w:cs="Arial"/>
        </w:rPr>
        <w:lastRenderedPageBreak/>
        <w:t>accesorias y, por tanto, autónomas, las acciones de devolución de cantidades y de indemnización de daños y perjuicios</w:t>
      </w:r>
      <w:r w:rsidRPr="00CD49CA">
        <w:rPr>
          <w:rStyle w:val="Refdenotaalpie"/>
          <w:rFonts w:cs="Arial"/>
        </w:rPr>
        <w:footnoteReference w:id="35"/>
      </w:r>
      <w:r w:rsidRPr="00CD49CA">
        <w:rPr>
          <w:rFonts w:ascii="Arial" w:hAnsi="Arial" w:cs="Arial"/>
        </w:rPr>
        <w:t>. De igual forma, la jurisprudencia es unánime al entender que la acción declarativa y la acción restitutoria se configuran como acciones autónomas y sujetas a diferentes criterios de prescripción.</w:t>
      </w:r>
    </w:p>
    <w:p w14:paraId="39FCE3CE"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En el mismo sentido se ha pronunciado recientemente el Tribunal Supremo en el en el Auto de 22 de julio de 2021 dictado por el Pleno de la Sala Civil del Tribunal Supremo donde se acuerda formular una cuestión prejudicial precisamente en relación con el régimen de prescripción aplicable a la acción restitutoria en reclamaciones de gastos hipotecarios (el “</w:t>
      </w:r>
      <w:r w:rsidRPr="00CD49CA">
        <w:rPr>
          <w:rFonts w:ascii="Arial" w:hAnsi="Arial" w:cs="Arial"/>
          <w:b/>
          <w:bCs/>
        </w:rPr>
        <w:t>Auto Cuestión Prejudicial GH</w:t>
      </w:r>
      <w:r w:rsidRPr="00CD49CA">
        <w:rPr>
          <w:rFonts w:ascii="Arial" w:hAnsi="Arial" w:cs="Arial"/>
        </w:rPr>
        <w:t xml:space="preserve">”) y </w:t>
      </w:r>
      <w:proofErr w:type="gramStart"/>
      <w:r w:rsidRPr="00CD49CA">
        <w:rPr>
          <w:rFonts w:ascii="Arial" w:hAnsi="Arial" w:cs="Arial"/>
        </w:rPr>
        <w:t>que</w:t>
      </w:r>
      <w:proofErr w:type="gramEnd"/>
      <w:r w:rsidRPr="00CD49CA">
        <w:rPr>
          <w:rFonts w:ascii="Arial" w:hAnsi="Arial" w:cs="Arial"/>
        </w:rPr>
        <w:t xml:space="preserve"> por su relevancia, mencionaremos a lo largo de este escrito. En dicha cuestión prejudicial las preguntas que se plantean se refieren al </w:t>
      </w:r>
      <w:proofErr w:type="spellStart"/>
      <w:r w:rsidRPr="00CD49CA">
        <w:rPr>
          <w:rFonts w:ascii="Arial" w:hAnsi="Arial" w:cs="Arial"/>
        </w:rPr>
        <w:t>dies</w:t>
      </w:r>
      <w:proofErr w:type="spellEnd"/>
      <w:r w:rsidRPr="00CD49CA">
        <w:rPr>
          <w:rFonts w:ascii="Arial" w:hAnsi="Arial" w:cs="Arial"/>
        </w:rPr>
        <w:t xml:space="preserve"> a quo (a lo que haremos referencia más adelante) pero no hay ninguna duda de que el Tribunal Supremo, siguiendo la jurisprudencia del TJUE, considera que la acción de restitución de las prestaciones realizadas en ejecución de la cláusula declarada nula es una acción accesoria pero autónoma que tiene su propio régimen de prescripción. Así, en el párrafo 9 de dicho Auto, el Tribunal Supremo deja claro que tal distinción existe y que dicha acción de restitución es prescriptible</w:t>
      </w:r>
    </w:p>
    <w:p w14:paraId="35BC3153" w14:textId="77777777" w:rsidR="008175AB" w:rsidRPr="00CD49CA" w:rsidRDefault="008175AB" w:rsidP="008175AB">
      <w:pPr>
        <w:spacing w:before="240" w:after="240" w:line="360" w:lineRule="auto"/>
        <w:ind w:firstLine="567"/>
        <w:jc w:val="both"/>
        <w:rPr>
          <w:rFonts w:ascii="Arial" w:hAnsi="Arial" w:cs="Arial"/>
        </w:rPr>
      </w:pPr>
      <w:r w:rsidRPr="00CD49CA">
        <w:rPr>
          <w:rFonts w:ascii="Arial" w:hAnsi="Arial" w:cs="Arial"/>
        </w:rPr>
        <w:t>“</w:t>
      </w:r>
      <w:r w:rsidRPr="00CD49CA">
        <w:rPr>
          <w:rFonts w:ascii="Arial" w:hAnsi="Arial" w:cs="Arial"/>
          <w:i/>
          <w:iCs/>
        </w:rPr>
        <w:t xml:space="preserve">En efecto, en la sentencia de 27 de febrero de 20164 y en la más reciente sentencia 747/2010, de 30 de diciembre, hemos distinguido entre la acción de declaración de nulidad absoluta del contrato, que hemos considerado imprescriptible, y </w:t>
      </w:r>
      <w:r w:rsidRPr="00CD49CA">
        <w:rPr>
          <w:rFonts w:ascii="Arial" w:hAnsi="Arial" w:cs="Arial"/>
          <w:b/>
          <w:bCs/>
          <w:i/>
          <w:iCs/>
        </w:rPr>
        <w:t>la acción de restitución de las prestaciones realizadas en ejecución del contrato nulo, a la que hemos aplicado el régimen de prescripción de las acciones personales</w:t>
      </w:r>
      <w:r w:rsidRPr="00CD49CA">
        <w:rPr>
          <w:rFonts w:ascii="Arial" w:hAnsi="Arial" w:cs="Arial"/>
        </w:rPr>
        <w:t>”</w:t>
      </w:r>
    </w:p>
    <w:p w14:paraId="0FBD0EAD"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En el mismo sentido, se pronuncian los órganos inferiores. Se cita, por ejemplo, las sentencias núm. 1828/2020, de 10 de septiembre de 2020, y 2548/2020, de 1 de diciembre de 2020, de la Audiencia Provincial de Barcelona (Sección 15ª)</w:t>
      </w:r>
      <w:r w:rsidRPr="00CD49CA">
        <w:rPr>
          <w:rStyle w:val="Refdenotaalpie"/>
          <w:rFonts w:cs="Arial"/>
        </w:rPr>
        <w:t xml:space="preserve"> </w:t>
      </w:r>
      <w:r w:rsidRPr="00CD49CA">
        <w:rPr>
          <w:rStyle w:val="Refdenotaalpie"/>
          <w:rFonts w:cs="Arial"/>
        </w:rPr>
        <w:footnoteReference w:id="36"/>
      </w:r>
      <w:r w:rsidRPr="00CD49CA">
        <w:rPr>
          <w:rFonts w:ascii="Arial" w:hAnsi="Arial" w:cs="Arial"/>
        </w:rPr>
        <w:t xml:space="preserve">, que distinguen entre declaración de nulidad (como se denomina en derecho nacional a la acción declarativa de </w:t>
      </w:r>
      <w:proofErr w:type="spellStart"/>
      <w:r w:rsidRPr="00CD49CA">
        <w:rPr>
          <w:rFonts w:ascii="Arial" w:hAnsi="Arial" w:cs="Arial"/>
        </w:rPr>
        <w:t>abusividad</w:t>
      </w:r>
      <w:proofErr w:type="spellEnd"/>
      <w:r w:rsidRPr="00CD49CA">
        <w:rPr>
          <w:rFonts w:ascii="Arial" w:hAnsi="Arial" w:cs="Arial"/>
        </w:rPr>
        <w:t>) y restitución de ventajas o resarcimiento concluyendo que “</w:t>
      </w:r>
      <w:r w:rsidRPr="00CD49CA">
        <w:rPr>
          <w:rFonts w:ascii="Arial" w:hAnsi="Arial" w:cs="Arial"/>
          <w:i/>
          <w:iCs/>
        </w:rPr>
        <w:t>no</w:t>
      </w:r>
      <w:r w:rsidRPr="00CD49CA">
        <w:rPr>
          <w:rFonts w:ascii="Arial" w:hAnsi="Arial" w:cs="Arial"/>
          <w:i/>
        </w:rPr>
        <w:t xml:space="preserve"> estimamos que estemos ante una única acción de nulidad imprescriptible y que no podamos distinguir, como hace de forma casi unánime la doctrina, entre la acción declarativa de nulidad y la acción de remoción de los efectos</w:t>
      </w:r>
      <w:r w:rsidRPr="00CD49CA">
        <w:rPr>
          <w:rFonts w:ascii="Arial" w:hAnsi="Arial" w:cs="Arial"/>
          <w:iCs/>
        </w:rPr>
        <w:t xml:space="preserve">”; o la </w:t>
      </w:r>
      <w:r w:rsidRPr="00CD49CA">
        <w:rPr>
          <w:rFonts w:ascii="Arial" w:hAnsi="Arial" w:cs="Arial"/>
        </w:rPr>
        <w:t>Sentencia de la Audiencia Provincial de Madrid (Sección 28ª), núm. 1098/2020, de 11 de junio de 2020, donde se concluye que la acción restitutoria no puede quedar sujeta al mismo régimen de prescripción “</w:t>
      </w:r>
      <w:r w:rsidRPr="00CD49CA">
        <w:rPr>
          <w:rFonts w:ascii="Arial" w:hAnsi="Arial" w:cs="Arial"/>
          <w:b/>
          <w:bCs/>
          <w:i/>
          <w:u w:val="single"/>
        </w:rPr>
        <w:t>por ser una acción distinta de la declarativa de nulidad</w:t>
      </w:r>
      <w:r w:rsidRPr="00CD49CA">
        <w:rPr>
          <w:rFonts w:ascii="Arial" w:hAnsi="Arial" w:cs="Arial"/>
          <w:iCs/>
        </w:rPr>
        <w:t>”, lo que le lleva a concluir que “</w:t>
      </w:r>
      <w:r w:rsidRPr="00CD49CA">
        <w:rPr>
          <w:rFonts w:ascii="Arial" w:hAnsi="Arial" w:cs="Arial"/>
          <w:b/>
          <w:bCs/>
          <w:i/>
          <w:u w:val="single"/>
        </w:rPr>
        <w:t>el reconocimiento de la diversidad de acciones implica que cada una se rija por la normativa y el régimen jurídico que le resulte de aplicación, según su naturaleza jurídica</w:t>
      </w:r>
      <w:r w:rsidRPr="00CD49CA">
        <w:rPr>
          <w:rFonts w:ascii="Arial" w:hAnsi="Arial" w:cs="Arial"/>
          <w:iCs/>
        </w:rPr>
        <w:t>”.</w:t>
      </w:r>
    </w:p>
    <w:p w14:paraId="62E8CE4C"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Prueba evidente de este carácter autónomo es que existen múltiples procedimientos en los que únicamente se ejercita la acción declarativa, bien porque en esos casos la cláusula contractual no ha resultado de aplicación en la práctica de modo que no hay efectos que remover (es el caso, por ejemplo, de la cláusula de vencimiento anticipado o de intereses de demora cuando no ha habido impagos), bien porque los consumidores han optado por solicitar la remoción de los efectos en un procedimiento separado (como ha sucedido de manera habitual respecto de la cláusula atributiva de determinados gastos a cargo del prestatario, circunstancia a la que se han referido, por ejemplo, la Audiencia Provincial de Barcelona</w:t>
      </w:r>
      <w:r w:rsidRPr="00CD49CA">
        <w:rPr>
          <w:rStyle w:val="Refdenotaalpie"/>
          <w:rFonts w:cs="Arial"/>
        </w:rPr>
        <w:footnoteReference w:id="37"/>
      </w:r>
      <w:r w:rsidRPr="00CD49CA">
        <w:rPr>
          <w:rFonts w:ascii="Arial" w:hAnsi="Arial" w:cs="Arial"/>
        </w:rPr>
        <w:t xml:space="preserve"> o la Audiencia Provincial de Murcia</w:t>
      </w:r>
      <w:r w:rsidRPr="00CD49CA">
        <w:rPr>
          <w:rStyle w:val="Refdenotaalpie"/>
          <w:rFonts w:cs="Arial"/>
        </w:rPr>
        <w:footnoteReference w:id="38"/>
      </w:r>
      <w:r w:rsidRPr="00CD49CA">
        <w:rPr>
          <w:rFonts w:ascii="Arial" w:hAnsi="Arial" w:cs="Arial"/>
        </w:rPr>
        <w:t xml:space="preserve">). Ejemplo de ello es la Sentencia del Tribunal Supremo </w:t>
      </w:r>
      <w:proofErr w:type="spellStart"/>
      <w:r w:rsidRPr="00CD49CA">
        <w:rPr>
          <w:rFonts w:ascii="Arial" w:hAnsi="Arial" w:cs="Arial"/>
        </w:rPr>
        <w:t>nº</w:t>
      </w:r>
      <w:proofErr w:type="spellEnd"/>
      <w:r w:rsidRPr="00CD49CA">
        <w:rPr>
          <w:rFonts w:ascii="Arial" w:hAnsi="Arial" w:cs="Arial"/>
        </w:rPr>
        <w:t xml:space="preserve"> 38/2015, de 24 de mayo, que se abstuvo de condenar a la devolución de las cantidades cobradas tras declarar la nulidad de una cláusula suelo por no haber sido formulada una pretensión de tales características, considerando así que la restitución no es un efecto natural o consustancial de la nulidad en normativa de consumo, sino que se trata de una acción de condena distinta e independiente que debe ser ejercitada por el demandante expresamente.</w:t>
      </w:r>
    </w:p>
    <w:p w14:paraId="183F3671" w14:textId="77777777" w:rsidR="008175AB" w:rsidRPr="00CD49CA" w:rsidRDefault="008175AB" w:rsidP="008175AB">
      <w:pPr>
        <w:pStyle w:val="Prrafodelista"/>
        <w:keepNext/>
        <w:numPr>
          <w:ilvl w:val="0"/>
          <w:numId w:val="10"/>
        </w:numPr>
        <w:suppressAutoHyphens w:val="0"/>
        <w:spacing w:before="240" w:after="240" w:line="360" w:lineRule="auto"/>
        <w:ind w:left="567" w:hanging="567"/>
        <w:contextualSpacing w:val="0"/>
        <w:jc w:val="both"/>
        <w:rPr>
          <w:rFonts w:ascii="Arial" w:hAnsi="Arial"/>
          <w:color w:val="000000"/>
          <w:szCs w:val="20"/>
        </w:rPr>
      </w:pPr>
      <w:r w:rsidRPr="00CD49CA">
        <w:rPr>
          <w:rFonts w:ascii="Arial" w:hAnsi="Arial"/>
          <w:b/>
          <w:color w:val="000000"/>
          <w:szCs w:val="20"/>
        </w:rPr>
        <w:t>Sujeción de la acción de restitución a prescripción</w:t>
      </w:r>
    </w:p>
    <w:p w14:paraId="4C18580E" w14:textId="77777777" w:rsidR="008175AB" w:rsidRPr="00CD49CA" w:rsidRDefault="008175AB" w:rsidP="008175AB">
      <w:pPr>
        <w:keepNext/>
        <w:spacing w:before="240" w:after="240" w:line="360" w:lineRule="auto"/>
        <w:jc w:val="both"/>
        <w:rPr>
          <w:rFonts w:ascii="Arial" w:hAnsi="Arial" w:cs="Arial"/>
        </w:rPr>
      </w:pPr>
      <w:r w:rsidRPr="00CD49CA">
        <w:rPr>
          <w:rFonts w:ascii="Arial" w:hAnsi="Arial" w:cs="Arial"/>
        </w:rPr>
        <w:t xml:space="preserve">El carácter autónomo de las acciones declarativas y restitutorias conlleva, entre otras cosas, que cada una esté sujeta a un régimen de prescripción diferente. </w:t>
      </w:r>
    </w:p>
    <w:p w14:paraId="5CF6E41B" w14:textId="77777777" w:rsidR="008175AB" w:rsidRPr="00CD49CA" w:rsidRDefault="008175AB" w:rsidP="008175AB">
      <w:pPr>
        <w:keepNext/>
        <w:spacing w:before="240" w:after="240" w:line="360" w:lineRule="auto"/>
        <w:jc w:val="both"/>
        <w:rPr>
          <w:rFonts w:ascii="Arial" w:hAnsi="Arial" w:cs="Arial"/>
        </w:rPr>
      </w:pPr>
      <w:r w:rsidRPr="00CD49CA">
        <w:rPr>
          <w:rFonts w:ascii="Arial" w:hAnsi="Arial" w:cs="Arial"/>
        </w:rPr>
        <w:t xml:space="preserve">Respecto de la declaración de </w:t>
      </w:r>
      <w:proofErr w:type="spellStart"/>
      <w:r w:rsidRPr="00CD49CA">
        <w:rPr>
          <w:rFonts w:ascii="Arial" w:hAnsi="Arial" w:cs="Arial"/>
        </w:rPr>
        <w:t>abusividad</w:t>
      </w:r>
      <w:proofErr w:type="spellEnd"/>
      <w:r w:rsidRPr="00CD49CA">
        <w:rPr>
          <w:rFonts w:ascii="Arial" w:hAnsi="Arial" w:cs="Arial"/>
        </w:rPr>
        <w:t>, las Directrices de la Comisión indican que la concurrencia de plazos de prescripción aplicables</w:t>
      </w:r>
      <w:r w:rsidRPr="00CD49CA">
        <w:rPr>
          <w:rStyle w:val="Refdenotaalpie"/>
          <w:rFonts w:cs="Arial"/>
        </w:rPr>
        <w:footnoteReference w:id="39"/>
      </w:r>
      <w:r w:rsidRPr="00CD49CA">
        <w:rPr>
          <w:rFonts w:ascii="Arial" w:hAnsi="Arial" w:cs="Arial"/>
        </w:rPr>
        <w:t xml:space="preserve"> no puede impedir a los consumidores (i) solicitar a un profesional que elimine una cláusula abusiva de un contrato, (</w:t>
      </w:r>
      <w:proofErr w:type="spellStart"/>
      <w:r w:rsidRPr="00CD49CA">
        <w:rPr>
          <w:rFonts w:ascii="Arial" w:hAnsi="Arial" w:cs="Arial"/>
        </w:rPr>
        <w:t>ii</w:t>
      </w:r>
      <w:proofErr w:type="spellEnd"/>
      <w:r w:rsidRPr="00CD49CA">
        <w:rPr>
          <w:rFonts w:ascii="Arial" w:hAnsi="Arial" w:cs="Arial"/>
        </w:rPr>
        <w:t>) pedir que una cláusula del contrato se declare inválida en sede judicial u (</w:t>
      </w:r>
      <w:proofErr w:type="spellStart"/>
      <w:r w:rsidRPr="00CD49CA">
        <w:rPr>
          <w:rFonts w:ascii="Arial" w:hAnsi="Arial" w:cs="Arial"/>
        </w:rPr>
        <w:t>iii</w:t>
      </w:r>
      <w:proofErr w:type="spellEnd"/>
      <w:r w:rsidRPr="00CD49CA">
        <w:rPr>
          <w:rFonts w:ascii="Arial" w:hAnsi="Arial" w:cs="Arial"/>
        </w:rPr>
        <w:t xml:space="preserve">) oponerse a demandas de profesionales de reclamación de cantidades basadas en cláusulas abusivas. El TJUE entiende igualmente que el carácter abusivo de una cláusula debe poder oponerse o invocarse, en principio, en cualquier momento, de manera que la acción declarativa de </w:t>
      </w:r>
      <w:proofErr w:type="spellStart"/>
      <w:r w:rsidRPr="00CD49CA">
        <w:rPr>
          <w:rFonts w:ascii="Arial" w:hAnsi="Arial" w:cs="Arial"/>
        </w:rPr>
        <w:t>abusividad</w:t>
      </w:r>
      <w:proofErr w:type="spellEnd"/>
      <w:r w:rsidRPr="00CD49CA">
        <w:rPr>
          <w:rFonts w:ascii="Arial" w:hAnsi="Arial" w:cs="Arial"/>
        </w:rPr>
        <w:t xml:space="preserve"> de la cláusula no estaría sujeta a plazo de prescripción. Sirva de ejemplo el asunto </w:t>
      </w:r>
      <w:r w:rsidRPr="00CD49CA">
        <w:rPr>
          <w:rFonts w:ascii="Arial" w:hAnsi="Arial" w:cs="Arial"/>
          <w:i/>
          <w:iCs/>
        </w:rPr>
        <w:t xml:space="preserve">BNP </w:t>
      </w:r>
      <w:proofErr w:type="spellStart"/>
      <w:r w:rsidRPr="00CD49CA">
        <w:rPr>
          <w:rFonts w:ascii="Arial" w:hAnsi="Arial" w:cs="Arial"/>
          <w:i/>
          <w:iCs/>
        </w:rPr>
        <w:t>Paribas</w:t>
      </w:r>
      <w:proofErr w:type="spellEnd"/>
      <w:r w:rsidRPr="00CD49CA">
        <w:rPr>
          <w:rStyle w:val="Refdenotaalpie"/>
          <w:rFonts w:cs="Arial"/>
        </w:rPr>
        <w:footnoteReference w:id="40"/>
      </w:r>
      <w:r w:rsidRPr="00CD49CA">
        <w:rPr>
          <w:rFonts w:ascii="Arial" w:hAnsi="Arial" w:cs="Arial"/>
        </w:rPr>
        <w:t>:</w:t>
      </w:r>
    </w:p>
    <w:p w14:paraId="0699C38B" w14:textId="77777777" w:rsidR="008175AB" w:rsidRDefault="008175AB" w:rsidP="008175AB">
      <w:pPr>
        <w:spacing w:before="240" w:after="240" w:line="360" w:lineRule="auto"/>
        <w:ind w:firstLine="567"/>
        <w:jc w:val="both"/>
        <w:rPr>
          <w:rFonts w:ascii="Arial" w:hAnsi="Arial" w:cs="Arial"/>
        </w:rPr>
      </w:pPr>
      <w:r w:rsidRPr="00CD49CA">
        <w:rPr>
          <w:rFonts w:ascii="Arial" w:hAnsi="Arial" w:cs="Arial"/>
        </w:rPr>
        <w:t xml:space="preserve">“(…) </w:t>
      </w:r>
      <w:r w:rsidRPr="00CD49CA">
        <w:rPr>
          <w:rFonts w:ascii="Arial" w:hAnsi="Arial" w:cs="Arial"/>
          <w:i/>
          <w:iCs/>
        </w:rPr>
        <w:t xml:space="preserve">para garantizar una protección efectiva de los derechos que la Directiva 93/13 confiere al consumidor, este debe poder invocar en todo momento el carácter abusivo de una cláusula contractual no solo como medio de defensa, sino también a efectos de que el juez declare el carácter abusivo de una cláusula contractual, de modo que </w:t>
      </w:r>
      <w:r w:rsidRPr="00CD49CA">
        <w:rPr>
          <w:rFonts w:ascii="Arial" w:hAnsi="Arial" w:cs="Arial"/>
          <w:b/>
          <w:bCs/>
          <w:i/>
          <w:iCs/>
          <w:u w:val="single"/>
        </w:rPr>
        <w:t>una acción ejercitada por el consumidor para que se declare el carácter abusivo de una cláusula incluida en un contrato celebrado entre un profesional y un consumidor no puede estar sujeta a ningún plazo de prescripción</w:t>
      </w:r>
      <w:r w:rsidRPr="00CD49CA">
        <w:rPr>
          <w:rFonts w:ascii="Arial" w:hAnsi="Arial" w:cs="Arial"/>
        </w:rPr>
        <w:t>”.</w:t>
      </w:r>
    </w:p>
    <w:p w14:paraId="63616A08" w14:textId="77777777" w:rsidR="00362EA8" w:rsidRPr="00CD49CA" w:rsidRDefault="00362EA8" w:rsidP="00362EA8">
      <w:pPr>
        <w:spacing w:before="240" w:line="360" w:lineRule="auto"/>
        <w:ind w:firstLine="567"/>
        <w:jc w:val="both"/>
        <w:rPr>
          <w:rFonts w:ascii="Arial" w:hAnsi="Arial" w:cs="Arial"/>
        </w:rPr>
      </w:pPr>
    </w:p>
    <w:p w14:paraId="53EF55E8"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 xml:space="preserve">Sin embargo, respecto de la acción de remoción de efectos o restitución, las Directrices de la Comisión y el TJUE han señalado que esta acción autónoma, en aplicación de las exigencias del </w:t>
      </w:r>
      <w:r w:rsidRPr="00CD49CA">
        <w:rPr>
          <w:rFonts w:ascii="Arial" w:hAnsi="Arial" w:cs="Arial"/>
          <w:u w:val="single"/>
        </w:rPr>
        <w:t>principio de seguridad jurídica,</w:t>
      </w:r>
      <w:r w:rsidRPr="00CD49CA">
        <w:rPr>
          <w:rFonts w:ascii="Arial" w:hAnsi="Arial" w:cs="Arial"/>
        </w:rPr>
        <w:t xml:space="preserve"> está sometida a los plazos de prescripción previstos en los ordenamientos nacionales para las acciones ejercitadas con base en el Derecho nacional que sean similares a la vista de su objeto, causa y elementos esenciales o que protejan derechos similares conferidos por el ordenamiento interno</w:t>
      </w:r>
      <w:r w:rsidRPr="00CD49CA">
        <w:rPr>
          <w:rStyle w:val="Refdenotaalpie"/>
          <w:rFonts w:cs="Arial"/>
        </w:rPr>
        <w:footnoteReference w:id="41"/>
      </w:r>
      <w:r w:rsidRPr="00CD49CA">
        <w:rPr>
          <w:rFonts w:ascii="Arial" w:hAnsi="Arial" w:cs="Arial"/>
        </w:rPr>
        <w:t>.</w:t>
      </w:r>
    </w:p>
    <w:p w14:paraId="1FBF77C8"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De hecho, el TJUE ha analizado ya esta cuestión en diversas resoluciones y ha declarado conforme con la protección de los consumidores la aplicación de esta institución a la restitución de las ventajas obtenidas como consecuencia de una cláusula abusiva, siempre que el cómputo del plazo cumpla determinadas características:</w:t>
      </w:r>
    </w:p>
    <w:p w14:paraId="0F62E69C"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 xml:space="preserve">En la STJUE de 9 de julio de 2020, asunto </w:t>
      </w:r>
      <w:r w:rsidRPr="00CD49CA">
        <w:rPr>
          <w:rFonts w:ascii="Arial" w:hAnsi="Arial"/>
          <w:i/>
          <w:iCs/>
          <w:color w:val="000000"/>
          <w:szCs w:val="20"/>
        </w:rPr>
        <w:t>Ibercaja</w:t>
      </w:r>
      <w:r w:rsidRPr="00CD49CA">
        <w:rPr>
          <w:rStyle w:val="Refdenotaalpie"/>
          <w:i/>
          <w:iCs/>
          <w:color w:val="000000"/>
          <w:szCs w:val="20"/>
        </w:rPr>
        <w:footnoteReference w:id="42"/>
      </w:r>
      <w:r w:rsidRPr="00CD49CA">
        <w:rPr>
          <w:rFonts w:ascii="Arial" w:hAnsi="Arial"/>
          <w:i/>
          <w:iCs/>
          <w:color w:val="000000"/>
          <w:szCs w:val="20"/>
        </w:rPr>
        <w:t xml:space="preserve"> </w:t>
      </w:r>
      <w:r w:rsidRPr="00CD49CA">
        <w:rPr>
          <w:rFonts w:ascii="Arial" w:hAnsi="Arial"/>
          <w:color w:val="000000"/>
          <w:szCs w:val="20"/>
        </w:rPr>
        <w:t>el TJUE volvió a afirmar que la protección del consumidor no es absoluta y que, por tanto, la fijación de plazos razonables de carácter preclusivo, en interés de la seguridad jurídica era compatible con el Derecho de la Unión Europea:</w:t>
      </w:r>
    </w:p>
    <w:p w14:paraId="6035B5ED" w14:textId="77777777" w:rsidR="008175AB" w:rsidRPr="00CD49CA" w:rsidRDefault="008175AB" w:rsidP="008175AB">
      <w:pPr>
        <w:spacing w:before="240" w:after="240" w:line="360" w:lineRule="auto"/>
        <w:ind w:left="1134" w:firstLine="141"/>
        <w:jc w:val="both"/>
        <w:rPr>
          <w:rFonts w:ascii="Arial" w:hAnsi="Arial" w:cs="Arial"/>
          <w:iCs/>
        </w:rPr>
      </w:pPr>
      <w:r w:rsidRPr="00CD49CA">
        <w:rPr>
          <w:rFonts w:ascii="Arial" w:hAnsi="Arial" w:cs="Arial"/>
          <w:iCs/>
        </w:rPr>
        <w:t>“(…)</w:t>
      </w:r>
      <w:r w:rsidRPr="00CD49CA">
        <w:rPr>
          <w:rFonts w:ascii="Arial" w:hAnsi="Arial" w:cs="Arial"/>
          <w:i/>
        </w:rPr>
        <w:t xml:space="preserve"> el Derecho de la Unión no se opone a una normativa nacional que, </w:t>
      </w:r>
      <w:r w:rsidRPr="00CD49CA">
        <w:rPr>
          <w:rFonts w:ascii="Arial" w:hAnsi="Arial" w:cs="Arial"/>
          <w:i/>
          <w:u w:val="single"/>
        </w:rPr>
        <w:t>a la vez que reconoce el carácter imprescriptible de la acción de nulidad de una cláusula abusiva</w:t>
      </w:r>
      <w:r w:rsidRPr="00CD49CA">
        <w:rPr>
          <w:rFonts w:ascii="Arial" w:hAnsi="Arial" w:cs="Arial"/>
          <w:i/>
        </w:rPr>
        <w:t xml:space="preserve"> incluida en un contrato celebrado entre un profesional y un consumidor, </w:t>
      </w:r>
      <w:r w:rsidRPr="00CD49CA">
        <w:rPr>
          <w:rFonts w:ascii="Arial" w:hAnsi="Arial" w:cs="Arial"/>
          <w:b/>
          <w:bCs/>
          <w:i/>
          <w:u w:val="single"/>
        </w:rPr>
        <w:t>sujeta a un plazo de prescripción la acción dirigida a hacer valer los efectos restitutorios de esta declaración, siempre que se respeten los principios de equivalencia y de efectividad</w:t>
      </w:r>
      <w:r w:rsidRPr="00CD49CA">
        <w:rPr>
          <w:rFonts w:ascii="Arial" w:hAnsi="Arial" w:cs="Arial"/>
          <w:i/>
        </w:rPr>
        <w:t>.</w:t>
      </w:r>
      <w:r w:rsidRPr="00CD49CA">
        <w:rPr>
          <w:rFonts w:ascii="Arial" w:hAnsi="Arial" w:cs="Arial"/>
          <w:iCs/>
        </w:rPr>
        <w:t>”</w:t>
      </w:r>
    </w:p>
    <w:p w14:paraId="07913B57"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 xml:space="preserve">En el asunto </w:t>
      </w:r>
      <w:proofErr w:type="spellStart"/>
      <w:r w:rsidRPr="00CD49CA">
        <w:rPr>
          <w:rFonts w:ascii="Arial" w:hAnsi="Arial"/>
          <w:i/>
          <w:color w:val="000000"/>
          <w:szCs w:val="20"/>
        </w:rPr>
        <w:t>Caixabank</w:t>
      </w:r>
      <w:proofErr w:type="spellEnd"/>
      <w:r w:rsidRPr="00CD49CA">
        <w:rPr>
          <w:rStyle w:val="Refdenotaalpie"/>
          <w:szCs w:val="20"/>
        </w:rPr>
        <w:footnoteReference w:id="43"/>
      </w:r>
      <w:r w:rsidRPr="00CD49CA">
        <w:rPr>
          <w:rFonts w:ascii="Arial" w:hAnsi="Arial"/>
          <w:iCs/>
          <w:color w:val="000000"/>
          <w:szCs w:val="20"/>
        </w:rPr>
        <w:t xml:space="preserve"> el TJUE reiteró lo anterior declarando que la Directiva 93/13 era compatible con que “</w:t>
      </w:r>
      <w:r w:rsidRPr="00CD49CA">
        <w:rPr>
          <w:rFonts w:ascii="Arial" w:hAnsi="Arial"/>
          <w:b/>
          <w:bCs/>
          <w:i/>
          <w:color w:val="000000"/>
          <w:szCs w:val="20"/>
          <w:u w:val="single"/>
        </w:rPr>
        <w:t>el ejercicio de la acción dirigida a hacer valer los efectos restitutorios de la declaración de la nulidad de una cláusula contractual abusiva quede sometido a un plazo de prescripción</w:t>
      </w:r>
      <w:r w:rsidRPr="00CD49CA">
        <w:rPr>
          <w:rFonts w:ascii="Arial" w:hAnsi="Arial"/>
          <w:i/>
          <w:color w:val="000000"/>
          <w:szCs w:val="20"/>
        </w:rPr>
        <w:t>, siempre que ni el momento en que ese plazo comienza a correr ni su duración hagan imposible en la práctica o excesivamente difícil el ejercicio del derecho del consumidor a solicitar tal restitución</w:t>
      </w:r>
      <w:r w:rsidRPr="00CD49CA">
        <w:rPr>
          <w:rFonts w:ascii="Arial" w:hAnsi="Arial"/>
          <w:color w:val="000000"/>
          <w:szCs w:val="20"/>
        </w:rPr>
        <w:t>.”</w:t>
      </w:r>
    </w:p>
    <w:p w14:paraId="699E1DD8"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 xml:space="preserve">Finalmente, la reciente STJUE en el asunto </w:t>
      </w:r>
      <w:r w:rsidRPr="00CD49CA">
        <w:rPr>
          <w:rFonts w:ascii="Arial" w:hAnsi="Arial"/>
          <w:i/>
          <w:iCs/>
          <w:color w:val="000000"/>
          <w:szCs w:val="20"/>
        </w:rPr>
        <w:t xml:space="preserve">BNP </w:t>
      </w:r>
      <w:proofErr w:type="spellStart"/>
      <w:r w:rsidRPr="00CD49CA">
        <w:rPr>
          <w:rFonts w:ascii="Arial" w:hAnsi="Arial"/>
          <w:i/>
          <w:iCs/>
          <w:color w:val="000000"/>
          <w:szCs w:val="20"/>
        </w:rPr>
        <w:t>Paribas</w:t>
      </w:r>
      <w:proofErr w:type="spellEnd"/>
      <w:r w:rsidRPr="00CD49CA">
        <w:rPr>
          <w:rFonts w:ascii="Arial" w:hAnsi="Arial"/>
          <w:color w:val="000000"/>
          <w:szCs w:val="20"/>
        </w:rPr>
        <w:t>, además de reiterar los pronunciamientos anteriores, recalcó que “</w:t>
      </w:r>
      <w:r w:rsidRPr="00CD49CA">
        <w:rPr>
          <w:rFonts w:ascii="Arial" w:hAnsi="Arial"/>
          <w:i/>
          <w:iCs/>
          <w:color w:val="000000"/>
          <w:szCs w:val="20"/>
        </w:rPr>
        <w:t xml:space="preserve">procede considerar que la oposición de un plazo de prescripción a las acciones de carácter restitutorio, ejercitadas por unos consumidores con el fin de hacer valer derechos que les confiere la Directiva 93/13, no es, en sí misma, contraria al principio de efectividad siempre </w:t>
      </w:r>
      <w:r w:rsidRPr="00CD49CA">
        <w:rPr>
          <w:rFonts w:ascii="Arial" w:hAnsi="Arial"/>
          <w:i/>
          <w:iCs/>
          <w:color w:val="000000"/>
          <w:szCs w:val="20"/>
        </w:rPr>
        <w:lastRenderedPageBreak/>
        <w:t>que su aplicación no haga imposible en la práctica o excesivamente difícil el ejercicio de los derechos conferidos en dicha Directiva</w:t>
      </w:r>
      <w:r w:rsidRPr="00CD49CA">
        <w:rPr>
          <w:rFonts w:ascii="Arial" w:hAnsi="Arial"/>
          <w:color w:val="000000"/>
          <w:szCs w:val="20"/>
        </w:rPr>
        <w:t>”</w:t>
      </w:r>
      <w:r w:rsidRPr="00CD49CA">
        <w:rPr>
          <w:rStyle w:val="Refdenotaalpie"/>
          <w:color w:val="000000"/>
          <w:szCs w:val="20"/>
        </w:rPr>
        <w:footnoteReference w:id="44"/>
      </w:r>
      <w:r w:rsidRPr="00CD49CA">
        <w:rPr>
          <w:rFonts w:ascii="Arial" w:hAnsi="Arial"/>
          <w:color w:val="000000"/>
          <w:szCs w:val="20"/>
        </w:rPr>
        <w:t>.</w:t>
      </w:r>
    </w:p>
    <w:p w14:paraId="71EBCBDF"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La sujeción de la acción restitutoria a un plazo de prescripción también se deprende del Derecho nacional. Como ya hemos indicado, el fundamento de la </w:t>
      </w:r>
      <w:proofErr w:type="spellStart"/>
      <w:r w:rsidRPr="00CD49CA">
        <w:rPr>
          <w:rFonts w:ascii="Arial" w:hAnsi="Arial" w:cs="Arial"/>
        </w:rPr>
        <w:t>prescriptibilidad</w:t>
      </w:r>
      <w:proofErr w:type="spellEnd"/>
      <w:r w:rsidRPr="00CD49CA">
        <w:rPr>
          <w:rFonts w:ascii="Arial" w:hAnsi="Arial" w:cs="Arial"/>
        </w:rPr>
        <w:t xml:space="preserve"> de la acción restitutoria radica en la seguridad jurídica y buena fe, en la necesidad de dar fijeza a las relaciones jurídicas y evitar la incertidumbre. Como ya indicó la STC 147/1986, de 25 de noviembre, invocando directamente el artículo 9.3 CE que consagra el principio de la seguridad jurídica, “</w:t>
      </w:r>
      <w:r w:rsidRPr="00CD49CA">
        <w:rPr>
          <w:rFonts w:ascii="Arial" w:hAnsi="Arial" w:cs="Arial"/>
          <w:i/>
          <w:iCs/>
        </w:rPr>
        <w:t>en el seno de la institución de la prescripción existe un equilibrio entre las exigencias de la seguridad jurídica y las de la justicia material (…)-, que a veces ha de ceder para dar paso a aquélla y permitir un adecuado desenvolvimiento del tráfico jurídico</w:t>
      </w:r>
      <w:r w:rsidRPr="00CD49CA">
        <w:rPr>
          <w:rFonts w:ascii="Arial" w:hAnsi="Arial" w:cs="Arial"/>
        </w:rPr>
        <w:t xml:space="preserve">”. Por ello, la prescripción debe ser objeto de interpretación y aplicación restrictiva ya que no se asienta en fundamentos de justicia intrínseca sino en la necesidad de limitar el ejercicio de los derechos en aras al principio de seguridad jurídica (SSTS de 27 de mayo de 1997 y 29 de octubre de 2003, entre otras muchas). </w:t>
      </w:r>
    </w:p>
    <w:p w14:paraId="7DF91322"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Dado el carácter esencial del instituto de la prescripción, el artículo 1930.2º CC establece que los derechos y las acciones “</w:t>
      </w:r>
      <w:r w:rsidRPr="00CD49CA">
        <w:rPr>
          <w:rFonts w:ascii="Arial" w:hAnsi="Arial" w:cs="Arial"/>
          <w:i/>
        </w:rPr>
        <w:t>de cualquier clase que sean</w:t>
      </w:r>
      <w:r w:rsidRPr="00CD49CA">
        <w:rPr>
          <w:rFonts w:ascii="Arial" w:hAnsi="Arial" w:cs="Arial"/>
        </w:rPr>
        <w:t>” se extinguen por la prescripción</w:t>
      </w:r>
      <w:r w:rsidRPr="00CD49CA">
        <w:rPr>
          <w:rFonts w:ascii="Arial" w:hAnsi="Arial" w:cs="Arial"/>
          <w:i/>
        </w:rPr>
        <w:t>.</w:t>
      </w:r>
      <w:r w:rsidRPr="00CD49CA">
        <w:rPr>
          <w:rFonts w:ascii="Arial" w:hAnsi="Arial" w:cs="Arial"/>
        </w:rPr>
        <w:t xml:space="preserve"> Es decir, la prescripción es la regla y alcanza a todas la acciones, salvo aquellas que el propio Código Civil u otras leyes declaran imprescriptibles, como ocurre con las acciones de filiación (artículos 132 y 133 CC), la de división de la cosa común (artículo 400 CC), la acción de partición de herencia (artículo 1965 CC), la acción de deslinde y amojonamiento (artículo 1965 CC) o la acción de nulidad absoluta de la marca registrada (artículo </w:t>
      </w:r>
      <w:proofErr w:type="gramStart"/>
      <w:r w:rsidRPr="00CD49CA">
        <w:rPr>
          <w:rFonts w:ascii="Arial" w:hAnsi="Arial" w:cs="Arial"/>
        </w:rPr>
        <w:t>51.2º</w:t>
      </w:r>
      <w:proofErr w:type="gramEnd"/>
      <w:r w:rsidRPr="00CD49CA">
        <w:rPr>
          <w:rFonts w:ascii="Arial" w:hAnsi="Arial" w:cs="Arial"/>
        </w:rPr>
        <w:t xml:space="preserve"> de la Ley de Marcas). </w:t>
      </w:r>
    </w:p>
    <w:p w14:paraId="575FF98F"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Pues bien, la normativa de transposición de la Directiva 93/13 al ordenamiento español (LCGC y LGDCU) no prevé que la acción de restitución –que es independiente y autónoma de la acción declarativa de </w:t>
      </w:r>
      <w:proofErr w:type="spellStart"/>
      <w:r w:rsidRPr="00CD49CA">
        <w:rPr>
          <w:rFonts w:ascii="Arial" w:hAnsi="Arial" w:cs="Arial"/>
        </w:rPr>
        <w:t>abusividad</w:t>
      </w:r>
      <w:proofErr w:type="spellEnd"/>
      <w:r w:rsidRPr="00CD49CA">
        <w:rPr>
          <w:rFonts w:ascii="Arial" w:hAnsi="Arial" w:cs="Arial"/>
        </w:rPr>
        <w:t xml:space="preserve">–, sea imprescriptible. Concretamente, la LCGC solo declara imprescriptibles las acciones colectivas de cesación y retractación (artículo 19.1) y la acción colectiva de declaración de una cláusula como condición general (artículo 19.4). Por su parte, la LGDCU declara nulas de pleno de derecho las cláusulas que se declaren abusivas (artículo 83) pero tampoco se pronuncia sobre la acción de remoción de efectos, debiendo entender por tanto que se encuentra sujeta a prescripción. </w:t>
      </w:r>
    </w:p>
    <w:p w14:paraId="17F5C6AE" w14:textId="77777777" w:rsidR="008175AB" w:rsidRDefault="008175AB" w:rsidP="008175AB">
      <w:pPr>
        <w:spacing w:before="240" w:after="240" w:line="360" w:lineRule="auto"/>
        <w:jc w:val="both"/>
        <w:rPr>
          <w:rFonts w:ascii="Arial" w:hAnsi="Arial" w:cs="Arial"/>
        </w:rPr>
      </w:pPr>
      <w:r w:rsidRPr="00CD49CA">
        <w:rPr>
          <w:rFonts w:ascii="Arial" w:hAnsi="Arial" w:cs="Arial"/>
        </w:rPr>
        <w:t xml:space="preserve">La jurisprudencia ha venido confirmando </w:t>
      </w:r>
      <w:proofErr w:type="gramStart"/>
      <w:r w:rsidRPr="00CD49CA">
        <w:rPr>
          <w:rFonts w:ascii="Arial" w:hAnsi="Arial" w:cs="Arial"/>
        </w:rPr>
        <w:t>la carácter prescriptible</w:t>
      </w:r>
      <w:proofErr w:type="gramEnd"/>
      <w:r w:rsidRPr="00CD49CA">
        <w:rPr>
          <w:rFonts w:ascii="Arial" w:hAnsi="Arial" w:cs="Arial"/>
        </w:rPr>
        <w:t xml:space="preserve"> de la acción de restitución. Como ya indicábamos más arriba, el Auto Cuestión Prejudicial GH pone fin a cualquier duda sobre esta cuestión al dejar claro en su párrafo 10 que “</w:t>
      </w:r>
      <w:r w:rsidRPr="00CD49CA">
        <w:rPr>
          <w:rFonts w:ascii="Arial" w:hAnsi="Arial" w:cs="Arial"/>
          <w:i/>
          <w:iCs/>
        </w:rPr>
        <w:t>la aplicación de un plazo de prescripción a la acción de restitución de lo pagado por el consumidor en aplicación de una cláusula abusiva no solo es conforme con el principio de seguridad jurídica, que constituye uno de los principios rectores del Derecho de la UE, sino que además no vulnera el principio de equivalencia</w:t>
      </w:r>
      <w:r w:rsidRPr="00CD49CA">
        <w:rPr>
          <w:rFonts w:ascii="Arial" w:hAnsi="Arial" w:cs="Arial"/>
        </w:rPr>
        <w:t>”.</w:t>
      </w:r>
    </w:p>
    <w:p w14:paraId="198F20AB" w14:textId="77777777" w:rsidR="00362EA8" w:rsidRPr="00CD49CA" w:rsidRDefault="00362EA8" w:rsidP="008175AB">
      <w:pPr>
        <w:spacing w:before="240" w:after="240" w:line="360" w:lineRule="auto"/>
        <w:jc w:val="both"/>
        <w:rPr>
          <w:rFonts w:ascii="Arial" w:hAnsi="Arial" w:cs="Arial"/>
        </w:rPr>
      </w:pPr>
    </w:p>
    <w:p w14:paraId="4AD3D1FC"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 xml:space="preserve">En idéntico sentido se pronuncia la Sentencia de la Audiencia Provincial de Madrid </w:t>
      </w:r>
      <w:proofErr w:type="spellStart"/>
      <w:r w:rsidRPr="00CD49CA">
        <w:rPr>
          <w:rFonts w:ascii="Arial" w:hAnsi="Arial" w:cs="Arial"/>
        </w:rPr>
        <w:t>nº</w:t>
      </w:r>
      <w:proofErr w:type="spellEnd"/>
      <w:r w:rsidRPr="00CD49CA">
        <w:rPr>
          <w:rFonts w:ascii="Arial" w:hAnsi="Arial" w:cs="Arial"/>
        </w:rPr>
        <w:t xml:space="preserve"> 2473/2020, de 23 de noviembre dispuso que “</w:t>
      </w:r>
      <w:r w:rsidRPr="00CD49CA">
        <w:rPr>
          <w:rFonts w:ascii="Arial" w:hAnsi="Arial" w:cs="Arial"/>
          <w:i/>
          <w:iCs/>
        </w:rPr>
        <w:t>La existencia de un plazo de prescripción no supone una limitación de los derechos de los consumidores que vulnere la Directiva 93/13/CEE. Ya se ha explicado la postura del Tribunal de Justicia de la Unión Europea. Por tanto, no cabe sostener que la mera existencia de un plazo de prescripción para la recuperación de las cantidades abonadas es contraria al Derecho de la Unión, ni mucho menos que solo se consagre una protección efectiva del consumidor si las acciones tuitivas en su favor están sujetas a regímenes de imprescriptibilidad</w:t>
      </w:r>
      <w:r w:rsidRPr="00CD49CA">
        <w:rPr>
          <w:rFonts w:ascii="Arial" w:hAnsi="Arial" w:cs="Arial"/>
        </w:rPr>
        <w:t xml:space="preserve">”. Con más claridad si cabe se pronuncia la Sentencia de la Audiencia Provincial de Valencia </w:t>
      </w:r>
      <w:proofErr w:type="spellStart"/>
      <w:r w:rsidRPr="00CD49CA">
        <w:rPr>
          <w:rFonts w:ascii="Arial" w:hAnsi="Arial" w:cs="Arial"/>
        </w:rPr>
        <w:t>nº</w:t>
      </w:r>
      <w:proofErr w:type="spellEnd"/>
      <w:r w:rsidRPr="00CD49CA">
        <w:rPr>
          <w:rFonts w:ascii="Arial" w:hAnsi="Arial" w:cs="Arial"/>
        </w:rPr>
        <w:t xml:space="preserve"> 1332/2020, de 24 de noviembre:</w:t>
      </w:r>
    </w:p>
    <w:p w14:paraId="3B2B830B" w14:textId="77777777" w:rsidR="008175AB" w:rsidRPr="00CD49CA" w:rsidRDefault="008175AB" w:rsidP="008175AB">
      <w:pPr>
        <w:pStyle w:val="Prrafodelista"/>
        <w:spacing w:before="240" w:after="240" w:line="360" w:lineRule="auto"/>
        <w:ind w:left="1134"/>
        <w:contextualSpacing w:val="0"/>
        <w:jc w:val="both"/>
        <w:rPr>
          <w:rFonts w:ascii="Arial" w:hAnsi="Arial"/>
          <w:i/>
          <w:iCs/>
          <w:color w:val="000000"/>
          <w:szCs w:val="20"/>
        </w:rPr>
      </w:pPr>
      <w:r w:rsidRPr="00CD49CA">
        <w:rPr>
          <w:rFonts w:ascii="Arial" w:hAnsi="Arial"/>
          <w:color w:val="000000"/>
          <w:szCs w:val="20"/>
        </w:rPr>
        <w:t xml:space="preserve">“(…) </w:t>
      </w:r>
      <w:r w:rsidRPr="00CD49CA">
        <w:rPr>
          <w:rFonts w:ascii="Arial" w:hAnsi="Arial"/>
          <w:i/>
          <w:iCs/>
          <w:color w:val="000000"/>
          <w:szCs w:val="20"/>
        </w:rPr>
        <w:t xml:space="preserve">cabe señalar que esta Sección 9ª fijó su criterio respecto a la prescripción, en casos análogos, singularmente desde la Sentencia </w:t>
      </w:r>
      <w:proofErr w:type="spellStart"/>
      <w:r w:rsidRPr="00CD49CA">
        <w:rPr>
          <w:rFonts w:ascii="Arial" w:hAnsi="Arial"/>
          <w:i/>
          <w:iCs/>
          <w:color w:val="000000"/>
          <w:szCs w:val="20"/>
        </w:rPr>
        <w:t>nº</w:t>
      </w:r>
      <w:proofErr w:type="spellEnd"/>
      <w:r w:rsidRPr="00CD49CA">
        <w:rPr>
          <w:rFonts w:ascii="Arial" w:hAnsi="Arial"/>
          <w:i/>
          <w:iCs/>
          <w:color w:val="000000"/>
          <w:szCs w:val="20"/>
        </w:rPr>
        <w:t xml:space="preserve"> 66/2018, de 1 de febrero. En síntesis, en dicha resolución se examinaron tres cuestiones:</w:t>
      </w:r>
    </w:p>
    <w:p w14:paraId="0F4F1650" w14:textId="77777777" w:rsidR="008175AB" w:rsidRPr="00CD49CA" w:rsidRDefault="008175AB" w:rsidP="008175AB">
      <w:pPr>
        <w:pStyle w:val="Prrafodelista"/>
        <w:spacing w:before="240" w:after="240" w:line="360" w:lineRule="auto"/>
        <w:ind w:left="1134"/>
        <w:contextualSpacing w:val="0"/>
        <w:jc w:val="both"/>
        <w:rPr>
          <w:rFonts w:ascii="Arial" w:hAnsi="Arial"/>
          <w:i/>
          <w:iCs/>
          <w:color w:val="000000"/>
          <w:szCs w:val="20"/>
        </w:rPr>
      </w:pPr>
      <w:r w:rsidRPr="00CD49CA">
        <w:rPr>
          <w:rFonts w:ascii="Arial" w:hAnsi="Arial"/>
          <w:i/>
          <w:iCs/>
          <w:color w:val="000000"/>
          <w:szCs w:val="20"/>
        </w:rPr>
        <w:t xml:space="preserve">1. </w:t>
      </w:r>
      <w:r w:rsidRPr="00CD49CA">
        <w:rPr>
          <w:rFonts w:ascii="Arial" w:hAnsi="Arial"/>
          <w:b/>
          <w:bCs/>
          <w:i/>
          <w:iCs/>
          <w:color w:val="000000"/>
          <w:szCs w:val="20"/>
          <w:u w:val="single"/>
        </w:rPr>
        <w:t>La distinción entre la acción declarativa de nulidad, imprescriptible, y la acción de restitución, sujeta a prescripción</w:t>
      </w:r>
      <w:r w:rsidRPr="00CD49CA">
        <w:rPr>
          <w:rFonts w:ascii="Arial" w:hAnsi="Arial"/>
          <w:i/>
          <w:iCs/>
          <w:color w:val="000000"/>
          <w:szCs w:val="20"/>
        </w:rPr>
        <w:t xml:space="preserve">. Señala así la indicada Sentencia </w:t>
      </w:r>
      <w:proofErr w:type="spellStart"/>
      <w:r w:rsidRPr="00CD49CA">
        <w:rPr>
          <w:rFonts w:ascii="Arial" w:hAnsi="Arial"/>
          <w:i/>
          <w:iCs/>
          <w:color w:val="000000"/>
          <w:szCs w:val="20"/>
        </w:rPr>
        <w:t>nº</w:t>
      </w:r>
      <w:proofErr w:type="spellEnd"/>
      <w:r w:rsidRPr="00CD49CA">
        <w:rPr>
          <w:rFonts w:ascii="Arial" w:hAnsi="Arial"/>
          <w:i/>
          <w:iCs/>
          <w:color w:val="000000"/>
          <w:szCs w:val="20"/>
        </w:rPr>
        <w:t xml:space="preserve"> 66/2018: “[…] En cambio</w:t>
      </w:r>
      <w:r w:rsidRPr="00CD49CA">
        <w:rPr>
          <w:rFonts w:ascii="Arial" w:hAnsi="Arial"/>
          <w:b/>
          <w:bCs/>
          <w:i/>
          <w:iCs/>
          <w:color w:val="000000"/>
          <w:szCs w:val="20"/>
          <w:u w:val="single"/>
        </w:rPr>
        <w:t>, la acción de restitución, que persigue un pronunciamiento de condena, sí está sujeta a plazo para su ejercicio, y la razón fundamental de ello es la necesidad de otorgar certidumbre a las relaciones jurídicas</w:t>
      </w:r>
      <w:r w:rsidRPr="00CD49CA">
        <w:rPr>
          <w:rFonts w:ascii="Arial" w:hAnsi="Arial"/>
          <w:i/>
          <w:iCs/>
          <w:color w:val="000000"/>
          <w:szCs w:val="20"/>
        </w:rPr>
        <w:t xml:space="preserve">. </w:t>
      </w:r>
      <w:r w:rsidRPr="00CD49CA">
        <w:rPr>
          <w:rFonts w:ascii="Arial" w:hAnsi="Arial"/>
          <w:color w:val="000000"/>
          <w:szCs w:val="20"/>
        </w:rPr>
        <w:t>(…)</w:t>
      </w:r>
    </w:p>
    <w:p w14:paraId="6817C251" w14:textId="77777777" w:rsidR="008175AB" w:rsidRPr="00CD49CA" w:rsidRDefault="008175AB" w:rsidP="008175AB">
      <w:pPr>
        <w:pStyle w:val="Prrafodelista"/>
        <w:spacing w:before="240" w:after="240" w:line="360" w:lineRule="auto"/>
        <w:ind w:left="1134"/>
        <w:contextualSpacing w:val="0"/>
        <w:jc w:val="both"/>
        <w:rPr>
          <w:rFonts w:ascii="Arial" w:hAnsi="Arial"/>
          <w:i/>
          <w:iCs/>
          <w:color w:val="000000"/>
          <w:szCs w:val="20"/>
        </w:rPr>
      </w:pPr>
      <w:r w:rsidRPr="00CD49CA">
        <w:rPr>
          <w:rFonts w:ascii="Arial" w:hAnsi="Arial"/>
          <w:color w:val="000000"/>
          <w:szCs w:val="20"/>
        </w:rPr>
        <w:t>(…)</w:t>
      </w:r>
      <w:r w:rsidRPr="00CD49CA">
        <w:rPr>
          <w:rFonts w:ascii="Arial" w:hAnsi="Arial"/>
          <w:i/>
          <w:iCs/>
          <w:color w:val="000000"/>
          <w:szCs w:val="20"/>
        </w:rPr>
        <w:t xml:space="preserve"> A partir de ello, y con referencia a la doctrina científica y a la jurisprudencia (en particular Sentencia del Tribunal Supremo de 27 de febrero de 1964), la mencionada Sentencia de esta Sección, de fecha 1 de febrero de 2018, concluye: “Es decir, y en resumen, para la citada Sentencia del Tribunal Supremo, uno, "los derechos y las acciones, de cualquier clase que sean" se extinguen por la prescripción, pues así lo establece el art. 1930, párrafo segundo, CC, y, por tanto, también prescribe el derecho a exigir la restitución; dos, cuando el Código regula los efectos de la nulidad de los contratos no declara la </w:t>
      </w:r>
      <w:proofErr w:type="spellStart"/>
      <w:r w:rsidRPr="00CD49CA">
        <w:rPr>
          <w:rFonts w:ascii="Arial" w:hAnsi="Arial"/>
          <w:i/>
          <w:iCs/>
          <w:color w:val="000000"/>
          <w:szCs w:val="20"/>
        </w:rPr>
        <w:t>imprescriptiblidad</w:t>
      </w:r>
      <w:proofErr w:type="spellEnd"/>
      <w:r w:rsidRPr="00CD49CA">
        <w:rPr>
          <w:rFonts w:ascii="Arial" w:hAnsi="Arial"/>
          <w:i/>
          <w:iCs/>
          <w:color w:val="000000"/>
          <w:szCs w:val="20"/>
        </w:rPr>
        <w:t xml:space="preserve"> de las acciones; y tres, entre las acciones que el Código declara imprescriptibles en el art. 1265 CC no se encuentra la acción de restitución”.</w:t>
      </w:r>
    </w:p>
    <w:p w14:paraId="728693A9" w14:textId="77777777" w:rsidR="008175AB" w:rsidRDefault="008175AB" w:rsidP="008175AB">
      <w:pPr>
        <w:spacing w:before="240" w:after="240" w:line="360" w:lineRule="auto"/>
        <w:jc w:val="both"/>
        <w:rPr>
          <w:rFonts w:ascii="Arial" w:hAnsi="Arial" w:cs="Arial"/>
        </w:rPr>
      </w:pPr>
      <w:r w:rsidRPr="00CD49CA">
        <w:rPr>
          <w:rFonts w:ascii="Arial" w:hAnsi="Arial" w:cs="Arial"/>
        </w:rPr>
        <w:t xml:space="preserve">Por tanto, resulta claro que la acción de restitución de ventajas obtenidas indebidamente (por emplear los términos de las Directrices de la Comisión) está sujeta a prescripción. Procede entonces pasar a analizar el régimen de esa prescripción, concretamente, el plazo aplicable y el cómputo de dicho plazo. </w:t>
      </w:r>
    </w:p>
    <w:p w14:paraId="488F5625" w14:textId="77777777" w:rsidR="00362EA8" w:rsidRDefault="00362EA8" w:rsidP="008175AB">
      <w:pPr>
        <w:spacing w:before="240" w:after="240" w:line="360" w:lineRule="auto"/>
        <w:jc w:val="both"/>
        <w:rPr>
          <w:rFonts w:ascii="Arial" w:hAnsi="Arial" w:cs="Arial"/>
        </w:rPr>
      </w:pPr>
    </w:p>
    <w:p w14:paraId="20F51105" w14:textId="77777777" w:rsidR="00362EA8" w:rsidRPr="00CD49CA" w:rsidRDefault="00362EA8" w:rsidP="008175AB">
      <w:pPr>
        <w:spacing w:before="240" w:after="240" w:line="360" w:lineRule="auto"/>
        <w:jc w:val="both"/>
        <w:rPr>
          <w:rFonts w:ascii="Arial" w:hAnsi="Arial" w:cs="Arial"/>
        </w:rPr>
      </w:pPr>
    </w:p>
    <w:p w14:paraId="2FDBAC5D" w14:textId="77777777" w:rsidR="008175AB" w:rsidRPr="00CD49CA" w:rsidRDefault="008175AB" w:rsidP="008175AB">
      <w:pPr>
        <w:pStyle w:val="Prrafodelista"/>
        <w:numPr>
          <w:ilvl w:val="0"/>
          <w:numId w:val="10"/>
        </w:numPr>
        <w:suppressAutoHyphens w:val="0"/>
        <w:spacing w:before="240" w:after="240" w:line="360" w:lineRule="auto"/>
        <w:ind w:left="567" w:hanging="567"/>
        <w:contextualSpacing w:val="0"/>
        <w:jc w:val="both"/>
        <w:rPr>
          <w:rFonts w:ascii="Arial" w:hAnsi="Arial"/>
          <w:b/>
          <w:color w:val="000000"/>
          <w:szCs w:val="20"/>
        </w:rPr>
      </w:pPr>
      <w:r w:rsidRPr="00CD49CA">
        <w:rPr>
          <w:rFonts w:ascii="Arial" w:hAnsi="Arial"/>
          <w:b/>
          <w:color w:val="000000"/>
          <w:szCs w:val="20"/>
        </w:rPr>
        <w:lastRenderedPageBreak/>
        <w:t>Aplicación del régimen de prescripción del artículo 1964 CC a la acción restitutoria. Respeto de los principios de equivalencia y efectividad</w:t>
      </w:r>
    </w:p>
    <w:p w14:paraId="197029E7"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La Directiva 93/13 no establece un plazo de prescripción para la acción restitutoria por lo que deben aplicarse los plazos existentes en Derecho nacional, siempre que dichos plazos respeten los principios de efectividad y de equivalencia</w:t>
      </w:r>
      <w:r w:rsidRPr="00CD49CA">
        <w:rPr>
          <w:rStyle w:val="Refdenotaalpie"/>
          <w:rFonts w:eastAsia="Calibri" w:cs="Arial"/>
        </w:rPr>
        <w:footnoteReference w:id="45"/>
      </w:r>
      <w:r w:rsidRPr="00CD49CA">
        <w:rPr>
          <w:rFonts w:ascii="Arial" w:hAnsi="Arial" w:cs="Arial"/>
        </w:rPr>
        <w:t xml:space="preserve">. </w:t>
      </w:r>
    </w:p>
    <w:p w14:paraId="7F044CA5"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A </w:t>
      </w:r>
      <w:proofErr w:type="gramStart"/>
      <w:r w:rsidRPr="00CD49CA">
        <w:rPr>
          <w:rFonts w:ascii="Arial" w:hAnsi="Arial" w:cs="Arial"/>
        </w:rPr>
        <w:t>continuación</w:t>
      </w:r>
      <w:proofErr w:type="gramEnd"/>
      <w:r w:rsidRPr="00CD49CA">
        <w:rPr>
          <w:rFonts w:ascii="Arial" w:hAnsi="Arial" w:cs="Arial"/>
        </w:rPr>
        <w:t xml:space="preserve"> veremos que el Derecho nacional remite al artículo 1.964 CC y, concretamente, al apartado segundo que establece un plazo general de prescripción de 5 años para aquellas acciones que no tienen un plazo específico, como es el caso de la acción restitutoria derivada de la normativa de consumidores. Veremos igualmente que el régimen de prescripción previsto en dicho precepto se ajusta plenamente a los principios de efectividad y de equivalencia, cuyo cumplimiento exige el TJUE para entender que se trata de un régimen razonable.</w:t>
      </w:r>
    </w:p>
    <w:p w14:paraId="62FD4BF4" w14:textId="77777777" w:rsidR="008175AB" w:rsidRPr="00CD49CA" w:rsidRDefault="008175AB" w:rsidP="008175AB">
      <w:pPr>
        <w:pStyle w:val="Prrafodelista"/>
        <w:numPr>
          <w:ilvl w:val="0"/>
          <w:numId w:val="12"/>
        </w:numPr>
        <w:suppressAutoHyphens w:val="0"/>
        <w:spacing w:before="240" w:after="240" w:line="360" w:lineRule="auto"/>
        <w:ind w:left="1134" w:hanging="567"/>
        <w:contextualSpacing w:val="0"/>
        <w:jc w:val="both"/>
        <w:rPr>
          <w:rFonts w:ascii="Arial" w:hAnsi="Arial"/>
          <w:b/>
          <w:color w:val="000000"/>
          <w:szCs w:val="20"/>
        </w:rPr>
      </w:pPr>
      <w:r w:rsidRPr="00CD49CA">
        <w:rPr>
          <w:rFonts w:ascii="Arial" w:hAnsi="Arial"/>
          <w:b/>
          <w:color w:val="000000"/>
          <w:szCs w:val="20"/>
        </w:rPr>
        <w:t>Derecho nacional aplicable: 1964 CC</w:t>
      </w:r>
    </w:p>
    <w:p w14:paraId="2A57ACC7" w14:textId="77777777" w:rsidR="008175AB" w:rsidRPr="00CD49CA" w:rsidRDefault="008175AB" w:rsidP="008175AB">
      <w:pPr>
        <w:spacing w:before="240" w:after="240" w:line="360" w:lineRule="auto"/>
        <w:jc w:val="both"/>
        <w:rPr>
          <w:rFonts w:ascii="Arial" w:hAnsi="Arial" w:cs="Arial"/>
          <w:i/>
        </w:rPr>
      </w:pPr>
      <w:r w:rsidRPr="00CD49CA">
        <w:rPr>
          <w:rFonts w:ascii="Arial" w:hAnsi="Arial" w:cs="Arial"/>
        </w:rPr>
        <w:t>Ni la Directiva 93/13 ni su normativa de transposición al ordenamiento español (LCGC y LGDCU) prevén regulación alguna acerca del régimen de prescripción aplicable a la acción restitución. Por tanto, resulta de aplicación el plazo común para las acciones personales previsto en el artículo 1964.2 CC:</w:t>
      </w:r>
    </w:p>
    <w:p w14:paraId="008C1FAB" w14:textId="77777777" w:rsidR="008175AB" w:rsidRPr="00CD49CA" w:rsidRDefault="008175AB" w:rsidP="008175AB">
      <w:pPr>
        <w:spacing w:before="240" w:after="240" w:line="360" w:lineRule="auto"/>
        <w:ind w:firstLine="567"/>
        <w:jc w:val="both"/>
        <w:rPr>
          <w:rFonts w:ascii="Arial" w:hAnsi="Arial" w:cs="Arial"/>
          <w:iCs/>
        </w:rPr>
      </w:pPr>
      <w:r w:rsidRPr="00CD49CA">
        <w:rPr>
          <w:rFonts w:ascii="Arial" w:hAnsi="Arial" w:cs="Arial"/>
          <w:iCs/>
        </w:rPr>
        <w:t>“</w:t>
      </w:r>
      <w:r w:rsidRPr="00CD49CA">
        <w:rPr>
          <w:rFonts w:ascii="Arial" w:hAnsi="Arial" w:cs="Arial"/>
          <w:i/>
        </w:rPr>
        <w:t>2. Las acciones personales que no tengan plazo especial prescriben a los cinco años desde que pueda exigirse el cumplimiento de la obligación. En las obligaciones continuadas de hacer o no hacer, el plazo comenzará cada vez que se incumplan.</w:t>
      </w:r>
      <w:r w:rsidRPr="00CD49CA">
        <w:rPr>
          <w:rFonts w:ascii="Arial" w:hAnsi="Arial" w:cs="Arial"/>
          <w:iCs/>
        </w:rPr>
        <w:t>”</w:t>
      </w:r>
    </w:p>
    <w:p w14:paraId="1AA7A0A4" w14:textId="77777777" w:rsidR="008175AB" w:rsidRPr="00CD49CA" w:rsidRDefault="008175AB" w:rsidP="008175AB">
      <w:pPr>
        <w:spacing w:before="240" w:after="240" w:line="360" w:lineRule="auto"/>
        <w:jc w:val="both"/>
        <w:rPr>
          <w:rFonts w:ascii="Arial" w:hAnsi="Arial" w:cs="Arial"/>
          <w:iCs/>
        </w:rPr>
      </w:pPr>
      <w:r w:rsidRPr="00CD49CA">
        <w:rPr>
          <w:rFonts w:ascii="Arial" w:hAnsi="Arial" w:cs="Arial"/>
          <w:iCs/>
        </w:rPr>
        <w:t xml:space="preserve">La jurisprudencia ha venido considerando que la acción restitutoria fundada en la normativa de consumidores está sujeta al plazo de prescripción del artículo 1964.2 CC. Así lo </w:t>
      </w:r>
      <w:r w:rsidRPr="00CD49CA">
        <w:rPr>
          <w:rFonts w:ascii="Arial" w:hAnsi="Arial" w:cs="Arial"/>
        </w:rPr>
        <w:t>establece de forma definitiva el Tribunal Supremo en el Auto Cuestión Prejudicial GH, confirmando lo que ya venían estableciendo las Audiencias Provinciales y el TJUE, esto es, que dicho plazo no es contrario a la Directiva 93/13. Citamos</w:t>
      </w:r>
      <w:r w:rsidRPr="00CD49CA">
        <w:rPr>
          <w:rFonts w:ascii="Arial" w:hAnsi="Arial" w:cs="Arial"/>
          <w:iCs/>
        </w:rPr>
        <w:t xml:space="preserve">, por ejemplo, la ya mencionada </w:t>
      </w:r>
      <w:r w:rsidRPr="00CD49CA">
        <w:rPr>
          <w:rFonts w:ascii="Arial" w:hAnsi="Arial" w:cs="Arial"/>
        </w:rPr>
        <w:t xml:space="preserve">Sentencia de la Audiencia Provincial de Valencia </w:t>
      </w:r>
      <w:proofErr w:type="spellStart"/>
      <w:r w:rsidRPr="00CD49CA">
        <w:rPr>
          <w:rFonts w:ascii="Arial" w:hAnsi="Arial" w:cs="Arial"/>
        </w:rPr>
        <w:t>nº</w:t>
      </w:r>
      <w:proofErr w:type="spellEnd"/>
      <w:r w:rsidRPr="00CD49CA">
        <w:rPr>
          <w:rFonts w:ascii="Arial" w:hAnsi="Arial" w:cs="Arial"/>
        </w:rPr>
        <w:t xml:space="preserve"> 1332/2020, de 24 de noviembre:</w:t>
      </w:r>
    </w:p>
    <w:p w14:paraId="2BCA6BED" w14:textId="77777777" w:rsidR="008175AB" w:rsidRPr="00CD49CA" w:rsidRDefault="008175AB" w:rsidP="008175AB">
      <w:pPr>
        <w:spacing w:before="240" w:after="240" w:line="360" w:lineRule="auto"/>
        <w:ind w:firstLine="708"/>
        <w:jc w:val="both"/>
        <w:rPr>
          <w:rFonts w:ascii="Arial" w:hAnsi="Arial" w:cs="Arial"/>
          <w:i/>
          <w:iCs/>
        </w:rPr>
      </w:pPr>
      <w:r w:rsidRPr="00CD49CA">
        <w:rPr>
          <w:rFonts w:ascii="Arial" w:hAnsi="Arial" w:cs="Arial"/>
        </w:rPr>
        <w:t>“</w:t>
      </w:r>
      <w:r w:rsidRPr="00CD49CA">
        <w:rPr>
          <w:rFonts w:ascii="Arial" w:hAnsi="Arial" w:cs="Arial"/>
          <w:i/>
          <w:iCs/>
        </w:rPr>
        <w:t xml:space="preserve">2. El plazo de prescripción. </w:t>
      </w:r>
      <w:r w:rsidRPr="00CD49CA">
        <w:rPr>
          <w:rFonts w:ascii="Arial" w:hAnsi="Arial" w:cs="Arial"/>
        </w:rPr>
        <w:t>(…)</w:t>
      </w:r>
      <w:r w:rsidRPr="00CD49CA">
        <w:rPr>
          <w:rFonts w:ascii="Arial" w:hAnsi="Arial" w:cs="Arial"/>
          <w:i/>
          <w:iCs/>
        </w:rPr>
        <w:t xml:space="preserve"> </w:t>
      </w:r>
      <w:r w:rsidRPr="00CD49CA">
        <w:rPr>
          <w:rFonts w:ascii="Arial" w:hAnsi="Arial" w:cs="Arial"/>
          <w:i/>
          <w:iCs/>
          <w:u w:val="single"/>
        </w:rPr>
        <w:t xml:space="preserve">La Ley de Condiciones Generales de la Contratación no establece un plazo de prescripción de la acción de restitución; por ello, al no tener señalado un plazo expreso para su ejercicio debe aplicarse el plazo general previsto para las acciones personales que no tengan señalado plazo especial (ex - art. 1964, </w:t>
      </w:r>
      <w:proofErr w:type="gramStart"/>
      <w:r w:rsidRPr="00CD49CA">
        <w:rPr>
          <w:rFonts w:ascii="Arial" w:hAnsi="Arial" w:cs="Arial"/>
          <w:i/>
          <w:iCs/>
          <w:u w:val="single"/>
        </w:rPr>
        <w:t>CC )</w:t>
      </w:r>
      <w:proofErr w:type="gramEnd"/>
      <w:r w:rsidRPr="00CD49CA">
        <w:rPr>
          <w:rFonts w:ascii="Arial" w:hAnsi="Arial" w:cs="Arial"/>
          <w:i/>
          <w:iCs/>
        </w:rPr>
        <w:t xml:space="preserve"> </w:t>
      </w:r>
    </w:p>
    <w:p w14:paraId="6DCD0ED8" w14:textId="1C7FAAF3" w:rsidR="00362EA8" w:rsidRPr="00362EA8" w:rsidRDefault="008175AB" w:rsidP="00362EA8">
      <w:pPr>
        <w:pStyle w:val="Prrafodelista"/>
        <w:spacing w:before="240" w:after="240" w:line="360" w:lineRule="auto"/>
        <w:ind w:left="1134"/>
        <w:jc w:val="both"/>
        <w:rPr>
          <w:rFonts w:ascii="Arial" w:hAnsi="Arial"/>
          <w:color w:val="000000"/>
          <w:szCs w:val="20"/>
        </w:rPr>
      </w:pPr>
      <w:r w:rsidRPr="00CD49CA">
        <w:rPr>
          <w:rFonts w:ascii="Arial" w:hAnsi="Arial"/>
          <w:color w:val="000000"/>
          <w:szCs w:val="20"/>
        </w:rPr>
        <w:t xml:space="preserve">(…) </w:t>
      </w:r>
    </w:p>
    <w:p w14:paraId="5FC70A45" w14:textId="77777777" w:rsidR="008175AB" w:rsidRPr="00CD49CA" w:rsidRDefault="008175AB" w:rsidP="008175AB">
      <w:pPr>
        <w:spacing w:before="240" w:after="240" w:line="360" w:lineRule="auto"/>
        <w:jc w:val="both"/>
        <w:rPr>
          <w:rFonts w:ascii="Arial" w:hAnsi="Arial" w:cs="Arial"/>
          <w:b/>
          <w:bCs/>
        </w:rPr>
      </w:pPr>
      <w:r w:rsidRPr="00CD49CA">
        <w:rPr>
          <w:rFonts w:ascii="Arial" w:hAnsi="Arial" w:cs="Arial"/>
        </w:rPr>
        <w:t xml:space="preserve">(…) </w:t>
      </w:r>
      <w:r w:rsidRPr="00CD49CA">
        <w:rPr>
          <w:rFonts w:ascii="Arial" w:hAnsi="Arial" w:cs="Arial"/>
          <w:i/>
          <w:iCs/>
        </w:rPr>
        <w:t xml:space="preserve">A la luz de lo expuesto, y a efectos del presente caso, </w:t>
      </w:r>
      <w:r w:rsidRPr="00CD49CA">
        <w:rPr>
          <w:rFonts w:ascii="Arial" w:hAnsi="Arial" w:cs="Arial"/>
          <w:b/>
          <w:i/>
          <w:iCs/>
        </w:rPr>
        <w:t xml:space="preserve">el plazo de quince años no es menos favorable que el aplicable a acciones similares de derecho interno (artículo 1964 </w:t>
      </w:r>
      <w:r w:rsidRPr="00CD49CA">
        <w:rPr>
          <w:rFonts w:ascii="Arial" w:hAnsi="Arial" w:cs="Arial"/>
          <w:b/>
          <w:i/>
          <w:iCs/>
        </w:rPr>
        <w:lastRenderedPageBreak/>
        <w:t xml:space="preserve">del Código Civil). </w:t>
      </w:r>
      <w:r w:rsidRPr="00CD49CA">
        <w:rPr>
          <w:rFonts w:ascii="Arial" w:hAnsi="Arial" w:cs="Arial"/>
          <w:b/>
          <w:i/>
          <w:iCs/>
          <w:u w:val="single"/>
        </w:rPr>
        <w:t>Atendiendo a su propia extensión, a su cómputo no desde la celebración del contrato sino desde que se efectúan los concretos pagos</w:t>
      </w:r>
      <w:r w:rsidRPr="00CD49CA">
        <w:rPr>
          <w:rFonts w:ascii="Arial" w:hAnsi="Arial" w:cs="Arial"/>
          <w:b/>
          <w:i/>
          <w:iCs/>
        </w:rPr>
        <w:t xml:space="preserve">, y a la propia posibilidad de interrupción mediante reclamación extrajudicial (artículo 1973 del Código Civil), </w:t>
      </w:r>
      <w:r w:rsidRPr="00CD49CA">
        <w:rPr>
          <w:rFonts w:ascii="Arial" w:hAnsi="Arial" w:cs="Arial"/>
          <w:b/>
          <w:i/>
          <w:iCs/>
          <w:u w:val="single"/>
        </w:rPr>
        <w:t>puede considerarse materialmente suficiente para permitir que el consumidor prepare e interponga un recurso efectivo, de modo que, en la práctica, no hace excesivamente difícil el ejercicio del derecho del consumidor a solicitar tal restitución</w:t>
      </w:r>
      <w:r w:rsidRPr="00CD49CA">
        <w:rPr>
          <w:rFonts w:ascii="Arial" w:hAnsi="Arial" w:cs="Arial"/>
          <w:i/>
          <w:iCs/>
        </w:rPr>
        <w:t>.</w:t>
      </w:r>
      <w:r w:rsidRPr="00CD49CA">
        <w:rPr>
          <w:rFonts w:ascii="Arial" w:hAnsi="Arial" w:cs="Arial"/>
        </w:rPr>
        <w:t>”</w:t>
      </w:r>
    </w:p>
    <w:p w14:paraId="71E1D946" w14:textId="77777777" w:rsidR="008175AB" w:rsidRPr="00CD49CA" w:rsidRDefault="008175AB" w:rsidP="008175AB">
      <w:pPr>
        <w:spacing w:before="240" w:after="240" w:line="360" w:lineRule="auto"/>
        <w:jc w:val="both"/>
        <w:rPr>
          <w:rFonts w:ascii="Arial" w:hAnsi="Arial" w:cs="Arial"/>
          <w:bCs/>
        </w:rPr>
      </w:pPr>
      <w:r w:rsidRPr="00CD49CA">
        <w:rPr>
          <w:rFonts w:ascii="Arial" w:hAnsi="Arial" w:cs="Arial"/>
          <w:iCs/>
        </w:rPr>
        <w:t xml:space="preserve">En idéntico sentido se pronuncia la Sentencia de la Audiencia Provincial de A Coruña </w:t>
      </w:r>
      <w:proofErr w:type="spellStart"/>
      <w:r w:rsidRPr="00CD49CA">
        <w:rPr>
          <w:rFonts w:ascii="Arial" w:hAnsi="Arial" w:cs="Arial"/>
          <w:iCs/>
        </w:rPr>
        <w:t>nº</w:t>
      </w:r>
      <w:proofErr w:type="spellEnd"/>
      <w:r w:rsidRPr="00CD49CA">
        <w:rPr>
          <w:rFonts w:ascii="Arial" w:hAnsi="Arial" w:cs="Arial"/>
          <w:iCs/>
        </w:rPr>
        <w:t xml:space="preserve"> 447/2020, de 19 de noviembre, al indicar que “</w:t>
      </w:r>
      <w:r w:rsidRPr="00CD49CA">
        <w:rPr>
          <w:rFonts w:ascii="Arial" w:hAnsi="Arial" w:cs="Arial"/>
          <w:i/>
          <w:iCs/>
        </w:rPr>
        <w:t>mantenemos que la acción de remoción o reembolso del consumidor está sometida al plazo prescriptivo del artículo 1964 del Código civil, previsto para las acciones personales que no tengan señalado término especial de prescripción</w:t>
      </w:r>
      <w:r w:rsidRPr="00CD49CA">
        <w:rPr>
          <w:rFonts w:ascii="Arial" w:hAnsi="Arial" w:cs="Arial"/>
        </w:rPr>
        <w:t xml:space="preserve">”; la Sentencia de la Audiencia Provincial de Murcia </w:t>
      </w:r>
      <w:proofErr w:type="spellStart"/>
      <w:r w:rsidRPr="00CD49CA">
        <w:rPr>
          <w:rFonts w:ascii="Arial" w:hAnsi="Arial" w:cs="Arial"/>
        </w:rPr>
        <w:t>nº</w:t>
      </w:r>
      <w:proofErr w:type="spellEnd"/>
      <w:r w:rsidRPr="00CD49CA">
        <w:rPr>
          <w:rFonts w:ascii="Arial" w:hAnsi="Arial" w:cs="Arial"/>
        </w:rPr>
        <w:t xml:space="preserve"> 721/2020, de 3 de septiembre; la Sentencia de la Audiencia Provincial de Palencia </w:t>
      </w:r>
      <w:proofErr w:type="spellStart"/>
      <w:r w:rsidRPr="00CD49CA">
        <w:rPr>
          <w:rFonts w:ascii="Arial" w:hAnsi="Arial" w:cs="Arial"/>
        </w:rPr>
        <w:t>nº</w:t>
      </w:r>
      <w:proofErr w:type="spellEnd"/>
      <w:r w:rsidRPr="00CD49CA">
        <w:rPr>
          <w:rFonts w:ascii="Arial" w:hAnsi="Arial" w:cs="Arial"/>
        </w:rPr>
        <w:t xml:space="preserve"> 207/2020, de 2 de julio, que indica que “</w:t>
      </w:r>
      <w:r w:rsidRPr="00CD49CA">
        <w:rPr>
          <w:rFonts w:ascii="Arial" w:hAnsi="Arial" w:cs="Arial"/>
          <w:bCs/>
          <w:i/>
        </w:rPr>
        <w:t>la prescripción de la acción restitutoria no resulta contraria al artículo 6. 1º de la Directiva 93/13, siempre que el plazo de prescripción resulte “razonable”; como ocurre en nuestro Derecho con los plazos de prescripción de las acciones personales (artículo 1964 del Código Civil)</w:t>
      </w:r>
      <w:r w:rsidRPr="00CD49CA">
        <w:rPr>
          <w:rFonts w:ascii="Arial" w:hAnsi="Arial" w:cs="Arial"/>
          <w:bCs/>
          <w:iCs/>
        </w:rPr>
        <w:t>”; o la Sentencia de 26 de junio de 2020 de la Audiencia Provincial de Palma de Mallorca (Secc. 5ª).</w:t>
      </w:r>
    </w:p>
    <w:p w14:paraId="005934F7" w14:textId="77777777" w:rsidR="008175AB" w:rsidRPr="00CD49CA" w:rsidRDefault="008175AB" w:rsidP="008175AB">
      <w:pPr>
        <w:spacing w:before="240" w:after="240" w:line="360" w:lineRule="auto"/>
        <w:jc w:val="both"/>
        <w:rPr>
          <w:rFonts w:ascii="Arial" w:hAnsi="Arial" w:cs="Arial"/>
          <w:iCs/>
        </w:rPr>
      </w:pPr>
      <w:r w:rsidRPr="00CD49CA">
        <w:rPr>
          <w:rFonts w:ascii="Arial" w:hAnsi="Arial" w:cs="Arial"/>
          <w:iCs/>
        </w:rPr>
        <w:t xml:space="preserve">Por su parte, el TJUE en la Sentencia en el asunto </w:t>
      </w:r>
      <w:proofErr w:type="spellStart"/>
      <w:r w:rsidRPr="00CD49CA">
        <w:rPr>
          <w:rFonts w:ascii="Arial" w:hAnsi="Arial" w:cs="Arial"/>
          <w:i/>
        </w:rPr>
        <w:t>Caixabank</w:t>
      </w:r>
      <w:proofErr w:type="spellEnd"/>
      <w:r w:rsidRPr="00CD49CA">
        <w:rPr>
          <w:rFonts w:ascii="Arial" w:hAnsi="Arial" w:cs="Arial"/>
          <w:i/>
        </w:rPr>
        <w:t xml:space="preserve"> </w:t>
      </w:r>
      <w:r w:rsidRPr="00CD49CA">
        <w:rPr>
          <w:rFonts w:ascii="Arial" w:hAnsi="Arial" w:cs="Arial"/>
          <w:iCs/>
        </w:rPr>
        <w:t xml:space="preserve">ha declarado </w:t>
      </w:r>
      <w:r w:rsidRPr="00CD49CA">
        <w:rPr>
          <w:rFonts w:ascii="Arial" w:hAnsi="Arial" w:cs="Arial"/>
        </w:rPr>
        <w:t xml:space="preserve">adecuada la aplicación del plazo previsto en el artículo 1964 CC a los efectos restitutorios derivados de una declaración de nulidad por </w:t>
      </w:r>
      <w:proofErr w:type="spellStart"/>
      <w:r w:rsidRPr="00CD49CA">
        <w:rPr>
          <w:rFonts w:ascii="Arial" w:hAnsi="Arial" w:cs="Arial"/>
        </w:rPr>
        <w:t>abusividad</w:t>
      </w:r>
      <w:proofErr w:type="spellEnd"/>
      <w:r w:rsidRPr="00CD49CA">
        <w:rPr>
          <w:rFonts w:ascii="Arial" w:hAnsi="Arial" w:cs="Arial"/>
        </w:rPr>
        <w:t>, siempre y cuando el cómputo de ese plazo cumpla determinadas características que, como veremos a continuación, concurren en este caso</w:t>
      </w:r>
      <w:r w:rsidRPr="00CD49CA">
        <w:rPr>
          <w:rStyle w:val="Refdenotaalpie"/>
          <w:rFonts w:cs="Arial"/>
        </w:rPr>
        <w:footnoteReference w:id="46"/>
      </w:r>
      <w:r w:rsidRPr="00CD49CA">
        <w:rPr>
          <w:rFonts w:ascii="Arial" w:hAnsi="Arial" w:cs="Arial"/>
        </w:rPr>
        <w:t>.</w:t>
      </w:r>
    </w:p>
    <w:p w14:paraId="795195CF" w14:textId="77777777" w:rsidR="008175AB" w:rsidRPr="00CD49CA" w:rsidRDefault="008175AB" w:rsidP="008175AB">
      <w:pPr>
        <w:spacing w:before="240" w:after="240" w:line="360" w:lineRule="auto"/>
        <w:jc w:val="both"/>
        <w:rPr>
          <w:rFonts w:ascii="Arial" w:hAnsi="Arial" w:cs="Arial"/>
          <w:i/>
        </w:rPr>
      </w:pPr>
      <w:r w:rsidRPr="00CD49CA">
        <w:rPr>
          <w:rFonts w:ascii="Arial" w:hAnsi="Arial" w:cs="Arial"/>
        </w:rPr>
        <w:t>De hecho, el Ministerio de Consumo en su “</w:t>
      </w:r>
      <w:r w:rsidRPr="00CD49CA">
        <w:rPr>
          <w:rFonts w:ascii="Arial" w:hAnsi="Arial" w:cs="Arial"/>
          <w:i/>
          <w:iCs/>
        </w:rPr>
        <w:t>Nota informativa sobre los derechos que asisten a las personas consumidoras en relación con gastos derivados de las hipotecas y otras cuestiones de ámbito financiero</w:t>
      </w:r>
      <w:r w:rsidRPr="00CD49CA">
        <w:rPr>
          <w:rFonts w:ascii="Arial" w:hAnsi="Arial" w:cs="Arial"/>
        </w:rPr>
        <w:t>”, cuya primera versión se emitió en enero de 2021 y la segunda el 4 de marzo de 2021, confirmó que el “</w:t>
      </w:r>
      <w:r w:rsidRPr="00CD49CA">
        <w:rPr>
          <w:rFonts w:ascii="Arial" w:hAnsi="Arial" w:cs="Arial"/>
          <w:i/>
          <w:iCs/>
        </w:rPr>
        <w:t>plazo para solicitar la devolución de gastos</w:t>
      </w:r>
      <w:r w:rsidRPr="00CD49CA">
        <w:rPr>
          <w:rFonts w:ascii="Arial" w:hAnsi="Arial" w:cs="Arial"/>
          <w:i/>
        </w:rPr>
        <w:t xml:space="preserve"> derivados de una cláusula declarada abusiva es de cinco años</w:t>
      </w:r>
      <w:r w:rsidRPr="00CD49CA">
        <w:rPr>
          <w:rFonts w:ascii="Arial" w:hAnsi="Arial" w:cs="Arial"/>
          <w:iCs/>
        </w:rPr>
        <w:t>”.</w:t>
      </w:r>
    </w:p>
    <w:p w14:paraId="49ED1B3D"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En definitiva, ni el Derecho nacional, ni el Derecho de la Unión contienen ninguna previsión que permita inaplicar en este caso el plazo de prescripción previsto en el artículo 1964 CC a los efectos restitutorios derivados de la eventual declaración de </w:t>
      </w:r>
      <w:proofErr w:type="spellStart"/>
      <w:r w:rsidRPr="00CD49CA">
        <w:rPr>
          <w:rFonts w:ascii="Arial" w:hAnsi="Arial" w:cs="Arial"/>
        </w:rPr>
        <w:t>abusividad</w:t>
      </w:r>
      <w:proofErr w:type="spellEnd"/>
      <w:r w:rsidRPr="00CD49CA">
        <w:rPr>
          <w:rFonts w:ascii="Arial" w:hAnsi="Arial" w:cs="Arial"/>
        </w:rPr>
        <w:t xml:space="preserve"> de las cláusulas del préstamo </w:t>
      </w:r>
      <w:proofErr w:type="spellStart"/>
      <w:r w:rsidRPr="00CD49CA">
        <w:rPr>
          <w:rFonts w:ascii="Arial" w:hAnsi="Arial" w:cs="Arial"/>
        </w:rPr>
        <w:t>multidivisa</w:t>
      </w:r>
      <w:proofErr w:type="spellEnd"/>
      <w:r w:rsidRPr="00CD49CA">
        <w:rPr>
          <w:rFonts w:ascii="Arial" w:hAnsi="Arial" w:cs="Arial"/>
        </w:rPr>
        <w:t xml:space="preserve"> impugnadas de contrario.</w:t>
      </w:r>
    </w:p>
    <w:p w14:paraId="283AD0BF" w14:textId="77777777" w:rsidR="008175AB" w:rsidRPr="00CD49CA" w:rsidRDefault="008175AB" w:rsidP="008175AB">
      <w:pPr>
        <w:pStyle w:val="Prrafodelista"/>
        <w:numPr>
          <w:ilvl w:val="0"/>
          <w:numId w:val="12"/>
        </w:numPr>
        <w:suppressAutoHyphens w:val="0"/>
        <w:spacing w:before="240" w:after="240" w:line="360" w:lineRule="auto"/>
        <w:ind w:left="1134" w:hanging="567"/>
        <w:contextualSpacing w:val="0"/>
        <w:jc w:val="both"/>
        <w:rPr>
          <w:rFonts w:ascii="Arial" w:hAnsi="Arial"/>
          <w:b/>
          <w:color w:val="000000"/>
          <w:szCs w:val="20"/>
        </w:rPr>
      </w:pPr>
      <w:r w:rsidRPr="00CD49CA">
        <w:rPr>
          <w:rFonts w:ascii="Arial" w:hAnsi="Arial"/>
          <w:b/>
          <w:color w:val="000000"/>
          <w:szCs w:val="20"/>
        </w:rPr>
        <w:t>La aplicación del artículo 1964 respeta los principios de equivalencia y efectividad</w:t>
      </w:r>
    </w:p>
    <w:p w14:paraId="73670434"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En el apartado </w:t>
      </w:r>
      <w:r w:rsidRPr="00CD49CA">
        <w:rPr>
          <w:rFonts w:ascii="Arial" w:hAnsi="Arial" w:cs="Arial"/>
        </w:rPr>
        <w:fldChar w:fldCharType="begin"/>
      </w:r>
      <w:r w:rsidRPr="00CD49CA">
        <w:rPr>
          <w:rFonts w:ascii="Arial" w:hAnsi="Arial" w:cs="Arial"/>
        </w:rPr>
        <w:instrText xml:space="preserve"> REF _Ref74758751 \r \h  \* MERGEFORMAT </w:instrText>
      </w:r>
      <w:r w:rsidRPr="00CD49CA">
        <w:rPr>
          <w:rFonts w:ascii="Arial" w:hAnsi="Arial" w:cs="Arial"/>
        </w:rPr>
      </w:r>
      <w:r w:rsidRPr="00CD49CA">
        <w:rPr>
          <w:rFonts w:ascii="Arial" w:hAnsi="Arial" w:cs="Arial"/>
        </w:rPr>
        <w:fldChar w:fldCharType="separate"/>
      </w:r>
      <w:r w:rsidRPr="00CD49CA">
        <w:rPr>
          <w:rFonts w:ascii="Arial" w:hAnsi="Arial" w:cs="Arial"/>
        </w:rPr>
        <w:t>17</w:t>
      </w:r>
      <w:r w:rsidRPr="00CD49CA">
        <w:rPr>
          <w:rFonts w:ascii="Arial" w:hAnsi="Arial" w:cs="Arial"/>
        </w:rPr>
        <w:fldChar w:fldCharType="end"/>
      </w:r>
      <w:r w:rsidRPr="00CD49CA">
        <w:rPr>
          <w:rFonts w:ascii="Arial" w:hAnsi="Arial" w:cs="Arial"/>
        </w:rPr>
        <w:t xml:space="preserve"> anterior hemos reproducido la posición del TJUE en lo que respecta a la prescripción de la acción restitutoria, posición que puede resumirse en que sí es posible dicha prescripción siempre que respete el principio de equivalencia y efectividad.</w:t>
      </w:r>
    </w:p>
    <w:p w14:paraId="52193068"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En primer lugar, la aplicación del plazo de prescripción del artículo 1.964 CC a la acción restitutoria derivada de la normativa de consumidores resulta no solo consistente sino necesaria para respetar el principio de equivalencia. Y ello porque en el Derecho nacional nos encontramos con que la restitución de las ventajas (o prestaciones) derivadas de otras acciones que persiguen fines similares están sujetas a plazo (de caducidad o prescripción, respectivamente). A título de ejemplo:</w:t>
      </w:r>
    </w:p>
    <w:p w14:paraId="2B62E6D1"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La acción de daños y perjuicios del artículo 1101 CC, derivado del incumplimiento de obligaciones, está sujeta al plazo de prescripción del artículo 1964.2 CC. Es importante destacar que la acción de remoción de efectos o de restitución de ventajas es similar a la acción del artículo 1101 CC pues esta última también “</w:t>
      </w:r>
      <w:r w:rsidRPr="00CD49CA">
        <w:rPr>
          <w:rFonts w:ascii="Arial" w:hAnsi="Arial"/>
          <w:i/>
          <w:color w:val="000000"/>
          <w:szCs w:val="20"/>
        </w:rPr>
        <w:t>persigue reequilibrar la economía del consumidor tras el daño patrimonial sufrido por causa del incumplimiento del deber de información</w:t>
      </w:r>
      <w:r w:rsidRPr="00CD49CA">
        <w:rPr>
          <w:rFonts w:ascii="Arial" w:hAnsi="Arial"/>
          <w:color w:val="000000"/>
          <w:szCs w:val="20"/>
        </w:rPr>
        <w:t>”</w:t>
      </w:r>
      <w:r w:rsidRPr="00CD49CA">
        <w:rPr>
          <w:rStyle w:val="Refdenotaalpie"/>
          <w:color w:val="000000"/>
          <w:szCs w:val="20"/>
        </w:rPr>
        <w:t xml:space="preserve"> </w:t>
      </w:r>
      <w:r w:rsidRPr="00CD49CA">
        <w:rPr>
          <w:rStyle w:val="Refdenotaalpie"/>
          <w:color w:val="000000"/>
          <w:szCs w:val="20"/>
        </w:rPr>
        <w:footnoteReference w:id="47"/>
      </w:r>
      <w:r w:rsidRPr="00CD49CA">
        <w:rPr>
          <w:rFonts w:ascii="Arial" w:hAnsi="Arial"/>
          <w:color w:val="000000"/>
          <w:szCs w:val="20"/>
        </w:rPr>
        <w:t>, quedando el contrato en vigor.</w:t>
      </w:r>
    </w:p>
    <w:p w14:paraId="0C3D9C06"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 xml:space="preserve">Con carácter general, las obligaciones personales de todo tipo que no tengan un plazo de prescripción específico fijado legalmente están también sujetas al plazo de 5 años del artículo 1964.2 CC. </w:t>
      </w:r>
    </w:p>
    <w:p w14:paraId="32973938"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rPr>
      </w:pPr>
      <w:r w:rsidRPr="00CD49CA">
        <w:rPr>
          <w:rFonts w:ascii="Arial" w:hAnsi="Arial"/>
          <w:color w:val="000000"/>
          <w:szCs w:val="20"/>
        </w:rPr>
        <w:t>De igual modo, la acción de indemnización derivada de la responsabilidad extracontractual (artículo 1902 CC) está sujeta también a un plazo de prescripción, más restrictivo si cabe, ya que el artículo 1968 CC prevé un plazo de un año.</w:t>
      </w:r>
    </w:p>
    <w:p w14:paraId="6E7AE52B"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color w:val="000000"/>
          <w:szCs w:val="20"/>
          <w:lang w:val="es-ES_tradnl"/>
        </w:rPr>
      </w:pPr>
      <w:r w:rsidRPr="00CD49CA">
        <w:rPr>
          <w:rFonts w:ascii="Arial" w:hAnsi="Arial"/>
          <w:color w:val="000000"/>
          <w:szCs w:val="20"/>
          <w:lang w:val="es-ES_tradnl"/>
        </w:rPr>
        <w:t xml:space="preserve">Por </w:t>
      </w:r>
      <w:proofErr w:type="gramStart"/>
      <w:r w:rsidRPr="00CD49CA">
        <w:rPr>
          <w:rFonts w:ascii="Arial" w:hAnsi="Arial"/>
          <w:color w:val="000000"/>
          <w:szCs w:val="20"/>
          <w:lang w:val="es-ES_tradnl"/>
        </w:rPr>
        <w:t>último</w:t>
      </w:r>
      <w:proofErr w:type="gramEnd"/>
      <w:r w:rsidRPr="00CD49CA">
        <w:rPr>
          <w:rFonts w:ascii="Arial" w:hAnsi="Arial"/>
          <w:color w:val="000000"/>
          <w:szCs w:val="20"/>
          <w:lang w:val="es-ES_tradnl"/>
        </w:rPr>
        <w:t xml:space="preserve"> resulta altamente ilustrativo atender a los plazos para ejercitar acciones que buscan dejar sin efecto contratos en su integridad, por ser un supuesto si cabe más grave que el perseguido por la declaración de </w:t>
      </w:r>
      <w:proofErr w:type="spellStart"/>
      <w:r w:rsidRPr="00CD49CA">
        <w:rPr>
          <w:rFonts w:ascii="Arial" w:hAnsi="Arial"/>
          <w:color w:val="000000"/>
          <w:szCs w:val="20"/>
          <w:lang w:val="es-ES_tradnl"/>
        </w:rPr>
        <w:t>abusividad</w:t>
      </w:r>
      <w:proofErr w:type="spellEnd"/>
      <w:r w:rsidRPr="00CD49CA">
        <w:rPr>
          <w:rFonts w:ascii="Arial" w:hAnsi="Arial"/>
          <w:color w:val="000000"/>
          <w:szCs w:val="20"/>
          <w:lang w:val="es-ES_tradnl"/>
        </w:rPr>
        <w:t xml:space="preserve"> (donde se pretende dejar sin efectos determinadas cláusulas, perviviendo el resto de clausulado no abusivo). Estas reclamaciones, que llevan aparejada su consiguiente remoción de efectos (a diferencia de la nulidad por </w:t>
      </w:r>
      <w:proofErr w:type="spellStart"/>
      <w:r w:rsidRPr="00CD49CA">
        <w:rPr>
          <w:rFonts w:ascii="Arial" w:hAnsi="Arial"/>
          <w:color w:val="000000"/>
          <w:szCs w:val="20"/>
          <w:lang w:val="es-ES_tradnl"/>
        </w:rPr>
        <w:t>abusividad</w:t>
      </w:r>
      <w:proofErr w:type="spellEnd"/>
      <w:r w:rsidRPr="00CD49CA">
        <w:rPr>
          <w:rFonts w:ascii="Arial" w:hAnsi="Arial"/>
          <w:color w:val="000000"/>
          <w:szCs w:val="20"/>
          <w:lang w:val="es-ES_tradnl"/>
        </w:rPr>
        <w:t xml:space="preserve"> donde dicha remoción no es automática y necesita el ejercicio de una acción separada), están sujetas a plazos mucho más estrictos que los que analizamos en este caso.</w:t>
      </w:r>
    </w:p>
    <w:p w14:paraId="7BB69BED" w14:textId="77777777" w:rsidR="008175AB" w:rsidRPr="00CD49CA" w:rsidRDefault="008175AB" w:rsidP="008175AB">
      <w:pPr>
        <w:pStyle w:val="Prrafodelista"/>
        <w:spacing w:before="240" w:after="240" w:line="360" w:lineRule="auto"/>
        <w:ind w:left="1134"/>
        <w:contextualSpacing w:val="0"/>
        <w:jc w:val="both"/>
        <w:rPr>
          <w:rFonts w:ascii="Arial" w:hAnsi="Arial"/>
          <w:color w:val="000000"/>
          <w:szCs w:val="20"/>
          <w:lang w:val="es-ES_tradnl"/>
        </w:rPr>
      </w:pPr>
      <w:r w:rsidRPr="00CD49CA">
        <w:rPr>
          <w:rFonts w:ascii="Arial" w:hAnsi="Arial"/>
          <w:color w:val="000000"/>
          <w:szCs w:val="20"/>
          <w:lang w:val="es-ES_tradnl"/>
        </w:rPr>
        <w:t xml:space="preserve">Por ejemplo, la acción pauliana </w:t>
      </w:r>
      <w:r w:rsidRPr="00CD49CA">
        <w:rPr>
          <w:rFonts w:ascii="Arial" w:hAnsi="Arial"/>
          <w:i/>
          <w:iCs/>
          <w:color w:val="000000"/>
          <w:szCs w:val="20"/>
          <w:lang w:val="es-ES_tradnl"/>
        </w:rPr>
        <w:t xml:space="preserve">ex </w:t>
      </w:r>
      <w:r w:rsidRPr="00CD49CA">
        <w:rPr>
          <w:rFonts w:ascii="Arial" w:hAnsi="Arial"/>
          <w:color w:val="000000"/>
          <w:szCs w:val="20"/>
          <w:lang w:val="es-ES_tradnl"/>
        </w:rPr>
        <w:t xml:space="preserve">artículo 1111 CC (que busca la revocación de actos realizados en fraude de acreedores) o la acción rescisoria del artículo 1291 CC (que busca dejar sin efecto contratos en su totalidad) están sujetas a un plazo de caducidad de 4 años desde que se pudo ejercitar la acción de conformidad con el artículo 1299 CC. Dichas acciones rescisorias, de conformidad con el artículo 1295 CC, llevan aparejada la remoción de efectos </w:t>
      </w:r>
      <w:r w:rsidRPr="00CD49CA">
        <w:rPr>
          <w:rFonts w:ascii="Arial" w:hAnsi="Arial"/>
          <w:color w:val="000000"/>
          <w:szCs w:val="20"/>
        </w:rPr>
        <w:lastRenderedPageBreak/>
        <w:t xml:space="preserve">(sin necesidad de ejercitar una acción separada como sí ocurre en la nulidad por </w:t>
      </w:r>
      <w:proofErr w:type="spellStart"/>
      <w:r w:rsidRPr="00CD49CA">
        <w:rPr>
          <w:rFonts w:ascii="Arial" w:hAnsi="Arial"/>
          <w:color w:val="000000"/>
          <w:szCs w:val="20"/>
        </w:rPr>
        <w:t>abusividad</w:t>
      </w:r>
      <w:proofErr w:type="spellEnd"/>
      <w:r w:rsidRPr="00CD49CA">
        <w:rPr>
          <w:rFonts w:ascii="Arial" w:hAnsi="Arial"/>
          <w:color w:val="000000"/>
          <w:szCs w:val="20"/>
        </w:rPr>
        <w:t xml:space="preserve">) </w:t>
      </w:r>
      <w:r w:rsidRPr="00CD49CA">
        <w:rPr>
          <w:rFonts w:ascii="Arial" w:hAnsi="Arial"/>
          <w:color w:val="000000"/>
          <w:szCs w:val="20"/>
          <w:lang w:val="es-ES_tradnl"/>
        </w:rPr>
        <w:t>por lo que dicha restitución queda subsumida en el referido plazo de caducidad.</w:t>
      </w:r>
    </w:p>
    <w:p w14:paraId="2788D64D" w14:textId="77777777" w:rsidR="008175AB" w:rsidRPr="00CD49CA" w:rsidRDefault="008175AB" w:rsidP="008175AB">
      <w:pPr>
        <w:pStyle w:val="Prrafodelista"/>
        <w:spacing w:before="240" w:after="240" w:line="360" w:lineRule="auto"/>
        <w:ind w:left="1134"/>
        <w:contextualSpacing w:val="0"/>
        <w:jc w:val="both"/>
        <w:rPr>
          <w:rFonts w:ascii="Arial" w:hAnsi="Arial"/>
          <w:color w:val="000000"/>
          <w:szCs w:val="20"/>
        </w:rPr>
      </w:pPr>
      <w:r w:rsidRPr="00CD49CA">
        <w:rPr>
          <w:rFonts w:ascii="Arial" w:hAnsi="Arial"/>
          <w:color w:val="000000"/>
          <w:szCs w:val="20"/>
        </w:rPr>
        <w:t xml:space="preserve">Al mismo plazo de caducidad de 4 años se sujeta la acción de nulidad de los contratos por intimidación, violencia, error, dolo o falsedad en la causa </w:t>
      </w:r>
      <w:r w:rsidRPr="00CD49CA">
        <w:rPr>
          <w:rFonts w:ascii="Arial" w:hAnsi="Arial"/>
          <w:i/>
          <w:iCs/>
          <w:color w:val="000000"/>
          <w:szCs w:val="20"/>
        </w:rPr>
        <w:t xml:space="preserve">ex </w:t>
      </w:r>
      <w:r w:rsidRPr="00CD49CA">
        <w:rPr>
          <w:rFonts w:ascii="Arial" w:hAnsi="Arial"/>
          <w:color w:val="000000"/>
          <w:szCs w:val="20"/>
        </w:rPr>
        <w:t xml:space="preserve">artículo 1301 CC. En estos casos de nulidad por vicio en el consentimiento el artículo 1303 CC también prevé expresamente como consecuencia de esa nulidad la remoción de los efectos sin necesidad de ejercitar una acción separada. </w:t>
      </w:r>
    </w:p>
    <w:p w14:paraId="4791FD8C" w14:textId="77777777" w:rsidR="008175AB" w:rsidRPr="00CD49CA" w:rsidRDefault="008175AB" w:rsidP="008175AB">
      <w:pPr>
        <w:pStyle w:val="Prrafodelista"/>
        <w:spacing w:before="240" w:after="240" w:line="360" w:lineRule="auto"/>
        <w:ind w:left="1134"/>
        <w:contextualSpacing w:val="0"/>
        <w:jc w:val="both"/>
        <w:rPr>
          <w:rFonts w:ascii="Arial" w:hAnsi="Arial"/>
          <w:color w:val="000000"/>
          <w:szCs w:val="20"/>
        </w:rPr>
      </w:pPr>
      <w:r w:rsidRPr="00CD49CA">
        <w:rPr>
          <w:rFonts w:ascii="Arial" w:hAnsi="Arial"/>
          <w:color w:val="000000"/>
          <w:szCs w:val="20"/>
        </w:rPr>
        <w:t>Recordemos que el plazo de caducidad que aplica a estas acciones que persiguen dejar sin efecto la totalidad el contrato no es susceptible de interrupción, de ahí que sea especialmente relevante a efectos de valorar el cumplimiento del principio de equivalencia en este caso.</w:t>
      </w:r>
    </w:p>
    <w:p w14:paraId="46B8B8D4"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Las anteriores acciones protegen los mismos derechos que la acción restitutoria derivada de la declaración de </w:t>
      </w:r>
      <w:proofErr w:type="spellStart"/>
      <w:r w:rsidRPr="00CD49CA">
        <w:rPr>
          <w:rFonts w:ascii="Arial" w:hAnsi="Arial" w:cs="Arial"/>
        </w:rPr>
        <w:t>abusividad</w:t>
      </w:r>
      <w:proofErr w:type="spellEnd"/>
      <w:r w:rsidRPr="00CD49CA">
        <w:rPr>
          <w:rFonts w:ascii="Arial" w:hAnsi="Arial" w:cs="Arial"/>
        </w:rPr>
        <w:t xml:space="preserve"> y, desde el punto de vista de la causa, objeto y elementos esenciales de dichas acciones, nos encontramos con que son similares a la acción de remoción de efectos o de restitución de ventajas que nos ocupa. Por tanto, es evidente que la acción restitutoria derivada de la declaración de </w:t>
      </w:r>
      <w:proofErr w:type="spellStart"/>
      <w:r w:rsidRPr="00CD49CA">
        <w:rPr>
          <w:rFonts w:ascii="Arial" w:hAnsi="Arial" w:cs="Arial"/>
        </w:rPr>
        <w:t>abusividad</w:t>
      </w:r>
      <w:proofErr w:type="spellEnd"/>
      <w:r w:rsidRPr="00CD49CA">
        <w:rPr>
          <w:rFonts w:ascii="Arial" w:hAnsi="Arial" w:cs="Arial"/>
        </w:rPr>
        <w:t xml:space="preserve">, cuando se ejercita con base en la Directiva 93/13, no puede estar sujeta a un tratamiento no equivalente y debe estar también sometida a plazo. </w:t>
      </w:r>
    </w:p>
    <w:p w14:paraId="3797761B" w14:textId="77777777" w:rsidR="008175AB" w:rsidRPr="00CD49CA" w:rsidRDefault="008175AB" w:rsidP="008175AB">
      <w:pPr>
        <w:spacing w:before="240" w:after="240" w:line="360" w:lineRule="auto"/>
        <w:jc w:val="both"/>
        <w:rPr>
          <w:rFonts w:ascii="Arial" w:hAnsi="Arial" w:cs="Arial"/>
          <w:i/>
        </w:rPr>
      </w:pPr>
      <w:r w:rsidRPr="00CD49CA">
        <w:rPr>
          <w:rFonts w:ascii="Arial" w:hAnsi="Arial" w:cs="Arial"/>
        </w:rPr>
        <w:t xml:space="preserve">Al respecto, la ya mencionada Sentencia </w:t>
      </w:r>
      <w:proofErr w:type="spellStart"/>
      <w:r w:rsidRPr="00CD49CA">
        <w:rPr>
          <w:rFonts w:ascii="Arial" w:hAnsi="Arial" w:cs="Arial"/>
        </w:rPr>
        <w:t>nº</w:t>
      </w:r>
      <w:proofErr w:type="spellEnd"/>
      <w:r w:rsidRPr="00CD49CA">
        <w:rPr>
          <w:rFonts w:ascii="Arial" w:hAnsi="Arial" w:cs="Arial"/>
        </w:rPr>
        <w:t xml:space="preserve"> 447/2020 de la Audiencia Provincial de A Coruña (Secc. 4ª</w:t>
      </w:r>
      <w:proofErr w:type="gramStart"/>
      <w:r w:rsidRPr="00CD49CA">
        <w:rPr>
          <w:rFonts w:ascii="Arial" w:hAnsi="Arial" w:cs="Arial"/>
        </w:rPr>
        <w:t>) ,</w:t>
      </w:r>
      <w:proofErr w:type="gramEnd"/>
      <w:r w:rsidRPr="00CD49CA">
        <w:rPr>
          <w:rFonts w:ascii="Arial" w:hAnsi="Arial" w:cs="Arial"/>
        </w:rPr>
        <w:t xml:space="preserve"> de 19 de noviembre, considera que la aplicación del artículo 1964 CC respeta el principio de equivalencia ya que “</w:t>
      </w:r>
      <w:r w:rsidRPr="00CD49CA">
        <w:rPr>
          <w:rFonts w:ascii="Arial" w:hAnsi="Arial" w:cs="Arial"/>
          <w:i/>
        </w:rPr>
        <w:t>no es dudoso que la norma no confiere a los consumidores, en este contexto, un trato menos favorable que el de otras aplicables a situaciones similares. De hecho, en las disposiciones generales del Código civil no existen plazos más extensos de prescripción de acciones de naturaleza personal que el que contempla el artículo 1964</w:t>
      </w:r>
      <w:r w:rsidRPr="00CD49CA">
        <w:rPr>
          <w:rFonts w:ascii="Arial" w:hAnsi="Arial" w:cs="Arial"/>
          <w:iCs/>
        </w:rPr>
        <w:t xml:space="preserve">”. </w:t>
      </w:r>
    </w:p>
    <w:p w14:paraId="489AC286" w14:textId="77777777" w:rsidR="008175AB" w:rsidRDefault="008175AB" w:rsidP="008175AB">
      <w:pPr>
        <w:spacing w:before="240" w:after="240" w:line="360" w:lineRule="auto"/>
        <w:jc w:val="both"/>
        <w:rPr>
          <w:rFonts w:ascii="Arial" w:hAnsi="Arial" w:cs="Arial"/>
        </w:rPr>
      </w:pPr>
      <w:r w:rsidRPr="00CD49CA">
        <w:rPr>
          <w:rFonts w:ascii="Arial" w:hAnsi="Arial" w:cs="Arial"/>
        </w:rPr>
        <w:t xml:space="preserve">Enlazando con el principio de efectividad, que pasamos a analizar a continuación, dicha sentencia considera que la aplicación del artículo 1964 CC respeta igualmente ese principio a la vista de la extensión del plazo previsto (5 años, con las particularidades que se verán a continuación). La Sentencia </w:t>
      </w:r>
      <w:proofErr w:type="spellStart"/>
      <w:r w:rsidRPr="00CD49CA">
        <w:rPr>
          <w:rFonts w:ascii="Arial" w:hAnsi="Arial" w:cs="Arial"/>
        </w:rPr>
        <w:t>nº</w:t>
      </w:r>
      <w:proofErr w:type="spellEnd"/>
      <w:r w:rsidRPr="00CD49CA">
        <w:rPr>
          <w:rFonts w:ascii="Arial" w:hAnsi="Arial" w:cs="Arial"/>
        </w:rPr>
        <w:t xml:space="preserve"> 2473/2020 de la Audiencia Provincial de Madrid (Secc. 28ª Refuerzo), de 23 de noviembre, también considera que el principio de efectividad no se ve afectado por la aplicación de dicho precepto ya que “</w:t>
      </w:r>
      <w:r w:rsidRPr="00CD49CA">
        <w:rPr>
          <w:rFonts w:ascii="Arial" w:hAnsi="Arial" w:cs="Arial"/>
          <w:i/>
          <w:iCs/>
        </w:rPr>
        <w:t>debe tenerse en cuenta, en el caso del Ordenamiento jurídico español, que la extensión temporal del plazo de prescripción establecido legalmente es suficientemente amplio como para habilitar la posibilidad real de autotutela de los derechos del consumidor, mediante el ejercicio de acciones judiciales para su defensa</w:t>
      </w:r>
      <w:r w:rsidRPr="00CD49CA">
        <w:rPr>
          <w:rFonts w:ascii="Arial" w:hAnsi="Arial" w:cs="Arial"/>
        </w:rPr>
        <w:t>”.</w:t>
      </w:r>
    </w:p>
    <w:p w14:paraId="4015DDDE" w14:textId="77777777" w:rsidR="00362EA8" w:rsidRDefault="00362EA8" w:rsidP="008175AB">
      <w:pPr>
        <w:spacing w:before="240" w:after="240" w:line="360" w:lineRule="auto"/>
        <w:jc w:val="both"/>
        <w:rPr>
          <w:rFonts w:ascii="Arial" w:hAnsi="Arial" w:cs="Arial"/>
        </w:rPr>
      </w:pPr>
    </w:p>
    <w:p w14:paraId="2B90F91E" w14:textId="77777777" w:rsidR="00362EA8" w:rsidRPr="00CD49CA" w:rsidRDefault="00362EA8" w:rsidP="008175AB">
      <w:pPr>
        <w:spacing w:before="240" w:after="240" w:line="360" w:lineRule="auto"/>
        <w:jc w:val="both"/>
        <w:rPr>
          <w:rFonts w:ascii="Arial" w:hAnsi="Arial" w:cs="Arial"/>
        </w:rPr>
      </w:pPr>
    </w:p>
    <w:p w14:paraId="74256AEA"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Efectivamente, el TJUE considera que la clave para entender que el principio de efectividad se respeta es garantizar que el plazo de prescripción aplicado “</w:t>
      </w:r>
      <w:r w:rsidRPr="00CD49CA">
        <w:rPr>
          <w:rFonts w:ascii="Arial" w:hAnsi="Arial" w:cs="Arial"/>
          <w:i/>
          <w:iCs/>
        </w:rPr>
        <w:t>no haga imposible en la práctica o excesivamente difícil el ejercicio de los derechos conferidos en dicha Directiva</w:t>
      </w:r>
      <w:r w:rsidRPr="00CD49CA">
        <w:rPr>
          <w:rFonts w:ascii="Arial" w:hAnsi="Arial" w:cs="Arial"/>
        </w:rPr>
        <w:t>”</w:t>
      </w:r>
      <w:r w:rsidRPr="00CD49CA">
        <w:rPr>
          <w:rStyle w:val="Refdenotaalpie"/>
          <w:rFonts w:cs="Arial"/>
        </w:rPr>
        <w:footnoteReference w:id="48"/>
      </w:r>
      <w:r w:rsidRPr="00CD49CA">
        <w:rPr>
          <w:rFonts w:ascii="Arial" w:hAnsi="Arial" w:cs="Arial"/>
        </w:rPr>
        <w:t xml:space="preserve">. Y, precisamente, el TJUE ha tenido la oportunidad de analizar el plazo de 5 años </w:t>
      </w:r>
      <w:r w:rsidRPr="00CD49CA">
        <w:rPr>
          <w:rFonts w:ascii="Arial" w:hAnsi="Arial" w:cs="Arial"/>
          <w:i/>
        </w:rPr>
        <w:t>ex</w:t>
      </w:r>
      <w:r w:rsidRPr="00CD49CA">
        <w:rPr>
          <w:rFonts w:ascii="Arial" w:hAnsi="Arial" w:cs="Arial"/>
        </w:rPr>
        <w:t xml:space="preserve"> artículo 1964 CC y ha determinado que su duración respeta el principio de efectividad. Lo ha hecho en la sentencia dictada en el asunto </w:t>
      </w:r>
      <w:proofErr w:type="spellStart"/>
      <w:r w:rsidRPr="00CD49CA">
        <w:rPr>
          <w:rFonts w:ascii="Arial" w:hAnsi="Arial" w:cs="Arial"/>
          <w:i/>
        </w:rPr>
        <w:t>Caixabank</w:t>
      </w:r>
      <w:proofErr w:type="spellEnd"/>
      <w:r w:rsidRPr="00CD49CA">
        <w:rPr>
          <w:rFonts w:ascii="Arial" w:hAnsi="Arial" w:cs="Arial"/>
        </w:rPr>
        <w:t>, recordando que en otros asuntos ya se habían declarado conformes plazos de prescripción de tres y dos años</w:t>
      </w:r>
      <w:r w:rsidRPr="00CD49CA">
        <w:rPr>
          <w:rStyle w:val="Refdenotaalpie"/>
          <w:rFonts w:cs="Arial"/>
        </w:rPr>
        <w:footnoteReference w:id="49"/>
      </w:r>
      <w:r w:rsidRPr="00CD49CA">
        <w:rPr>
          <w:rFonts w:ascii="Arial" w:hAnsi="Arial" w:cs="Arial"/>
        </w:rPr>
        <w:t xml:space="preserve">. De igual forma el reciente en el Auto Cuestión Prejudicial GH, el TS también confirma que el plazo de 5 años del artículo 1964 CC es el aplicable a la acción restitutoria vinculada a la reclamación de reembolso de gastos de constitución de hipoteca derivada de una declaración de </w:t>
      </w:r>
      <w:proofErr w:type="spellStart"/>
      <w:r w:rsidRPr="00CD49CA">
        <w:rPr>
          <w:rFonts w:ascii="Arial" w:hAnsi="Arial" w:cs="Arial"/>
        </w:rPr>
        <w:t>abusividad</w:t>
      </w:r>
      <w:proofErr w:type="spellEnd"/>
      <w:r w:rsidRPr="00CD49CA">
        <w:rPr>
          <w:rFonts w:ascii="Arial" w:hAnsi="Arial" w:cs="Arial"/>
        </w:rPr>
        <w:t>.</w:t>
      </w:r>
    </w:p>
    <w:p w14:paraId="5A8383D9" w14:textId="77777777" w:rsidR="008175AB" w:rsidRPr="00CD49CA" w:rsidRDefault="008175AB" w:rsidP="008175AB">
      <w:pPr>
        <w:spacing w:before="240" w:after="240" w:line="360" w:lineRule="auto"/>
        <w:jc w:val="both"/>
        <w:rPr>
          <w:rFonts w:ascii="Arial" w:hAnsi="Arial" w:cs="Arial"/>
          <w:lang w:val="es-ES_tradnl"/>
        </w:rPr>
      </w:pPr>
      <w:r w:rsidRPr="00CD49CA">
        <w:rPr>
          <w:rFonts w:ascii="Arial" w:hAnsi="Arial" w:cs="Arial"/>
          <w:lang w:val="es-ES_tradnl"/>
        </w:rPr>
        <w:t xml:space="preserve">No existe, por tanto, ninguna duda sobre la conformidad del artículo 1964.2 CC y, en particular, el plazo de prescripción de 5 años a la acción restitutoria aquí analizada, con los principios de equivalencia y efectividad. </w:t>
      </w:r>
    </w:p>
    <w:p w14:paraId="02660AF4" w14:textId="77777777" w:rsidR="008175AB" w:rsidRPr="00CD49CA" w:rsidRDefault="008175AB" w:rsidP="008175AB">
      <w:pPr>
        <w:spacing w:before="240" w:after="240" w:line="360" w:lineRule="auto"/>
        <w:ind w:left="-11"/>
        <w:jc w:val="both"/>
        <w:rPr>
          <w:rFonts w:ascii="Arial" w:hAnsi="Arial" w:cs="Arial"/>
          <w:bCs/>
        </w:rPr>
      </w:pPr>
      <w:r w:rsidRPr="00CD49CA">
        <w:rPr>
          <w:rFonts w:ascii="Arial" w:hAnsi="Arial" w:cs="Arial"/>
          <w:bCs/>
        </w:rPr>
        <w:t xml:space="preserve">correcta aplicación del artículo 1964.2 CC es necesario abordar el régimen transitorio de la Ley 42/2015 y cómo afecta al cómputo del plazo, así como los criterios para fijar el </w:t>
      </w:r>
      <w:proofErr w:type="spellStart"/>
      <w:r w:rsidRPr="00CD49CA">
        <w:rPr>
          <w:rFonts w:ascii="Arial" w:hAnsi="Arial" w:cs="Arial"/>
          <w:bCs/>
          <w:i/>
          <w:iCs/>
        </w:rPr>
        <w:t>dies</w:t>
      </w:r>
      <w:proofErr w:type="spellEnd"/>
      <w:r w:rsidRPr="00CD49CA">
        <w:rPr>
          <w:rFonts w:ascii="Arial" w:hAnsi="Arial" w:cs="Arial"/>
          <w:bCs/>
          <w:i/>
          <w:iCs/>
        </w:rPr>
        <w:t xml:space="preserve"> a quo</w:t>
      </w:r>
      <w:r w:rsidRPr="00CD49CA">
        <w:rPr>
          <w:rFonts w:ascii="Arial" w:hAnsi="Arial" w:cs="Arial"/>
          <w:bCs/>
        </w:rPr>
        <w:t>.</w:t>
      </w:r>
    </w:p>
    <w:p w14:paraId="1FBEF46E" w14:textId="77777777" w:rsidR="008175AB" w:rsidRPr="00CD49CA" w:rsidRDefault="008175AB" w:rsidP="008175AB">
      <w:pPr>
        <w:pStyle w:val="Prrafodelista"/>
        <w:numPr>
          <w:ilvl w:val="0"/>
          <w:numId w:val="13"/>
        </w:numPr>
        <w:suppressAutoHyphens w:val="0"/>
        <w:spacing w:before="240" w:after="240" w:line="360" w:lineRule="auto"/>
        <w:ind w:left="1134" w:hanging="567"/>
        <w:contextualSpacing w:val="0"/>
        <w:jc w:val="both"/>
        <w:rPr>
          <w:rFonts w:ascii="Arial" w:hAnsi="Arial"/>
          <w:b/>
          <w:color w:val="000000"/>
          <w:szCs w:val="20"/>
        </w:rPr>
      </w:pPr>
      <w:r w:rsidRPr="00CD49CA">
        <w:rPr>
          <w:rFonts w:ascii="Arial" w:hAnsi="Arial"/>
          <w:b/>
          <w:color w:val="000000"/>
          <w:szCs w:val="20"/>
        </w:rPr>
        <w:t>Correcta aplicación del régimen transitorio relativo a la modificación operada en el artículo 1964 CC</w:t>
      </w:r>
    </w:p>
    <w:p w14:paraId="7BB3E5DE"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La Ley 42/2015, mediante su Disposición final primera, reformó el </w:t>
      </w:r>
      <w:hyperlink r:id="rId14" w:anchor="I4363')" w:tooltip="enlace" w:history="1">
        <w:r w:rsidRPr="00CD49CA">
          <w:rPr>
            <w:rFonts w:ascii="Arial" w:hAnsi="Arial" w:cs="Arial"/>
          </w:rPr>
          <w:t>artículo 1964 CC</w:t>
        </w:r>
      </w:hyperlink>
      <w:r w:rsidRPr="00CD49CA">
        <w:rPr>
          <w:rFonts w:ascii="Arial" w:hAnsi="Arial" w:cs="Arial"/>
        </w:rPr>
        <w:t xml:space="preserve"> en el sentido de reducir de 15 a 5 años el plazo de prescripción de las acciones personales. Para </w:t>
      </w:r>
      <w:r w:rsidRPr="00CD49CA">
        <w:rPr>
          <w:rFonts w:ascii="Arial" w:hAnsi="Arial" w:cs="Arial"/>
          <w:lang w:val="es-ES_tradnl"/>
        </w:rPr>
        <w:t>las</w:t>
      </w:r>
      <w:r w:rsidRPr="00CD49CA">
        <w:rPr>
          <w:rFonts w:ascii="Arial" w:hAnsi="Arial" w:cs="Arial"/>
        </w:rPr>
        <w:t xml:space="preserve"> acciones nacidas con anterioridad, la propia Ley previó un </w:t>
      </w:r>
      <w:r w:rsidRPr="00CD49CA">
        <w:rPr>
          <w:rFonts w:ascii="Arial" w:hAnsi="Arial" w:cs="Arial"/>
          <w:lang w:val="es-ES_tradnl"/>
        </w:rPr>
        <w:t>sistema</w:t>
      </w:r>
      <w:r w:rsidRPr="00CD49CA">
        <w:rPr>
          <w:rFonts w:ascii="Arial" w:hAnsi="Arial" w:cs="Arial"/>
        </w:rPr>
        <w:t xml:space="preserve"> transitorio en los siguientes términos:</w:t>
      </w:r>
    </w:p>
    <w:p w14:paraId="3F86788C" w14:textId="77777777" w:rsidR="008175AB" w:rsidRPr="00CD49CA" w:rsidRDefault="008175AB" w:rsidP="008175AB">
      <w:pPr>
        <w:spacing w:before="240" w:after="240" w:line="360" w:lineRule="auto"/>
        <w:jc w:val="both"/>
        <w:rPr>
          <w:rFonts w:ascii="Arial" w:hAnsi="Arial" w:cs="Arial"/>
          <w:i/>
        </w:rPr>
      </w:pPr>
      <w:r w:rsidRPr="00CD49CA">
        <w:rPr>
          <w:rFonts w:ascii="Arial" w:hAnsi="Arial" w:cs="Arial"/>
        </w:rPr>
        <w:t>“</w:t>
      </w:r>
      <w:r w:rsidRPr="00CD49CA">
        <w:rPr>
          <w:rFonts w:ascii="Arial" w:hAnsi="Arial" w:cs="Arial"/>
          <w:i/>
        </w:rPr>
        <w:t>Disposición transitoria quinta. Régimen de prescripción aplicable a las relaciones ya existentes.</w:t>
      </w:r>
    </w:p>
    <w:p w14:paraId="24CB794A"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i/>
        </w:rPr>
        <w:t>El tiempo de prescripción de las acciones personales que no tengan señalado término especial de prescripción, nacidas antes de la fecha de entrada en vigor de esta Ley, se regirá por lo dispuesto en el artículo 1939 del Código Civil</w:t>
      </w:r>
      <w:r w:rsidRPr="00CD49CA">
        <w:rPr>
          <w:rFonts w:ascii="Arial" w:hAnsi="Arial" w:cs="Arial"/>
        </w:rPr>
        <w:t>.”</w:t>
      </w:r>
    </w:p>
    <w:p w14:paraId="2CF8CAF9"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A su vez, el </w:t>
      </w:r>
      <w:hyperlink r:id="rId15" w:anchor="I2095')" w:tooltip="enlace" w:history="1">
        <w:r w:rsidRPr="00CD49CA">
          <w:rPr>
            <w:rFonts w:ascii="Arial" w:hAnsi="Arial" w:cs="Arial"/>
          </w:rPr>
          <w:t>artículo 1939 CC</w:t>
        </w:r>
      </w:hyperlink>
      <w:r w:rsidRPr="00CD49CA">
        <w:rPr>
          <w:rFonts w:ascii="Arial" w:hAnsi="Arial" w:cs="Arial"/>
        </w:rPr>
        <w:t> dispone:</w:t>
      </w:r>
    </w:p>
    <w:p w14:paraId="5F8F8A0C" w14:textId="77777777" w:rsidR="008175AB" w:rsidRPr="00CD49CA" w:rsidRDefault="008175AB" w:rsidP="008175AB">
      <w:pPr>
        <w:spacing w:before="240" w:after="240" w:line="360" w:lineRule="auto"/>
        <w:jc w:val="both"/>
        <w:rPr>
          <w:rFonts w:ascii="Arial" w:hAnsi="Arial" w:cs="Arial"/>
        </w:rPr>
      </w:pPr>
      <w:bookmarkStart w:id="17" w:name="_Hlk80787668"/>
      <w:r w:rsidRPr="00CD49CA">
        <w:rPr>
          <w:rFonts w:ascii="Arial" w:hAnsi="Arial" w:cs="Arial"/>
        </w:rPr>
        <w:t>“</w:t>
      </w:r>
      <w:r w:rsidRPr="00CD49CA">
        <w:rPr>
          <w:rFonts w:ascii="Arial" w:hAnsi="Arial" w:cs="Arial"/>
          <w:b/>
          <w:bCs/>
          <w:i/>
          <w:u w:val="single"/>
        </w:rPr>
        <w:t>La prescripción comenzada</w:t>
      </w:r>
      <w:r w:rsidRPr="00CD49CA">
        <w:rPr>
          <w:rFonts w:ascii="Arial" w:hAnsi="Arial" w:cs="Arial"/>
          <w:i/>
        </w:rPr>
        <w:t xml:space="preserve"> antes de la publicación de este Código se regirá por las leyes anteriores al mismo; pero si desde que fuere puesto en observancia transcurriese todo el tiempo en él exigido para la prescripción, surtirá ésta su efecto, aunque por dichas leyes anteriores se requiriese mayor </w:t>
      </w:r>
      <w:proofErr w:type="gramStart"/>
      <w:r w:rsidRPr="00CD49CA">
        <w:rPr>
          <w:rFonts w:ascii="Arial" w:hAnsi="Arial" w:cs="Arial"/>
          <w:i/>
        </w:rPr>
        <w:t>lapso de tiempo</w:t>
      </w:r>
      <w:proofErr w:type="gramEnd"/>
      <w:r w:rsidRPr="00CD49CA">
        <w:rPr>
          <w:rFonts w:ascii="Arial" w:hAnsi="Arial" w:cs="Arial"/>
        </w:rPr>
        <w:t>.”</w:t>
      </w:r>
    </w:p>
    <w:p w14:paraId="20AFD52A"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El Tribunal Supremo ya ha tenido ocasión de interpretar este régimen transitorio en su sentencia núm. 29/2020, de 20 de enero de 2020</w:t>
      </w:r>
      <w:r w:rsidRPr="00CD49CA">
        <w:rPr>
          <w:rStyle w:val="Refdenotaalpie"/>
          <w:rFonts w:cs="Arial"/>
        </w:rPr>
        <w:footnoteReference w:id="50"/>
      </w:r>
      <w:r w:rsidRPr="00CD49CA">
        <w:rPr>
          <w:rFonts w:ascii="Arial" w:hAnsi="Arial" w:cs="Arial"/>
        </w:rPr>
        <w:t xml:space="preserve"> y ha señalado que el anterior </w:t>
      </w:r>
      <w:r w:rsidRPr="00CD49CA">
        <w:rPr>
          <w:rFonts w:ascii="Arial" w:hAnsi="Arial" w:cs="Arial"/>
          <w:lang w:val="es-ES_tradnl"/>
        </w:rPr>
        <w:t>precepto</w:t>
      </w:r>
      <w:r w:rsidRPr="00CD49CA">
        <w:rPr>
          <w:rFonts w:ascii="Arial" w:hAnsi="Arial" w:cs="Arial"/>
        </w:rPr>
        <w:t xml:space="preserve"> establece una regla general (que la prescripción se rige por la ley vigente en la fecha en que se inicia el plazo </w:t>
      </w:r>
      <w:r w:rsidRPr="00CD49CA">
        <w:rPr>
          <w:rFonts w:ascii="Arial" w:hAnsi="Arial" w:cs="Arial"/>
        </w:rPr>
        <w:lastRenderedPageBreak/>
        <w:t xml:space="preserve">prescriptivo, por lo que la ley nueva no se aplica a las </w:t>
      </w:r>
      <w:r w:rsidRPr="00CD49CA">
        <w:rPr>
          <w:rFonts w:ascii="Arial" w:hAnsi="Arial" w:cs="Arial"/>
          <w:lang w:val="es-ES_tradnl"/>
        </w:rPr>
        <w:t>prescripciones</w:t>
      </w:r>
      <w:r w:rsidRPr="00CD49CA">
        <w:rPr>
          <w:rFonts w:ascii="Arial" w:hAnsi="Arial" w:cs="Arial"/>
        </w:rPr>
        <w:t xml:space="preserve"> que estaban en curso a su entrada en vigor); y una excepción (la prescripción se entiende consumada si la ley nueva acorta el plazo de prescripción anteriormente previsto y dicho nuevo plazo transcurre por entero tras la puesta en vigor de la ley nueva).</w:t>
      </w:r>
    </w:p>
    <w:bookmarkEnd w:id="17"/>
    <w:p w14:paraId="149167D4"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En particular, y asumiendo que no existen actos que interrumpan el cómputo del plazo de prescripción, existirían las siguientes situaciones en función de cuándo se inició la prescripción: “</w:t>
      </w:r>
      <w:r w:rsidRPr="00CD49CA">
        <w:rPr>
          <w:rFonts w:ascii="Arial" w:hAnsi="Arial" w:cs="Arial"/>
          <w:i/>
          <w:iCs/>
        </w:rPr>
        <w:t xml:space="preserve">teniendo en cuenta que la </w:t>
      </w:r>
      <w:r w:rsidRPr="00CD49CA">
        <w:rPr>
          <w:rFonts w:ascii="Arial" w:hAnsi="Arial" w:cs="Arial"/>
          <w:i/>
          <w:iCs/>
          <w:u w:val="single"/>
        </w:rPr>
        <w:t>prescripción iniciada</w:t>
      </w:r>
      <w:r w:rsidRPr="00CD49CA">
        <w:rPr>
          <w:rFonts w:ascii="Arial" w:hAnsi="Arial" w:cs="Arial"/>
          <w:i/>
          <w:iCs/>
        </w:rPr>
        <w:t xml:space="preserve"> antes de la referida entrada en vigor se regirá por el plazo anteriormente fijado (quince años), si bien, si desde dicha entrada en vigor transcurriese todo el plazo requerido por la nueva norma (cinco años) surtirá efecto la prescripción incluso aunque anteriormente hubiera un plazo de quince años:</w:t>
      </w:r>
    </w:p>
    <w:p w14:paraId="2948F301"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i/>
          <w:iCs/>
          <w:color w:val="000000"/>
          <w:szCs w:val="20"/>
        </w:rPr>
      </w:pPr>
      <w:r w:rsidRPr="00CD49CA">
        <w:rPr>
          <w:rFonts w:ascii="Arial" w:hAnsi="Arial"/>
          <w:i/>
          <w:iCs/>
          <w:color w:val="000000"/>
          <w:szCs w:val="20"/>
        </w:rPr>
        <w:t xml:space="preserve">Relaciones jurídicas nacidas antes del 7 de octubre de 2000: estarían prescritas a la entrada en vigor de nueva Ley. </w:t>
      </w:r>
    </w:p>
    <w:p w14:paraId="6E9F2FAC"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i/>
          <w:iCs/>
          <w:color w:val="000000"/>
          <w:szCs w:val="20"/>
        </w:rPr>
      </w:pPr>
      <w:r w:rsidRPr="00CD49CA">
        <w:rPr>
          <w:rFonts w:ascii="Arial" w:hAnsi="Arial"/>
          <w:i/>
          <w:iCs/>
          <w:color w:val="000000"/>
          <w:szCs w:val="20"/>
        </w:rPr>
        <w:t>Relaciones jurídicas nacidas entre el 7 de octubre de 2000 y el 7 de octubre de 2005: se les aplica el plazo de 15 años previsto en la redacción original del art. 1964 CC.</w:t>
      </w:r>
    </w:p>
    <w:p w14:paraId="6BF4D02B"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i/>
          <w:iCs/>
          <w:color w:val="000000"/>
          <w:szCs w:val="20"/>
        </w:rPr>
      </w:pPr>
      <w:bookmarkStart w:id="18" w:name="_Ref77333687"/>
      <w:r w:rsidRPr="00CD49CA">
        <w:rPr>
          <w:rFonts w:ascii="Arial" w:hAnsi="Arial"/>
          <w:i/>
          <w:iCs/>
          <w:color w:val="000000"/>
          <w:szCs w:val="20"/>
        </w:rPr>
        <w:t>Relaciones jurídicas nacidas entre el 7 de octubre de 2005 y el 7 de octubre de 2015: en aplicación de la regla de transitoriedad del art. 1939 CC, no prescriben hasta el 7 de octubre de 2020.</w:t>
      </w:r>
      <w:bookmarkEnd w:id="18"/>
    </w:p>
    <w:p w14:paraId="29E2F709"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i/>
          <w:iCs/>
          <w:color w:val="000000"/>
          <w:szCs w:val="20"/>
        </w:rPr>
      </w:pPr>
      <w:bookmarkStart w:id="19" w:name="_Ref80261684"/>
      <w:r w:rsidRPr="00CD49CA">
        <w:rPr>
          <w:rFonts w:ascii="Arial" w:hAnsi="Arial"/>
          <w:i/>
          <w:iCs/>
          <w:color w:val="000000"/>
          <w:szCs w:val="20"/>
        </w:rPr>
        <w:t>Relaciones jurídicas nacidas después del 7 de octubre de 2015: se les aplica el nuevo plazo de cinco años, conforme a la vigente redacción del art. 1964 CC.</w:t>
      </w:r>
      <w:bookmarkEnd w:id="19"/>
    </w:p>
    <w:p w14:paraId="032BE007" w14:textId="77777777" w:rsidR="008175AB" w:rsidRPr="00CD49CA" w:rsidRDefault="008175AB" w:rsidP="008175AB">
      <w:pPr>
        <w:spacing w:before="240" w:after="240" w:line="360" w:lineRule="auto"/>
        <w:jc w:val="both"/>
        <w:rPr>
          <w:rFonts w:ascii="Arial" w:hAnsi="Arial" w:cs="Arial"/>
          <w:i/>
          <w:iCs/>
        </w:rPr>
      </w:pPr>
      <w:r w:rsidRPr="00CD49CA">
        <w:rPr>
          <w:rFonts w:ascii="Arial" w:hAnsi="Arial" w:cs="Arial"/>
        </w:rPr>
        <w:t>A lo anterior debe realizarse dos matizaciones. En primer lugar, debemos entender por “relaciones jurídicas nacidas” el momento en que se inicia el plazo de prescripción, como se desprende del artículo 1939 CC y como el propio Tribunal Supremo indica en la resolución. En función de este momento variará el régimen aplicable. Así, si la prescripción quedó iniciada antes del 7 de octubre de 2015 y no se ha ejercitado la acción antes del 7 de octubre de 2020 (5 años después), la acción en cuestión habría prescrito.</w:t>
      </w:r>
    </w:p>
    <w:p w14:paraId="453E1228"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La segunda matización que debe realizarse es que debe tenerse en cuenta la suspensión de plazos acordada con ocasión del estado de alarma declarado como consecuencia del Covid-19, que entró en vigor el 14 de marzo de 2020</w:t>
      </w:r>
      <w:r w:rsidRPr="00CD49CA">
        <w:rPr>
          <w:rStyle w:val="Refdenotaalpie"/>
          <w:rFonts w:cs="Arial"/>
        </w:rPr>
        <w:footnoteReference w:id="51"/>
      </w:r>
      <w:r w:rsidRPr="00CD49CA">
        <w:rPr>
          <w:rFonts w:ascii="Arial" w:hAnsi="Arial" w:cs="Arial"/>
        </w:rPr>
        <w:t xml:space="preserve"> y finalizó el 4 de junio de 2020</w:t>
      </w:r>
      <w:r w:rsidRPr="00CD49CA">
        <w:rPr>
          <w:rStyle w:val="Refdenotaalpie"/>
          <w:rFonts w:cs="Arial"/>
        </w:rPr>
        <w:footnoteReference w:id="52"/>
      </w:r>
      <w:r w:rsidRPr="00CD49CA">
        <w:rPr>
          <w:rFonts w:ascii="Arial" w:hAnsi="Arial" w:cs="Arial"/>
        </w:rPr>
        <w:t xml:space="preserve">. Dicha suspensión ha </w:t>
      </w:r>
      <w:r w:rsidRPr="00CD49CA">
        <w:rPr>
          <w:rFonts w:ascii="Arial" w:hAnsi="Arial" w:cs="Arial"/>
          <w:lang w:val="es-ES_tradnl"/>
        </w:rPr>
        <w:t>operado</w:t>
      </w:r>
      <w:r w:rsidRPr="00CD49CA">
        <w:rPr>
          <w:rFonts w:ascii="Arial" w:hAnsi="Arial" w:cs="Arial"/>
        </w:rPr>
        <w:t xml:space="preserve"> durante 82 días naturales, por lo que, usando el ejemplo anterior, en lugar de estar a la fecha de 7 de octubre 2020, el análisis debe extenderse al 28 de diciembre de 2020.</w:t>
      </w:r>
    </w:p>
    <w:p w14:paraId="794B696A"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 xml:space="preserve">La consideración conjunta del régimen transitorio y de la suspensión de plazos por el </w:t>
      </w:r>
      <w:r w:rsidRPr="00CD49CA">
        <w:rPr>
          <w:rFonts w:ascii="Arial" w:hAnsi="Arial" w:cs="Arial"/>
          <w:lang w:val="es-ES_tradnl"/>
        </w:rPr>
        <w:t>estado</w:t>
      </w:r>
      <w:r w:rsidRPr="00CD49CA">
        <w:rPr>
          <w:rFonts w:ascii="Arial" w:hAnsi="Arial" w:cs="Arial"/>
        </w:rPr>
        <w:t xml:space="preserve"> de alarma determina que, cuando el inicio del plazo de prescripción sea anterior al 7 de octubre de 2015, si la acción se ha ejercitado con posterioridad al 28 de diciembre de 2020 (5 años + 82 días), dicha acción necesariamente ha prescrito. En el caso de que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se fije con posterioridad al 7 de octubre de 2015, deberá computarse un plazo de 5 años + 82 días desde ese concreto momento para determinar el momento de la prescripción.</w:t>
      </w:r>
    </w:p>
    <w:p w14:paraId="5D17F307"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Con el fin de realizar este análisis en el caso que nos ocupa, pasamos a analizar cómo debe computarse el plazo.</w:t>
      </w:r>
    </w:p>
    <w:p w14:paraId="7AD3468E" w14:textId="77777777" w:rsidR="008175AB" w:rsidRPr="00CD49CA" w:rsidRDefault="008175AB" w:rsidP="008175AB">
      <w:pPr>
        <w:pStyle w:val="Prrafodelista"/>
        <w:numPr>
          <w:ilvl w:val="0"/>
          <w:numId w:val="13"/>
        </w:numPr>
        <w:suppressAutoHyphens w:val="0"/>
        <w:spacing w:before="240" w:after="240" w:line="360" w:lineRule="auto"/>
        <w:ind w:left="1134" w:hanging="567"/>
        <w:contextualSpacing w:val="0"/>
        <w:jc w:val="both"/>
        <w:rPr>
          <w:rFonts w:ascii="Arial" w:hAnsi="Arial"/>
          <w:b/>
          <w:color w:val="000000"/>
          <w:szCs w:val="20"/>
        </w:rPr>
      </w:pPr>
      <w:r w:rsidRPr="00CD49CA">
        <w:rPr>
          <w:rFonts w:ascii="Arial" w:hAnsi="Arial"/>
          <w:b/>
          <w:color w:val="000000"/>
          <w:szCs w:val="20"/>
        </w:rPr>
        <w:t xml:space="preserve">Fijación del </w:t>
      </w:r>
      <w:proofErr w:type="spellStart"/>
      <w:r w:rsidRPr="00CD49CA">
        <w:rPr>
          <w:rFonts w:ascii="Arial" w:hAnsi="Arial"/>
          <w:b/>
          <w:i/>
          <w:iCs/>
          <w:color w:val="000000"/>
          <w:szCs w:val="20"/>
        </w:rPr>
        <w:t>dies</w:t>
      </w:r>
      <w:proofErr w:type="spellEnd"/>
      <w:r w:rsidRPr="00CD49CA">
        <w:rPr>
          <w:rFonts w:ascii="Arial" w:hAnsi="Arial"/>
          <w:b/>
          <w:i/>
          <w:iCs/>
          <w:color w:val="000000"/>
          <w:szCs w:val="20"/>
        </w:rPr>
        <w:t xml:space="preserve"> a quo </w:t>
      </w:r>
      <w:r w:rsidRPr="00CD49CA">
        <w:rPr>
          <w:rFonts w:ascii="Arial" w:hAnsi="Arial"/>
          <w:b/>
          <w:color w:val="000000"/>
          <w:szCs w:val="20"/>
        </w:rPr>
        <w:t>o momento de inicio de la prescripción</w:t>
      </w:r>
    </w:p>
    <w:p w14:paraId="1646AED3"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Debemos pasar a analizar cómo se fija el momento de inicio del cómputo de la prescripción, esto es,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Al respecto, el TJUE ha declarado que lo relevante es el momento en el que el consumidor “</w:t>
      </w:r>
      <w:r w:rsidRPr="00CD49CA">
        <w:rPr>
          <w:rFonts w:ascii="Arial" w:hAnsi="Arial" w:cs="Arial"/>
          <w:i/>
          <w:u w:val="single"/>
        </w:rPr>
        <w:t>tenía o podía razonablemente tener conocimiento del carácter abusivo de esta cláusula</w:t>
      </w:r>
      <w:r w:rsidRPr="00CD49CA">
        <w:rPr>
          <w:rFonts w:ascii="Arial" w:hAnsi="Arial" w:cs="Arial"/>
        </w:rPr>
        <w:t>” y estaba en condiciones de ejercitar la acción (que no se haga “</w:t>
      </w:r>
      <w:r w:rsidRPr="00CD49CA">
        <w:rPr>
          <w:rFonts w:ascii="Arial" w:hAnsi="Arial" w:cs="Arial"/>
          <w:i/>
        </w:rPr>
        <w:t>imposible en la práctica o excesivamente difícil el ejercicio del derecho del consumidor a solicitar tal restitución</w:t>
      </w:r>
      <w:r w:rsidRPr="00CD49CA">
        <w:rPr>
          <w:rFonts w:ascii="Arial" w:hAnsi="Arial" w:cs="Arial"/>
          <w:iCs/>
        </w:rPr>
        <w:t>”)</w:t>
      </w:r>
      <w:r w:rsidRPr="00CD49CA">
        <w:rPr>
          <w:rStyle w:val="Refdenotaalpie"/>
          <w:rFonts w:eastAsia="Calibri" w:cs="Arial"/>
        </w:rPr>
        <w:footnoteReference w:id="53"/>
      </w:r>
      <w:r w:rsidRPr="00CD49CA">
        <w:rPr>
          <w:rFonts w:ascii="Arial" w:hAnsi="Arial" w:cs="Arial"/>
        </w:rPr>
        <w:t>. Precisamente este es el criterio que opera en la normativa nacional aplicable, tal y como ha sido interpretada por el Tribunal Supremo.</w:t>
      </w:r>
    </w:p>
    <w:p w14:paraId="30AD843C" w14:textId="77777777" w:rsidR="008175AB" w:rsidRPr="00CD49CA" w:rsidRDefault="008175AB" w:rsidP="008175AB">
      <w:pPr>
        <w:spacing w:before="240" w:after="240" w:line="360" w:lineRule="auto"/>
        <w:jc w:val="both"/>
        <w:rPr>
          <w:rFonts w:ascii="Arial" w:hAnsi="Arial" w:cs="Arial"/>
          <w:bCs/>
        </w:rPr>
      </w:pPr>
      <w:r w:rsidRPr="00CD49CA">
        <w:rPr>
          <w:rFonts w:ascii="Arial" w:hAnsi="Arial" w:cs="Arial"/>
          <w:bCs/>
        </w:rPr>
        <w:t>El artículo 1964.2 CC establece que las acciones personales que no tengan plazo especial prescriben a los 5 años “</w:t>
      </w:r>
      <w:r w:rsidRPr="00CD49CA">
        <w:rPr>
          <w:rFonts w:ascii="Arial" w:hAnsi="Arial" w:cs="Arial"/>
          <w:bCs/>
          <w:i/>
          <w:iCs/>
        </w:rPr>
        <w:t>desde que pueda exigirse el cumplimiento de la obligación</w:t>
      </w:r>
      <w:r w:rsidRPr="00CD49CA">
        <w:rPr>
          <w:rFonts w:ascii="Arial" w:hAnsi="Arial" w:cs="Arial"/>
          <w:bCs/>
        </w:rPr>
        <w:t>”. Por su parte, el artículo 1969 CC establece que “</w:t>
      </w:r>
      <w:r w:rsidRPr="00CD49CA">
        <w:rPr>
          <w:rFonts w:ascii="Arial" w:hAnsi="Arial" w:cs="Arial"/>
          <w:bCs/>
          <w:i/>
          <w:iCs/>
        </w:rPr>
        <w:t>el tiempo para la prescripción de toda clase de acciones, cuando no haya disposición especial que otra cosa determine, se contará desde el día en que pudieron ejercitarse</w:t>
      </w:r>
      <w:r w:rsidRPr="00CD49CA">
        <w:rPr>
          <w:rFonts w:ascii="Arial" w:hAnsi="Arial" w:cs="Arial"/>
          <w:bCs/>
        </w:rPr>
        <w:t>”.</w:t>
      </w:r>
    </w:p>
    <w:p w14:paraId="0BB6B263"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Los anteriores preceptos acuden a la regla de la </w:t>
      </w:r>
      <w:proofErr w:type="spellStart"/>
      <w:r w:rsidRPr="00CD49CA">
        <w:rPr>
          <w:rFonts w:ascii="Arial" w:hAnsi="Arial" w:cs="Arial"/>
          <w:i/>
        </w:rPr>
        <w:t>actio</w:t>
      </w:r>
      <w:proofErr w:type="spellEnd"/>
      <w:r w:rsidRPr="00CD49CA">
        <w:rPr>
          <w:rFonts w:ascii="Arial" w:hAnsi="Arial" w:cs="Arial"/>
          <w:i/>
        </w:rPr>
        <w:t xml:space="preserve"> nata</w:t>
      </w:r>
      <w:r w:rsidRPr="00CD49CA">
        <w:rPr>
          <w:rFonts w:ascii="Arial" w:hAnsi="Arial" w:cs="Arial"/>
        </w:rPr>
        <w:t>, de carácter objetivo, si bien la interpretación dada por el Tribunal Supremo a dicha regla ha ido evolucionando hacia una interpretación acorde a lo exigido por el TJUE, en el sentido de considerar que “poder ejercitar la acción” incluye un elemento subjetivo, a saber, la posibilidad real de ejercicio de la acción y el conocimiento por el acreedor de la lesión de su derecho</w:t>
      </w:r>
      <w:r w:rsidRPr="00CD49CA">
        <w:rPr>
          <w:rStyle w:val="Refdenotaalpie"/>
          <w:rFonts w:cs="Arial"/>
        </w:rPr>
        <w:footnoteReference w:id="54"/>
      </w:r>
      <w:r w:rsidRPr="00CD49CA">
        <w:rPr>
          <w:rFonts w:ascii="Arial" w:hAnsi="Arial" w:cs="Arial"/>
        </w:rPr>
        <w:t xml:space="preserve">. Ese elemento subjetivo exige, por tanto, analizar las circunstancias del caso concreto y las particularidades de la situación de cada consumidor para determinar en qué momento tuvo conciencia de la posible </w:t>
      </w:r>
      <w:proofErr w:type="spellStart"/>
      <w:r w:rsidRPr="00CD49CA">
        <w:rPr>
          <w:rFonts w:ascii="Arial" w:hAnsi="Arial" w:cs="Arial"/>
        </w:rPr>
        <w:t>abusividad</w:t>
      </w:r>
      <w:proofErr w:type="spellEnd"/>
      <w:r w:rsidRPr="00CD49CA">
        <w:rPr>
          <w:rFonts w:ascii="Arial" w:hAnsi="Arial" w:cs="Arial"/>
        </w:rPr>
        <w:t xml:space="preserve"> de la cláusula y pudo haberse planteado el ejercicio de la acción.</w:t>
      </w:r>
    </w:p>
    <w:p w14:paraId="7AE64977" w14:textId="77777777" w:rsidR="008175AB" w:rsidRPr="00CD49CA" w:rsidRDefault="008175AB" w:rsidP="008175AB">
      <w:pPr>
        <w:spacing w:before="240" w:after="240" w:line="360" w:lineRule="auto"/>
        <w:jc w:val="both"/>
        <w:rPr>
          <w:rFonts w:ascii="Arial" w:hAnsi="Arial" w:cs="Arial"/>
        </w:rPr>
      </w:pPr>
      <w:bookmarkStart w:id="20" w:name="_Hlk83302250"/>
      <w:r w:rsidRPr="00CD49CA">
        <w:rPr>
          <w:rFonts w:ascii="Arial" w:hAnsi="Arial" w:cs="Arial"/>
        </w:rPr>
        <w:t>El Tribunal Supremo se refiere de manera clara por primera vez a esta interpretación actualmente vigente en su sentencia núm. 728/2012, de 11 de diciembre 2012</w:t>
      </w:r>
      <w:r w:rsidRPr="00CD49CA">
        <w:rPr>
          <w:rStyle w:val="Refdenotaalpie"/>
          <w:rFonts w:cs="Arial"/>
        </w:rPr>
        <w:footnoteReference w:id="55"/>
      </w:r>
      <w:r w:rsidRPr="00CD49CA">
        <w:rPr>
          <w:rFonts w:ascii="Arial" w:hAnsi="Arial" w:cs="Arial"/>
        </w:rPr>
        <w:t xml:space="preserve">, en la cual declaró que </w:t>
      </w:r>
      <w:r w:rsidRPr="00CD49CA">
        <w:rPr>
          <w:rFonts w:ascii="Arial" w:hAnsi="Arial" w:cs="Arial"/>
          <w:u w:val="single"/>
        </w:rPr>
        <w:t xml:space="preserve">la acción puede ejercitarse cuando se conoce o puede conocerse el derecho que se pretende </w:t>
      </w:r>
      <w:r w:rsidRPr="00CD49CA">
        <w:rPr>
          <w:rFonts w:ascii="Arial" w:hAnsi="Arial" w:cs="Arial"/>
          <w:u w:val="single"/>
        </w:rPr>
        <w:lastRenderedPageBreak/>
        <w:t>tutelar con el ejercicio de la acción</w:t>
      </w:r>
      <w:r w:rsidRPr="00CD49CA">
        <w:rPr>
          <w:rFonts w:ascii="Arial" w:hAnsi="Arial" w:cs="Arial"/>
        </w:rPr>
        <w:t xml:space="preserve">, siendo ese el momento en que efectivamente nace la acción. Al hacerlo, recordó el fundamento de la prescripción extintiva, que es la necesidad de garantizar el principio de seguridad jurídica, fundamento que, como hemos visto, también ha sido reconocido por el TJUE en su jurisprudencia </w:t>
      </w:r>
      <w:r w:rsidRPr="00CD49CA">
        <w:rPr>
          <w:rFonts w:ascii="Arial" w:hAnsi="Arial" w:cs="Arial"/>
          <w:lang w:val="es-ES_tradnl"/>
        </w:rPr>
        <w:t>sobre</w:t>
      </w:r>
      <w:r w:rsidRPr="00CD49CA">
        <w:rPr>
          <w:rFonts w:ascii="Arial" w:hAnsi="Arial" w:cs="Arial"/>
        </w:rPr>
        <w:t xml:space="preserve"> aplicación de los plazos de prescripción a la restitución de las ventajas obtenidas por la aplicación de una cláusula abusiva.</w:t>
      </w:r>
    </w:p>
    <w:bookmarkEnd w:id="20"/>
    <w:p w14:paraId="6F9D61B3"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El inicio del cómputo en un momento distinto, como puede ser la firma del contrato –cuando en esa fecha no se tuviera o pudiera tener conocimiento del posible carácter abusivo de una concreta cláusula abusiva–, la fecha de la sentencia </w:t>
      </w:r>
      <w:r w:rsidRPr="00CD49CA">
        <w:rPr>
          <w:rFonts w:ascii="Arial" w:hAnsi="Arial" w:cs="Arial"/>
          <w:lang w:val="es-ES_tradnl"/>
        </w:rPr>
        <w:t>declarativa</w:t>
      </w:r>
      <w:r w:rsidRPr="00CD49CA">
        <w:rPr>
          <w:rFonts w:ascii="Arial" w:hAnsi="Arial" w:cs="Arial"/>
        </w:rPr>
        <w:t xml:space="preserve"> del carácter abusivo de la cláusula –cuando resulta evidente que el conocimiento es en todo caso anterior, ya que de otro modo no se habría interpuesto la demanda– o la fecha de finalización de las prestaciones –que supondría tanto como considerar que la acción de restitución de ventajas es imprescriptible–; vulneraría el principio de seguridad jurídica consagrado tanto por el TJUE como por el Derecho nacional.</w:t>
      </w:r>
    </w:p>
    <w:p w14:paraId="03B9F975"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A este respecto se han pronunciado ya nuestros Tribunales, descartando expresamente que el plazo pueda comenzar a computarse en esas otras fechas, por no ser </w:t>
      </w:r>
      <w:r w:rsidRPr="00CD49CA">
        <w:rPr>
          <w:rFonts w:ascii="Arial" w:hAnsi="Arial" w:cs="Arial"/>
          <w:lang w:val="es-ES_tradnl"/>
        </w:rPr>
        <w:t>coincidentes</w:t>
      </w:r>
      <w:r w:rsidRPr="00CD49CA">
        <w:rPr>
          <w:rFonts w:ascii="Arial" w:hAnsi="Arial" w:cs="Arial"/>
        </w:rPr>
        <w:t xml:space="preserve"> con el momento en el que el consumidor conoció o pudo razonablemente conocer la </w:t>
      </w:r>
      <w:proofErr w:type="spellStart"/>
      <w:r w:rsidRPr="00CD49CA">
        <w:rPr>
          <w:rFonts w:ascii="Arial" w:hAnsi="Arial" w:cs="Arial"/>
        </w:rPr>
        <w:t>abusividad</w:t>
      </w:r>
      <w:proofErr w:type="spellEnd"/>
      <w:r w:rsidRPr="00CD49CA">
        <w:rPr>
          <w:rFonts w:ascii="Arial" w:hAnsi="Arial" w:cs="Arial"/>
        </w:rPr>
        <w:t xml:space="preserve"> de la cláusula de que se trate</w:t>
      </w:r>
      <w:r w:rsidRPr="00CD49CA">
        <w:rPr>
          <w:rStyle w:val="Refdenotaalpie"/>
          <w:rFonts w:cs="Arial"/>
        </w:rPr>
        <w:footnoteReference w:id="56"/>
      </w:r>
      <w:r w:rsidRPr="00CD49CA">
        <w:rPr>
          <w:rFonts w:ascii="Arial" w:hAnsi="Arial" w:cs="Arial"/>
        </w:rPr>
        <w:t xml:space="preserve">. </w:t>
      </w:r>
      <w:bookmarkStart w:id="21" w:name="_Hlk83302284"/>
      <w:r w:rsidRPr="00CD49CA">
        <w:rPr>
          <w:rFonts w:ascii="Arial" w:hAnsi="Arial" w:cs="Arial"/>
        </w:rPr>
        <w:t xml:space="preserve">Así lo ha reconocido el propio Tribunal Supremo en el Auto Cuestión Prejudicial GH, descartando, con base en el principio de seguridad jurídica, estos posibles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(especialmente, el fijado en la fecha de la declarativa del carácter abusivo de </w:t>
      </w:r>
      <w:proofErr w:type="gramStart"/>
      <w:r w:rsidRPr="00CD49CA">
        <w:rPr>
          <w:rFonts w:ascii="Arial" w:hAnsi="Arial" w:cs="Arial"/>
        </w:rPr>
        <w:t>la cláusulas</w:t>
      </w:r>
      <w:proofErr w:type="gramEnd"/>
      <w:r w:rsidRPr="00CD49CA">
        <w:rPr>
          <w:rFonts w:ascii="Arial" w:hAnsi="Arial" w:cs="Arial"/>
        </w:rPr>
        <w:t xml:space="preserve"> en el concreto caso del demandante) por provocar </w:t>
      </w:r>
      <w:r w:rsidRPr="00CD49CA">
        <w:rPr>
          <w:rFonts w:ascii="Arial" w:hAnsi="Arial" w:cs="Arial"/>
          <w:i/>
          <w:iCs/>
        </w:rPr>
        <w:t xml:space="preserve">de facto </w:t>
      </w:r>
      <w:r w:rsidRPr="00CD49CA">
        <w:rPr>
          <w:rFonts w:ascii="Arial" w:hAnsi="Arial" w:cs="Arial"/>
        </w:rPr>
        <w:t xml:space="preserve">que la acción de restitución fuera imprescriptible. Como se desprende de dicho Auto, esta solución sería contraria tanto a los criterios del TJUE, ya expuestos, como a nuestro Derecho Nacional.  </w:t>
      </w:r>
    </w:p>
    <w:bookmarkEnd w:id="21"/>
    <w:p w14:paraId="10A3A080" w14:textId="77777777" w:rsidR="008175AB" w:rsidRDefault="008175AB" w:rsidP="008175AB">
      <w:pPr>
        <w:spacing w:before="240" w:after="240" w:line="360" w:lineRule="auto"/>
        <w:jc w:val="both"/>
        <w:rPr>
          <w:rFonts w:ascii="Arial" w:hAnsi="Arial" w:cs="Arial"/>
          <w:lang w:val="es-ES_tradnl"/>
        </w:rPr>
      </w:pPr>
      <w:r w:rsidRPr="00CD49CA">
        <w:rPr>
          <w:rFonts w:ascii="Arial" w:hAnsi="Arial" w:cs="Arial"/>
        </w:rPr>
        <w:t xml:space="preserve">Sentado lo anterior y teniendo en cuenta la jurisprudencia del TJUE, muchas de nuestras Audiencias Provinciales entienden que dicho conocimiento razonable de la posibilidad de que la cláusula fuera abusiva, y por tanto, de la posibilidad de ejercitar la acción, fue adquirida por el consumidor en el momento en que reparó que tenía que pagar todos los gastos y así se decantan por fijar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en el momento en que el cliente procedió al pago efectivo de las facturas de los gastos reclamados</w:t>
      </w:r>
      <w:r w:rsidRPr="00CD49CA">
        <w:rPr>
          <w:rStyle w:val="Refdenotaalpie"/>
          <w:rFonts w:cs="Arial"/>
        </w:rPr>
        <w:footnoteReference w:id="57"/>
      </w:r>
      <w:r w:rsidRPr="00CD49CA">
        <w:rPr>
          <w:rFonts w:ascii="Arial" w:hAnsi="Arial" w:cs="Arial"/>
          <w:lang w:val="es-ES_tradnl"/>
        </w:rPr>
        <w:t xml:space="preserve">. </w:t>
      </w:r>
      <w:r w:rsidRPr="00CD49CA">
        <w:rPr>
          <w:rFonts w:ascii="Arial" w:hAnsi="Arial" w:cs="Arial"/>
        </w:rPr>
        <w:t xml:space="preserve">Y ello </w:t>
      </w:r>
      <w:proofErr w:type="gramStart"/>
      <w:r w:rsidRPr="00CD49CA">
        <w:rPr>
          <w:rFonts w:ascii="Arial" w:hAnsi="Arial" w:cs="Arial"/>
        </w:rPr>
        <w:t>porque</w:t>
      </w:r>
      <w:proofErr w:type="gramEnd"/>
      <w:r w:rsidRPr="00CD49CA">
        <w:rPr>
          <w:rFonts w:ascii="Arial" w:hAnsi="Arial" w:cs="Arial"/>
        </w:rPr>
        <w:t xml:space="preserve"> aunque la cláusula que se reputa abusiva fuese nula desde el día en que se formalizó el préstamo hipotecario, la acción no podría nacer sino </w:t>
      </w:r>
      <w:r w:rsidRPr="00CD49CA">
        <w:rPr>
          <w:rFonts w:ascii="Arial" w:hAnsi="Arial" w:cs="Arial"/>
          <w:lang w:val="es-ES_tradnl"/>
        </w:rPr>
        <w:t xml:space="preserve">desde el momento del pago, momento en que el consumidor se percató de que tenía que abonar todos los gastos derivados de la formalización de su préstamo hipotecario. </w:t>
      </w:r>
    </w:p>
    <w:p w14:paraId="064E676C" w14:textId="77777777" w:rsidR="00362EA8" w:rsidRPr="00CD49CA" w:rsidRDefault="00362EA8" w:rsidP="00362EA8">
      <w:pPr>
        <w:spacing w:before="240" w:line="360" w:lineRule="auto"/>
        <w:jc w:val="both"/>
        <w:rPr>
          <w:rFonts w:ascii="Arial" w:hAnsi="Arial" w:cs="Arial"/>
          <w:lang w:val="es-ES_tradnl"/>
        </w:rPr>
      </w:pPr>
    </w:p>
    <w:p w14:paraId="7050FB4E"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 xml:space="preserve">Este es el </w:t>
      </w:r>
      <w:r w:rsidRPr="00CD49CA">
        <w:rPr>
          <w:rFonts w:ascii="Arial" w:hAnsi="Arial" w:cs="Arial"/>
          <w:lang w:val="es-ES_tradnl"/>
        </w:rPr>
        <w:t xml:space="preserve">criterio de las sentencias de la Audiencia Provincial de Valencia, Sección 9ª, de 1 de febrero de 2018 (sentencia </w:t>
      </w:r>
      <w:proofErr w:type="spellStart"/>
      <w:r w:rsidRPr="00CD49CA">
        <w:rPr>
          <w:rFonts w:ascii="Arial" w:hAnsi="Arial" w:cs="Arial"/>
          <w:lang w:val="es-ES_tradnl"/>
        </w:rPr>
        <w:t>nº</w:t>
      </w:r>
      <w:proofErr w:type="spellEnd"/>
      <w:r w:rsidRPr="00CD49CA">
        <w:rPr>
          <w:rFonts w:ascii="Arial" w:hAnsi="Arial" w:cs="Arial"/>
          <w:lang w:val="es-ES_tradnl"/>
        </w:rPr>
        <w:t xml:space="preserve"> 66/2018)</w:t>
      </w:r>
      <w:r w:rsidRPr="00CD49CA">
        <w:rPr>
          <w:rStyle w:val="Refdenotaalpie"/>
          <w:rFonts w:cs="Arial"/>
          <w:lang w:val="es-ES_tradnl"/>
        </w:rPr>
        <w:footnoteReference w:id="58"/>
      </w:r>
      <w:r w:rsidRPr="00CD49CA">
        <w:rPr>
          <w:rFonts w:ascii="Arial" w:hAnsi="Arial" w:cs="Arial"/>
          <w:lang w:val="es-ES_tradnl"/>
        </w:rPr>
        <w:t xml:space="preserve"> y el de la Audiencia Provincial de Barcelona, Sección 15ª, de 23 de enero y 16 de octubre de 2019, 10 de septiembre de 2020 (sentencia </w:t>
      </w:r>
      <w:proofErr w:type="spellStart"/>
      <w:r w:rsidRPr="00CD49CA">
        <w:rPr>
          <w:rFonts w:ascii="Arial" w:hAnsi="Arial" w:cs="Arial"/>
          <w:lang w:val="es-ES_tradnl"/>
        </w:rPr>
        <w:t>nº</w:t>
      </w:r>
      <w:proofErr w:type="spellEnd"/>
      <w:r w:rsidRPr="00CD49CA">
        <w:rPr>
          <w:rFonts w:ascii="Arial" w:hAnsi="Arial" w:cs="Arial"/>
          <w:lang w:val="es-ES_tradnl"/>
        </w:rPr>
        <w:t xml:space="preserve"> 1808/2020)</w:t>
      </w:r>
      <w:r w:rsidRPr="00CD49CA">
        <w:rPr>
          <w:rStyle w:val="Refdenotaalpie"/>
          <w:rFonts w:cs="Arial"/>
          <w:lang w:val="es-ES_tradnl"/>
        </w:rPr>
        <w:footnoteReference w:id="59"/>
      </w:r>
      <w:r w:rsidRPr="00CD49CA">
        <w:rPr>
          <w:rFonts w:ascii="Arial" w:hAnsi="Arial" w:cs="Arial"/>
          <w:lang w:val="es-ES_tradnl"/>
        </w:rPr>
        <w:t>, 20 de diciembre de 2020 y la muy reciente de 3 de mayo de 2021</w:t>
      </w:r>
      <w:r w:rsidRPr="00CD49CA">
        <w:rPr>
          <w:rFonts w:ascii="Arial" w:hAnsi="Arial" w:cs="Arial"/>
        </w:rPr>
        <w:t xml:space="preserve">. </w:t>
      </w:r>
    </w:p>
    <w:p w14:paraId="6DC5D100"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Las anteriores resoluciones (y otras muchas posteriores), además, </w:t>
      </w:r>
      <w:r w:rsidRPr="00CD49CA">
        <w:rPr>
          <w:rFonts w:ascii="Arial" w:hAnsi="Arial" w:cs="Arial"/>
          <w:lang w:val="es-ES_tradnl"/>
        </w:rPr>
        <w:t xml:space="preserve">incluyen en su análisis otro elemento relevante tenido en cuenta por los diferentes Tribunales para valorar el </w:t>
      </w:r>
      <w:proofErr w:type="spellStart"/>
      <w:r w:rsidRPr="00CD49CA">
        <w:rPr>
          <w:rFonts w:ascii="Arial" w:hAnsi="Arial" w:cs="Arial"/>
          <w:i/>
          <w:iCs/>
          <w:lang w:val="es-ES_tradnl"/>
        </w:rPr>
        <w:t>dies</w:t>
      </w:r>
      <w:proofErr w:type="spellEnd"/>
      <w:r w:rsidRPr="00CD49CA">
        <w:rPr>
          <w:rFonts w:ascii="Arial" w:hAnsi="Arial" w:cs="Arial"/>
          <w:i/>
          <w:iCs/>
          <w:lang w:val="es-ES_tradnl"/>
        </w:rPr>
        <w:t xml:space="preserve"> a quo </w:t>
      </w:r>
      <w:r w:rsidRPr="00CD49CA">
        <w:rPr>
          <w:rFonts w:ascii="Arial" w:hAnsi="Arial" w:cs="Arial"/>
          <w:lang w:val="es-ES_tradnl"/>
        </w:rPr>
        <w:t xml:space="preserve">que no es otro que el conocimiento generalizado de la potencial </w:t>
      </w:r>
      <w:proofErr w:type="spellStart"/>
      <w:r w:rsidRPr="00CD49CA">
        <w:rPr>
          <w:rFonts w:ascii="Arial" w:hAnsi="Arial" w:cs="Arial"/>
          <w:lang w:val="es-ES_tradnl"/>
        </w:rPr>
        <w:t>abusividad</w:t>
      </w:r>
      <w:proofErr w:type="spellEnd"/>
      <w:r w:rsidRPr="00CD49CA">
        <w:rPr>
          <w:rFonts w:ascii="Arial" w:hAnsi="Arial" w:cs="Arial"/>
          <w:lang w:val="es-ES_tradnl"/>
        </w:rPr>
        <w:t xml:space="preserve"> de la cláusula. Muchos Tribunales, con carácter general, han venido fijando ese momento en la </w:t>
      </w:r>
      <w:r w:rsidRPr="00CD49CA">
        <w:rPr>
          <w:rFonts w:ascii="Arial" w:hAnsi="Arial" w:cs="Arial"/>
        </w:rPr>
        <w:t xml:space="preserve">Sentencia del Tribunal Supremo de 23 de diciembre de 2015 que se pronunció por primera vez sobre una acción colectiva de cesación interpuesta por la OCU en relación con nulidad por abusiva de varias cláusulas, entre ellas, la de imposición de gastos hipotecarios. Las resoluciones mencionadas en el párrafo anterior descartan dicho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w:t>
      </w:r>
      <w:r w:rsidRPr="00CD49CA">
        <w:rPr>
          <w:rFonts w:ascii="Arial" w:hAnsi="Arial" w:cs="Arial"/>
          <w:lang w:val="es-ES_tradnl"/>
        </w:rPr>
        <w:t xml:space="preserve">porque </w:t>
      </w:r>
      <w:r w:rsidRPr="00CD49CA">
        <w:rPr>
          <w:rFonts w:ascii="Arial" w:hAnsi="Arial" w:cs="Arial"/>
        </w:rPr>
        <w:t>consideran que el conocimiento de los consumidores de la posibilidad de ejercitar la acción fue mucho anterior a ese momento acudiendo a los siguientes hitos:</w:t>
      </w:r>
    </w:p>
    <w:p w14:paraId="58EFDBF8"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La litigación masiva en materia de consumo comenzó en 2013, momento en que existían “</w:t>
      </w:r>
      <w:r w:rsidRPr="00CD49CA">
        <w:rPr>
          <w:rFonts w:ascii="Arial" w:hAnsi="Arial"/>
          <w:i/>
          <w:iCs/>
          <w:szCs w:val="20"/>
        </w:rPr>
        <w:t>agresivas campañas de publicidad</w:t>
      </w:r>
      <w:r w:rsidRPr="00CD49CA">
        <w:rPr>
          <w:rFonts w:ascii="Arial" w:hAnsi="Arial"/>
          <w:szCs w:val="20"/>
        </w:rPr>
        <w:t>” y momento en que los consumidores tenían grandes facilidades para ejercitar sus derechos</w:t>
      </w:r>
      <w:r w:rsidRPr="00CD49CA">
        <w:rPr>
          <w:rStyle w:val="Refdenotaalpie"/>
          <w:color w:val="000000"/>
          <w:szCs w:val="20"/>
        </w:rPr>
        <w:footnoteReference w:id="60"/>
      </w:r>
      <w:r w:rsidRPr="00CD49CA">
        <w:rPr>
          <w:rFonts w:ascii="Arial" w:hAnsi="Arial"/>
          <w:szCs w:val="20"/>
        </w:rPr>
        <w:t xml:space="preserve">. </w:t>
      </w:r>
    </w:p>
    <w:p w14:paraId="04D69363"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La Audiencia Provincial de Barcelona indicó que en noviembre de 2015 dictó su primera resolución en materia de gastos hipotecarios “</w:t>
      </w:r>
      <w:r w:rsidRPr="00CD49CA">
        <w:rPr>
          <w:rFonts w:ascii="Arial" w:hAnsi="Arial"/>
          <w:i/>
          <w:iCs/>
          <w:szCs w:val="20"/>
          <w:lang w:val="es-ES_tradnl"/>
        </w:rPr>
        <w:t>antes que el propio Tribunal Supremo (Sentencia de 18 de noviembre de 2015), en un procedimiento iniciado a principios del año 2013 y cuando proliferaban este tipo de acciones</w:t>
      </w:r>
      <w:r w:rsidRPr="00CD49CA">
        <w:rPr>
          <w:rFonts w:ascii="Arial" w:hAnsi="Arial"/>
          <w:szCs w:val="20"/>
          <w:lang w:val="es-ES_tradnl"/>
        </w:rPr>
        <w:t>”</w:t>
      </w:r>
    </w:p>
    <w:p w14:paraId="36E0EBB9"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La Sentencia del Tribunal Supremo de 23 de diciembre de 2015 “</w:t>
      </w:r>
      <w:r w:rsidRPr="00CD49CA">
        <w:rPr>
          <w:rFonts w:ascii="Arial" w:hAnsi="Arial"/>
          <w:i/>
          <w:iCs/>
          <w:szCs w:val="20"/>
          <w:lang w:val="es-ES_tradnl"/>
        </w:rPr>
        <w:t>se dictó en casación en un procedimiento iniciado muchos años antes, lo que prueba que los consumidores pudieron ejercitar la acción con mucha antelación</w:t>
      </w:r>
      <w:r w:rsidRPr="00CD49CA">
        <w:rPr>
          <w:rFonts w:ascii="Arial" w:hAnsi="Arial"/>
          <w:szCs w:val="20"/>
          <w:lang w:val="es-ES_tradnl"/>
        </w:rPr>
        <w:t>”</w:t>
      </w:r>
      <w:r w:rsidRPr="00CD49CA">
        <w:rPr>
          <w:rStyle w:val="Refdenotaalpie"/>
          <w:szCs w:val="20"/>
          <w:lang w:val="es-ES_tradnl"/>
        </w:rPr>
        <w:footnoteReference w:id="61"/>
      </w:r>
      <w:r w:rsidRPr="00CD49CA">
        <w:rPr>
          <w:rFonts w:ascii="Arial" w:hAnsi="Arial"/>
          <w:szCs w:val="20"/>
          <w:lang w:val="es-ES_tradnl"/>
        </w:rPr>
        <w:t xml:space="preserve">. Esta resolución tuvo una gran difusión gracias al contexto de litigación masiva que ya existía al respecto, con lo que la resolución fue conocida por la gran mayoría de los consumidores medios que pudieran estar afectados. Esta gran difusión en medios de comunicación de resoluciones judiciales ha sido tenida en cuenta por el Pleno del Tribunal Supremo, </w:t>
      </w:r>
      <w:r w:rsidRPr="00CD49CA">
        <w:rPr>
          <w:rFonts w:ascii="Arial" w:hAnsi="Arial"/>
          <w:szCs w:val="20"/>
        </w:rPr>
        <w:t>con ocasión de las cláusulas suelo</w:t>
      </w:r>
      <w:r w:rsidRPr="00CD49CA">
        <w:rPr>
          <w:rStyle w:val="Refdenotaalpie"/>
          <w:szCs w:val="20"/>
        </w:rPr>
        <w:footnoteReference w:id="62"/>
      </w:r>
      <w:r w:rsidRPr="00CD49CA">
        <w:rPr>
          <w:rFonts w:ascii="Arial" w:hAnsi="Arial"/>
          <w:szCs w:val="20"/>
        </w:rPr>
        <w:t xml:space="preserve">, para arrojar </w:t>
      </w:r>
      <w:r w:rsidRPr="00CD49CA">
        <w:rPr>
          <w:rFonts w:ascii="Arial" w:hAnsi="Arial"/>
          <w:szCs w:val="20"/>
        </w:rPr>
        <w:lastRenderedPageBreak/>
        <w:t xml:space="preserve">luz sobre el momento en que el consumidor tuvo razonable conocimiento de la potencial </w:t>
      </w:r>
      <w:proofErr w:type="spellStart"/>
      <w:r w:rsidRPr="00CD49CA">
        <w:rPr>
          <w:rFonts w:ascii="Arial" w:hAnsi="Arial"/>
          <w:szCs w:val="20"/>
        </w:rPr>
        <w:t>abusividad</w:t>
      </w:r>
      <w:proofErr w:type="spellEnd"/>
      <w:r w:rsidRPr="00CD49CA">
        <w:rPr>
          <w:rFonts w:ascii="Arial" w:hAnsi="Arial"/>
          <w:szCs w:val="20"/>
        </w:rPr>
        <w:t xml:space="preserve"> de la cláusula y pudo ejercitar la acción. </w:t>
      </w:r>
    </w:p>
    <w:p w14:paraId="6DBFD8DE"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El Juzgado de Primera Instancia </w:t>
      </w:r>
      <w:proofErr w:type="spellStart"/>
      <w:r w:rsidRPr="00CD49CA">
        <w:rPr>
          <w:rFonts w:ascii="Arial" w:hAnsi="Arial" w:cs="Arial"/>
        </w:rPr>
        <w:t>nº</w:t>
      </w:r>
      <w:proofErr w:type="spellEnd"/>
      <w:r w:rsidRPr="00CD49CA">
        <w:rPr>
          <w:rFonts w:ascii="Arial" w:hAnsi="Arial" w:cs="Arial"/>
        </w:rPr>
        <w:t xml:space="preserve"> 20 de Barcelona acordó en su auto de 22 de julio de 2021 elevar cuestión prejudicial planteando exponiendo precisamente las tesis anteriores y solicitando al TJUE que se pronuncie sobre la compatibilidad con el Derecho Europeo de fijar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(i) en la declaración individual de nulidad (algo que ya ha descartado el propio Tribunal Supremo en el Auto Cuestión Prejudicial GH por ser contrario a la seguridad jurídica); (</w:t>
      </w:r>
      <w:proofErr w:type="spellStart"/>
      <w:r w:rsidRPr="00CD49CA">
        <w:rPr>
          <w:rFonts w:ascii="Arial" w:hAnsi="Arial" w:cs="Arial"/>
        </w:rPr>
        <w:t>ii</w:t>
      </w:r>
      <w:proofErr w:type="spellEnd"/>
      <w:r w:rsidRPr="00CD49CA">
        <w:rPr>
          <w:rFonts w:ascii="Arial" w:hAnsi="Arial" w:cs="Arial"/>
        </w:rPr>
        <w:t xml:space="preserve">) en una sentencia del Tribunal Supremo declarando la </w:t>
      </w:r>
      <w:proofErr w:type="spellStart"/>
      <w:r w:rsidRPr="00CD49CA">
        <w:rPr>
          <w:rFonts w:ascii="Arial" w:hAnsi="Arial" w:cs="Arial"/>
        </w:rPr>
        <w:t>abusividad</w:t>
      </w:r>
      <w:proofErr w:type="spellEnd"/>
      <w:r w:rsidRPr="00CD49CA">
        <w:rPr>
          <w:rFonts w:ascii="Arial" w:hAnsi="Arial" w:cs="Arial"/>
        </w:rPr>
        <w:t xml:space="preserve"> de la cláusula (en referencia a la Sentencia del Tribunal Supremo de 23 de diciembre de 2015) “</w:t>
      </w:r>
      <w:r w:rsidRPr="00CD49CA">
        <w:rPr>
          <w:rFonts w:ascii="Arial" w:hAnsi="Arial" w:cs="Arial"/>
          <w:i/>
          <w:iCs/>
          <w:lang w:val="es-ES_tradnl"/>
        </w:rPr>
        <w:t>con independencia de que el consumidor concreto conozca o no el contenido de esa sentencia</w:t>
      </w:r>
      <w:r w:rsidRPr="00CD49CA">
        <w:rPr>
          <w:rFonts w:ascii="Arial" w:hAnsi="Arial" w:cs="Arial"/>
          <w:lang w:val="es-ES_tradnl"/>
        </w:rPr>
        <w:t>”</w:t>
      </w:r>
      <w:r w:rsidRPr="00CD49CA">
        <w:rPr>
          <w:rFonts w:ascii="Arial" w:hAnsi="Arial" w:cs="Arial"/>
        </w:rPr>
        <w:t>; o (</w:t>
      </w:r>
      <w:proofErr w:type="spellStart"/>
      <w:r w:rsidRPr="00CD49CA">
        <w:rPr>
          <w:rFonts w:ascii="Arial" w:hAnsi="Arial" w:cs="Arial"/>
        </w:rPr>
        <w:t>iii</w:t>
      </w:r>
      <w:proofErr w:type="spellEnd"/>
      <w:r w:rsidRPr="00CD49CA">
        <w:rPr>
          <w:rFonts w:ascii="Arial" w:hAnsi="Arial" w:cs="Arial"/>
        </w:rPr>
        <w:t xml:space="preserve">) en el pago efectivo de los gastos reclamados. </w:t>
      </w:r>
    </w:p>
    <w:p w14:paraId="73EFB37B"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Por su parte, el Tribunal Supremo, en el Auto Cuestión Prejudicial GH, parece ir más allá al plantear al TJUE la posibilidad de que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fuera: (i) bien “</w:t>
      </w:r>
      <w:r w:rsidRPr="00CD49CA">
        <w:rPr>
          <w:rFonts w:ascii="Arial" w:hAnsi="Arial" w:cs="Arial"/>
          <w:i/>
          <w:iCs/>
        </w:rPr>
        <w:t xml:space="preserve">aquel en que el Tribunal Supremo dictó una serie de sentencias uniformes en que declaró que las cláusulas que atribuían al consumidor el pago de todos los gastos del contrato eran </w:t>
      </w:r>
      <w:proofErr w:type="spellStart"/>
      <w:r w:rsidRPr="00CD49CA">
        <w:rPr>
          <w:rFonts w:ascii="Arial" w:hAnsi="Arial" w:cs="Arial"/>
          <w:i/>
          <w:iCs/>
        </w:rPr>
        <w:t>abusividad</w:t>
      </w:r>
      <w:proofErr w:type="spellEnd"/>
      <w:r w:rsidRPr="00CD49CA">
        <w:rPr>
          <w:rFonts w:ascii="Arial" w:hAnsi="Arial" w:cs="Arial"/>
          <w:i/>
          <w:iCs/>
        </w:rPr>
        <w:t xml:space="preserve"> y decidió cómo debían distribuirse tales gastos; </w:t>
      </w:r>
      <w:r w:rsidRPr="00CD49CA">
        <w:rPr>
          <w:rFonts w:ascii="Arial" w:hAnsi="Arial" w:cs="Arial"/>
        </w:rPr>
        <w:t>o (</w:t>
      </w:r>
      <w:proofErr w:type="spellStart"/>
      <w:r w:rsidRPr="00CD49CA">
        <w:rPr>
          <w:rFonts w:ascii="Arial" w:hAnsi="Arial" w:cs="Arial"/>
        </w:rPr>
        <w:t>ii</w:t>
      </w:r>
      <w:proofErr w:type="spellEnd"/>
      <w:r w:rsidRPr="00CD49CA">
        <w:rPr>
          <w:rFonts w:ascii="Arial" w:hAnsi="Arial" w:cs="Arial"/>
        </w:rPr>
        <w:t xml:space="preserve">) bien aquel en que el TJUE </w:t>
      </w:r>
      <w:r w:rsidRPr="00CD49CA">
        <w:rPr>
          <w:rFonts w:ascii="Arial" w:hAnsi="Arial" w:cs="Arial"/>
          <w:i/>
          <w:iCs/>
        </w:rPr>
        <w:t>“admitió que la acción de restitución podía estar sujeta a un plazo de prescripción</w:t>
      </w:r>
      <w:r w:rsidRPr="00CD49CA">
        <w:rPr>
          <w:rFonts w:ascii="Arial" w:hAnsi="Arial" w:cs="Arial"/>
        </w:rPr>
        <w:t xml:space="preserve">”. Dichas opciones, según el Tribunal Supremo, llevarían a fijar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(i) en enero de 2019 o (</w:t>
      </w:r>
      <w:proofErr w:type="spellStart"/>
      <w:r w:rsidRPr="00CD49CA">
        <w:rPr>
          <w:rFonts w:ascii="Arial" w:hAnsi="Arial" w:cs="Arial"/>
        </w:rPr>
        <w:t>ii</w:t>
      </w:r>
      <w:proofErr w:type="spellEnd"/>
      <w:r w:rsidRPr="00CD49CA">
        <w:rPr>
          <w:rFonts w:ascii="Arial" w:hAnsi="Arial" w:cs="Arial"/>
        </w:rPr>
        <w:t xml:space="preserve">) en 2020. Sin embargo, </w:t>
      </w:r>
      <w:bookmarkStart w:id="22" w:name="_Hlk83302864"/>
      <w:r w:rsidRPr="00CD49CA">
        <w:rPr>
          <w:rFonts w:ascii="Arial" w:hAnsi="Arial" w:cs="Arial"/>
        </w:rPr>
        <w:t xml:space="preserve">la fijación de una fecha concreta referenciada a una sentencia, sin tener en cuenta las circunstancias del caso, no puede ser validado por el TJUE. Así lo determina, entre otras, la SAP de 20 de diciembre de 2020 al analizar la STJUE de 16 de julio de 2020 asunto </w:t>
      </w:r>
      <w:proofErr w:type="spellStart"/>
      <w:r w:rsidRPr="00CD49CA">
        <w:rPr>
          <w:rFonts w:ascii="Arial" w:hAnsi="Arial" w:cs="Arial"/>
          <w:i/>
          <w:iCs/>
        </w:rPr>
        <w:t>Caixabank</w:t>
      </w:r>
      <w:proofErr w:type="spellEnd"/>
      <w:r w:rsidRPr="00CD49CA">
        <w:rPr>
          <w:rFonts w:ascii="Arial" w:hAnsi="Arial" w:cs="Arial"/>
        </w:rPr>
        <w:t xml:space="preserve"> y concluir que el respeto del principio efectividad en la fijación de un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no exige acudir a una determinada resolución (la Sentencia del Tribunal Supremo de 23 de diciembre de 2015 en ese caso) para entender que existe la certeza, lo que exige es determinar un momento que garantice al consumidor un plazo lo suficientemente amplio para que pueda ejercitar sus derechos: </w:t>
      </w:r>
    </w:p>
    <w:p w14:paraId="4DC5792F" w14:textId="77777777" w:rsidR="008175AB" w:rsidRDefault="008175AB" w:rsidP="008175AB">
      <w:pPr>
        <w:spacing w:before="240" w:after="240" w:line="360" w:lineRule="auto"/>
        <w:ind w:firstLine="567"/>
        <w:jc w:val="both"/>
        <w:rPr>
          <w:rFonts w:ascii="Arial" w:hAnsi="Arial" w:cs="Arial"/>
          <w:i/>
          <w:iCs/>
          <w:lang w:val="es-ES_tradnl"/>
        </w:rPr>
      </w:pPr>
      <w:r w:rsidRPr="00CD49CA">
        <w:rPr>
          <w:rFonts w:ascii="Arial" w:hAnsi="Arial" w:cs="Arial"/>
          <w:lang w:val="es-ES_tradnl"/>
        </w:rPr>
        <w:t>“</w:t>
      </w:r>
      <w:r w:rsidRPr="00CD49CA">
        <w:rPr>
          <w:rFonts w:ascii="Arial" w:hAnsi="Arial" w:cs="Arial"/>
          <w:i/>
          <w:iCs/>
          <w:lang w:val="es-ES_tradnl"/>
        </w:rPr>
        <w:t xml:space="preserve">26. La Sentencia del </w:t>
      </w:r>
      <w:r w:rsidRPr="00CD49CA">
        <w:rPr>
          <w:rFonts w:ascii="Arial" w:hAnsi="Arial" w:cs="Arial"/>
          <w:i/>
          <w:iCs/>
          <w:u w:val="single"/>
          <w:lang w:val="es-ES_tradnl"/>
        </w:rPr>
        <w:t>TJUE no exige que el plazo de prescripción empiece a correr a partir del momento en que el consumidor tiene la certeza, sustentada en un criterio jurisprudencial consolidado, de que la cláusula es abusiva, lo que implicaría admitir que no están sujetas a prescripción las acciones sobre materias en las que el Tribunal Supremo todavía no se ha pronunciado</w:t>
      </w:r>
      <w:r w:rsidRPr="00CD49CA">
        <w:rPr>
          <w:rFonts w:ascii="Arial" w:hAnsi="Arial" w:cs="Arial"/>
          <w:i/>
          <w:iCs/>
          <w:lang w:val="es-ES_tradnl"/>
        </w:rPr>
        <w:t xml:space="preserve">. Y mucho menos que se aplique desde ese momento el plazo íntegro, cualquiera que sea su duración y con independencia de la antigüedad de los contratos a los que se aplique. </w:t>
      </w:r>
      <w:r w:rsidRPr="00CD49CA">
        <w:rPr>
          <w:rFonts w:ascii="Arial" w:hAnsi="Arial" w:cs="Arial"/>
          <w:b/>
          <w:bCs/>
          <w:i/>
          <w:iCs/>
          <w:u w:val="single"/>
          <w:lang w:val="es-ES_tradnl"/>
        </w:rPr>
        <w:t>Basta con que el consumidor disponga de un margen temporal suficiente para constatar que la cláusula puede ser abusiva, lo que dependerá del tipo de cláusula de que se trate, de la duración del plazo y la forma de computarlo</w:t>
      </w:r>
      <w:r w:rsidRPr="00CD49CA">
        <w:rPr>
          <w:rFonts w:ascii="Arial" w:hAnsi="Arial" w:cs="Arial"/>
          <w:i/>
          <w:iCs/>
          <w:lang w:val="es-ES_tradnl"/>
        </w:rPr>
        <w:t>.</w:t>
      </w:r>
    </w:p>
    <w:p w14:paraId="598D1048" w14:textId="77777777" w:rsidR="00362EA8" w:rsidRPr="00CD49CA" w:rsidRDefault="00362EA8" w:rsidP="008175AB">
      <w:pPr>
        <w:spacing w:before="240" w:after="240" w:line="360" w:lineRule="auto"/>
        <w:ind w:firstLine="567"/>
        <w:jc w:val="both"/>
        <w:rPr>
          <w:rFonts w:ascii="Arial" w:hAnsi="Arial" w:cs="Arial"/>
          <w:i/>
          <w:iCs/>
          <w:lang w:val="es-ES_tradnl"/>
        </w:rPr>
      </w:pPr>
    </w:p>
    <w:p w14:paraId="2BC6D186"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lastRenderedPageBreak/>
        <w:t xml:space="preserve">Efectivamente, y como ya hemos indicado en los párrafos </w:t>
      </w:r>
      <w:r w:rsidRPr="00CD49CA">
        <w:rPr>
          <w:rFonts w:ascii="Arial" w:hAnsi="Arial" w:cs="Arial"/>
        </w:rPr>
        <w:fldChar w:fldCharType="begin"/>
      </w:r>
      <w:r w:rsidRPr="00CD49CA">
        <w:rPr>
          <w:rFonts w:ascii="Arial" w:hAnsi="Arial" w:cs="Arial"/>
        </w:rPr>
        <w:instrText xml:space="preserve"> REF _Ref74758751 \r \h  \* MERGEFORMAT </w:instrText>
      </w:r>
      <w:r w:rsidRPr="00CD49CA">
        <w:rPr>
          <w:rFonts w:ascii="Arial" w:hAnsi="Arial" w:cs="Arial"/>
        </w:rPr>
      </w:r>
      <w:r w:rsidRPr="00CD49CA">
        <w:rPr>
          <w:rFonts w:ascii="Arial" w:hAnsi="Arial" w:cs="Arial"/>
        </w:rPr>
        <w:fldChar w:fldCharType="separate"/>
      </w:r>
      <w:r w:rsidRPr="00CD49CA">
        <w:rPr>
          <w:rFonts w:ascii="Arial" w:hAnsi="Arial" w:cs="Arial"/>
        </w:rPr>
        <w:t>17</w:t>
      </w:r>
      <w:r w:rsidRPr="00CD49CA">
        <w:rPr>
          <w:rFonts w:ascii="Arial" w:hAnsi="Arial" w:cs="Arial"/>
        </w:rPr>
        <w:fldChar w:fldCharType="end"/>
      </w:r>
      <w:r w:rsidRPr="00CD49CA">
        <w:rPr>
          <w:rFonts w:ascii="Arial" w:hAnsi="Arial" w:cs="Arial"/>
        </w:rPr>
        <w:t xml:space="preserve"> y </w:t>
      </w:r>
      <w:r w:rsidRPr="00CD49CA">
        <w:rPr>
          <w:rFonts w:ascii="Arial" w:hAnsi="Arial" w:cs="Arial"/>
        </w:rPr>
        <w:fldChar w:fldCharType="begin"/>
      </w:r>
      <w:r w:rsidRPr="00CD49CA">
        <w:rPr>
          <w:rFonts w:ascii="Arial" w:hAnsi="Arial" w:cs="Arial"/>
        </w:rPr>
        <w:instrText xml:space="preserve"> REF _Ref82445566 \r \h  \* MERGEFORMAT </w:instrText>
      </w:r>
      <w:r w:rsidRPr="00CD49CA">
        <w:rPr>
          <w:rFonts w:ascii="Arial" w:hAnsi="Arial" w:cs="Arial"/>
        </w:rPr>
      </w:r>
      <w:r w:rsidRPr="00CD49CA">
        <w:rPr>
          <w:rFonts w:ascii="Arial" w:hAnsi="Arial" w:cs="Arial"/>
        </w:rPr>
        <w:fldChar w:fldCharType="separate"/>
      </w:r>
      <w:r w:rsidRPr="00CD49CA">
        <w:rPr>
          <w:rFonts w:ascii="Arial" w:hAnsi="Arial" w:cs="Arial"/>
        </w:rPr>
        <w:t>48</w:t>
      </w:r>
      <w:r w:rsidRPr="00CD49CA">
        <w:rPr>
          <w:rFonts w:ascii="Arial" w:hAnsi="Arial" w:cs="Arial"/>
        </w:rPr>
        <w:fldChar w:fldCharType="end"/>
      </w:r>
      <w:r w:rsidRPr="00CD49CA">
        <w:rPr>
          <w:rFonts w:ascii="Arial" w:hAnsi="Arial" w:cs="Arial"/>
        </w:rPr>
        <w:t xml:space="preserve"> anteriores, el TJUE es claro al fijar el </w:t>
      </w:r>
      <w:proofErr w:type="spellStart"/>
      <w:r w:rsidRPr="00CD49CA">
        <w:rPr>
          <w:rFonts w:ascii="Arial" w:hAnsi="Arial" w:cs="Arial"/>
          <w:i/>
          <w:iCs/>
        </w:rPr>
        <w:t>dies</w:t>
      </w:r>
      <w:proofErr w:type="spellEnd"/>
      <w:r w:rsidRPr="00CD49CA">
        <w:rPr>
          <w:rFonts w:ascii="Arial" w:hAnsi="Arial" w:cs="Arial"/>
          <w:i/>
          <w:iCs/>
        </w:rPr>
        <w:t xml:space="preserve"> a quo</w:t>
      </w:r>
      <w:r w:rsidRPr="00CD49CA">
        <w:rPr>
          <w:rFonts w:ascii="Arial" w:hAnsi="Arial" w:cs="Arial"/>
        </w:rPr>
        <w:t xml:space="preserve"> en el momento en que el consumidor pudo conocer razonablemente la potencial </w:t>
      </w:r>
      <w:proofErr w:type="spellStart"/>
      <w:r w:rsidRPr="00CD49CA">
        <w:rPr>
          <w:rFonts w:ascii="Arial" w:hAnsi="Arial" w:cs="Arial"/>
        </w:rPr>
        <w:t>abusividad</w:t>
      </w:r>
      <w:proofErr w:type="spellEnd"/>
      <w:r w:rsidRPr="00CD49CA">
        <w:rPr>
          <w:rFonts w:ascii="Arial" w:hAnsi="Arial" w:cs="Arial"/>
        </w:rPr>
        <w:t xml:space="preserve">, momento que no coincide ni con resoluciones que se limiten a definir unos potenciales efectos económicos de la declaración de </w:t>
      </w:r>
      <w:proofErr w:type="spellStart"/>
      <w:r w:rsidRPr="00CD49CA">
        <w:rPr>
          <w:rFonts w:ascii="Arial" w:hAnsi="Arial" w:cs="Arial"/>
        </w:rPr>
        <w:t>abusividad</w:t>
      </w:r>
      <w:proofErr w:type="spellEnd"/>
      <w:r w:rsidRPr="00CD49CA">
        <w:rPr>
          <w:rFonts w:ascii="Arial" w:hAnsi="Arial" w:cs="Arial"/>
        </w:rPr>
        <w:t xml:space="preserve"> (STS de 23 de enero de 2019) asumiendo esa potencial </w:t>
      </w:r>
      <w:proofErr w:type="spellStart"/>
      <w:r w:rsidRPr="00CD49CA">
        <w:rPr>
          <w:rFonts w:ascii="Arial" w:hAnsi="Arial" w:cs="Arial"/>
        </w:rPr>
        <w:t>abusividad</w:t>
      </w:r>
      <w:proofErr w:type="spellEnd"/>
      <w:r w:rsidRPr="00CD49CA">
        <w:rPr>
          <w:rFonts w:ascii="Arial" w:hAnsi="Arial" w:cs="Arial"/>
        </w:rPr>
        <w:t xml:space="preserve">;  o resoluciones que analicen el carácter prescriptible o no de la acción ejercitada (sentencias del TJUE mencionadas en dicho auto). </w:t>
      </w:r>
    </w:p>
    <w:p w14:paraId="0560C62B"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 xml:space="preserve">Si nos centramos en los gastos hipotecarios y atendiendo al criterio del conocimiento generalizado de la potencial </w:t>
      </w:r>
      <w:proofErr w:type="spellStart"/>
      <w:r w:rsidRPr="00CD49CA">
        <w:rPr>
          <w:rFonts w:ascii="Arial" w:hAnsi="Arial" w:cs="Arial"/>
        </w:rPr>
        <w:t>abusividad</w:t>
      </w:r>
      <w:proofErr w:type="spellEnd"/>
      <w:r w:rsidRPr="00CD49CA">
        <w:rPr>
          <w:rFonts w:ascii="Arial" w:hAnsi="Arial" w:cs="Arial"/>
        </w:rPr>
        <w:t xml:space="preserve"> de la cláusula (que podemos entender que determinaría el momento en que cualquier consumidor habría estado en condiciones de ejercitar la acción), </w:t>
      </w:r>
      <w:bookmarkStart w:id="23" w:name="_Hlk80788135"/>
      <w:r w:rsidRPr="00CD49CA">
        <w:rPr>
          <w:rFonts w:ascii="Arial" w:hAnsi="Arial" w:cs="Arial"/>
        </w:rPr>
        <w:t xml:space="preserve">el criterio de la posibilidad de conocimiento razonable que exige el TJUE y, aunque parezca obviarlo el Auto Cuestión Prejudicial GH, también el propio Tribunal Supremo y las Audiencias Provinciales, remite a un juicio de razonabilidad por el cual el juzgador debe determinar si, a la vista de las circunstancias de un momento determinado, el consumidor podría ver razonable ejercitar la acción. Y, en este sentido, podría concluirse que ni la ausencia de una doctrina jurisprudencial clara que declara la </w:t>
      </w:r>
      <w:proofErr w:type="spellStart"/>
      <w:r w:rsidRPr="00CD49CA">
        <w:rPr>
          <w:rFonts w:ascii="Arial" w:hAnsi="Arial" w:cs="Arial"/>
        </w:rPr>
        <w:t>abusividad</w:t>
      </w:r>
      <w:proofErr w:type="spellEnd"/>
      <w:r w:rsidRPr="00CD49CA">
        <w:rPr>
          <w:rFonts w:ascii="Arial" w:hAnsi="Arial" w:cs="Arial"/>
        </w:rPr>
        <w:t xml:space="preserve"> de la cláusula ni, en general, la existencia de dudas jurídicas sobre la viabilidad de la acción son circunstancias determinantes de la imposibilidad o </w:t>
      </w:r>
      <w:proofErr w:type="spellStart"/>
      <w:r w:rsidRPr="00CD49CA">
        <w:rPr>
          <w:rFonts w:ascii="Arial" w:hAnsi="Arial" w:cs="Arial"/>
        </w:rPr>
        <w:t>irrazonabilidad</w:t>
      </w:r>
      <w:proofErr w:type="spellEnd"/>
      <w:r w:rsidRPr="00CD49CA">
        <w:rPr>
          <w:rFonts w:ascii="Arial" w:hAnsi="Arial" w:cs="Arial"/>
        </w:rPr>
        <w:t xml:space="preserve"> de la reclamación. Solo una jurisprudencia que descartara de raíz tal acción podría considerarse relevante para concluir que era irrazonable la formulación de la reclamación.</w:t>
      </w:r>
      <w:bookmarkEnd w:id="23"/>
    </w:p>
    <w:bookmarkEnd w:id="22"/>
    <w:p w14:paraId="6C9F13D8"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rPr>
        <w:t>Teniendo lo anterior en mente, podemos afirmar que desde 2013 nos encontrábamos en un contexto de litigación masiva en materia de consumo con campañas agresivas de los despachos para fomentar este tipo de litigios. La Sentencia del Tribunal Supremo de 23 de diciembre de 2015 no fue más que un hito adicional y confirmatorio del conocimiento razonable de los consumidores que provocó una explosión en la litigación en esta materia concreta a partir de 2016. Para cuando el Tribunal Supremo dictó la sentencia de 23 de enero de 2019, la litigación masiva en materia de gastos hipotecarios era sobradamente conocida y no existía un solo consumidor que no estuviera al tanto de la situación. Veámoslo:</w:t>
      </w:r>
    </w:p>
    <w:p w14:paraId="2DC93676"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El exponencial incremento de la litigiosidad bancaria se inició en 2013 con dos resoluciones de gran relevancia, que supusieron un punto de inflexión en la toma de conciencia de los consumidores de sus derechos emanados de la Directiva 93/13:</w:t>
      </w:r>
    </w:p>
    <w:p w14:paraId="1B3B2369" w14:textId="77777777" w:rsidR="008175AB" w:rsidRPr="00CD49CA" w:rsidRDefault="008175AB" w:rsidP="008175AB">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La STJUE de 14 de marzo de 2013 (</w:t>
      </w:r>
      <w:proofErr w:type="spellStart"/>
      <w:r w:rsidRPr="00CD49CA">
        <w:rPr>
          <w:rFonts w:ascii="Arial" w:hAnsi="Arial"/>
          <w:i/>
          <w:iCs/>
          <w:szCs w:val="20"/>
        </w:rPr>
        <w:t>Aziz</w:t>
      </w:r>
      <w:proofErr w:type="spellEnd"/>
      <w:r w:rsidRPr="00CD49CA">
        <w:rPr>
          <w:rFonts w:ascii="Arial" w:hAnsi="Arial"/>
          <w:szCs w:val="20"/>
        </w:rPr>
        <w:t>, C</w:t>
      </w:r>
      <w:r w:rsidRPr="00CD49CA">
        <w:rPr>
          <w:rFonts w:ascii="Cambria Math" w:hAnsi="Cambria Math" w:cs="Cambria Math"/>
          <w:szCs w:val="20"/>
        </w:rPr>
        <w:t>‑</w:t>
      </w:r>
      <w:r w:rsidRPr="00CD49CA">
        <w:rPr>
          <w:rFonts w:ascii="Arial" w:hAnsi="Arial"/>
          <w:szCs w:val="20"/>
        </w:rPr>
        <w:t xml:space="preserve">415/11), que fue un hito relevante en materia de cláusulas abusivas y en la interpretación de la Directiva 93/13 en relación con determinadas cláusulas e incluso motivó la reforma legal de parte de nuestro sistema de ejecución hipotecaria. El TJUE analizó determinadas estipulaciones incorporadas en un préstamo hipotecario desde el prisma normativo de las cláusulas abusivas, por lo </w:t>
      </w:r>
      <w:r w:rsidRPr="00CD49CA">
        <w:rPr>
          <w:rFonts w:ascii="Arial" w:hAnsi="Arial"/>
          <w:szCs w:val="20"/>
        </w:rPr>
        <w:lastRenderedPageBreak/>
        <w:t xml:space="preserve">que ya se podía aventurar la importancia y alcance de ese control sobre el clausulado no negociado de los contratos de préstamo hipotecario. </w:t>
      </w:r>
    </w:p>
    <w:p w14:paraId="46CA451E" w14:textId="77777777" w:rsidR="008175AB" w:rsidRPr="00CD49CA" w:rsidRDefault="008175AB" w:rsidP="008175AB">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 xml:space="preserve">La Sentencia del Tribunal Supremo n.º 241/2013, de 9 de mayo que, en sede de una acción colectiva de cesación, declaró la nulidad por falta de transparencia y </w:t>
      </w:r>
      <w:proofErr w:type="spellStart"/>
      <w:r w:rsidRPr="00CD49CA">
        <w:rPr>
          <w:rFonts w:ascii="Arial" w:hAnsi="Arial"/>
          <w:szCs w:val="20"/>
        </w:rPr>
        <w:t>abusividad</w:t>
      </w:r>
      <w:proofErr w:type="spellEnd"/>
      <w:r w:rsidRPr="00CD49CA">
        <w:rPr>
          <w:rFonts w:ascii="Arial" w:hAnsi="Arial"/>
          <w:szCs w:val="20"/>
        </w:rPr>
        <w:t xml:space="preserve"> de las cláusulas suelo, configuró con extensión y detalle los derechos del consumidor (particularmente, los controles de incorporación, transparencia y </w:t>
      </w:r>
      <w:proofErr w:type="spellStart"/>
      <w:r w:rsidRPr="00CD49CA">
        <w:rPr>
          <w:rFonts w:ascii="Arial" w:hAnsi="Arial"/>
          <w:szCs w:val="20"/>
        </w:rPr>
        <w:t>abusividad</w:t>
      </w:r>
      <w:proofErr w:type="spellEnd"/>
      <w:r w:rsidRPr="00CD49CA">
        <w:rPr>
          <w:rFonts w:ascii="Arial" w:hAnsi="Arial"/>
          <w:szCs w:val="20"/>
        </w:rPr>
        <w:t xml:space="preserve">) y fue el detonante de la litigación relativa a las cláusulas abusivas en el ámbito específico de la suscripción de préstamos hipotecarios con consumidores.   </w:t>
      </w:r>
    </w:p>
    <w:p w14:paraId="58CA5ECC" w14:textId="77777777" w:rsidR="008175AB" w:rsidRPr="00CD49CA" w:rsidRDefault="008175AB" w:rsidP="008175AB">
      <w:pPr>
        <w:pStyle w:val="Prrafodelista"/>
        <w:spacing w:before="240" w:after="240" w:line="360" w:lineRule="auto"/>
        <w:ind w:left="1134"/>
        <w:contextualSpacing w:val="0"/>
        <w:jc w:val="both"/>
        <w:rPr>
          <w:rFonts w:ascii="Arial" w:hAnsi="Arial"/>
          <w:szCs w:val="20"/>
        </w:rPr>
      </w:pPr>
      <w:r w:rsidRPr="00CD49CA">
        <w:rPr>
          <w:rFonts w:ascii="Arial" w:hAnsi="Arial"/>
          <w:szCs w:val="20"/>
        </w:rPr>
        <w:t xml:space="preserve">A raíz de esa jurisprudencia del TJUE y del Tribunal Supremo, con independencia de que ninguna de esas resoluciones se hubiera pronunciado expresamente sobre la cláusula de gastos hipotecarios, se puede justificar que los consumidores pudieron razonablemente conocer el alcance y amplitud de sus derechos al amparo de la Directiva 93/13. </w:t>
      </w:r>
    </w:p>
    <w:p w14:paraId="66A39C36"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Las anteriores resoluciones, además y como indica acertadamente la Audiencia Provincial de Barcelona, marcaron el inicio en España de un contexto claro de litigación masiva de consumidores frente a las entidades bancarias con base en la normativa de protección de consumidores. Entre 2013 y 2014 existieron campañas masivas por parte de asociaciones y despachos en diferentes medios de comunicación gracias a las cuales los consumidores pudieron tomar conocimiento de las potenciales acciones que podían emprender contra sus respectivas entidades bancarias en relación con cláusulas que considerasen abusivas.</w:t>
      </w:r>
    </w:p>
    <w:p w14:paraId="2DACB73C" w14:textId="77777777" w:rsidR="008175AB" w:rsidRPr="00CD49CA" w:rsidRDefault="008175AB" w:rsidP="008175AB">
      <w:pPr>
        <w:pStyle w:val="Prrafodelista"/>
        <w:spacing w:before="240" w:after="240" w:line="360" w:lineRule="auto"/>
        <w:ind w:left="1134"/>
        <w:contextualSpacing w:val="0"/>
        <w:jc w:val="both"/>
        <w:rPr>
          <w:rFonts w:ascii="Arial" w:hAnsi="Arial"/>
          <w:szCs w:val="20"/>
        </w:rPr>
      </w:pPr>
      <w:r w:rsidRPr="00CD49CA">
        <w:rPr>
          <w:rFonts w:ascii="Arial" w:hAnsi="Arial"/>
          <w:szCs w:val="20"/>
        </w:rPr>
        <w:t xml:space="preserve">En este sentido, se aporta como </w:t>
      </w:r>
      <w:r w:rsidRPr="00CD49CA">
        <w:rPr>
          <w:rFonts w:ascii="Arial" w:hAnsi="Arial"/>
          <w:b/>
          <w:bCs/>
          <w:szCs w:val="20"/>
          <w:u w:val="single"/>
        </w:rPr>
        <w:t xml:space="preserve">bloque documental </w:t>
      </w:r>
      <w:proofErr w:type="spellStart"/>
      <w:r w:rsidRPr="00CD49CA">
        <w:rPr>
          <w:rFonts w:ascii="Arial" w:hAnsi="Arial"/>
          <w:b/>
          <w:bCs/>
          <w:szCs w:val="20"/>
          <w:u w:val="single"/>
        </w:rPr>
        <w:t>nº</w:t>
      </w:r>
      <w:proofErr w:type="spellEnd"/>
      <w:r w:rsidRPr="00CD49CA">
        <w:rPr>
          <w:rFonts w:ascii="Arial" w:hAnsi="Arial"/>
          <w:b/>
          <w:bCs/>
          <w:szCs w:val="20"/>
          <w:u w:val="single"/>
        </w:rPr>
        <w:t xml:space="preserve"> 1</w:t>
      </w:r>
      <w:r w:rsidRPr="00CD49CA">
        <w:rPr>
          <w:rFonts w:ascii="Arial" w:hAnsi="Arial"/>
          <w:szCs w:val="20"/>
        </w:rPr>
        <w:t xml:space="preserve"> un conjunto de noticias de prensa relativas a la alta litigiosidad en materia de consumidores evidenciando que esta cuestión se encontraba día a día en los medios. Destacamos una noticia de El Mundo de 13 de noviembre de 2014 (“La gran banca destina 130.000 millones a litigios con sus clientes”) donde se analiza el incremento del coste legal de toda la banca durante 2013 con motivo de la explosión de los pleitos vinculados a normativa de protección de consumidores.</w:t>
      </w:r>
    </w:p>
    <w:p w14:paraId="55FE36B0" w14:textId="77777777" w:rsidR="008175AB" w:rsidRDefault="008175AB" w:rsidP="008175AB">
      <w:pPr>
        <w:pStyle w:val="Prrafodelista"/>
        <w:spacing w:before="240" w:after="240" w:line="360" w:lineRule="auto"/>
        <w:ind w:left="1134"/>
        <w:contextualSpacing w:val="0"/>
        <w:jc w:val="both"/>
        <w:rPr>
          <w:rFonts w:ascii="Arial" w:hAnsi="Arial"/>
          <w:szCs w:val="20"/>
        </w:rPr>
      </w:pPr>
      <w:r w:rsidRPr="00CD49CA">
        <w:rPr>
          <w:rFonts w:ascii="Arial" w:hAnsi="Arial"/>
          <w:szCs w:val="20"/>
        </w:rPr>
        <w:t xml:space="preserve">Se aporta también como </w:t>
      </w:r>
      <w:r w:rsidRPr="00CD49CA">
        <w:rPr>
          <w:rFonts w:ascii="Arial" w:hAnsi="Arial"/>
          <w:b/>
          <w:bCs/>
          <w:szCs w:val="20"/>
          <w:u w:val="single"/>
        </w:rPr>
        <w:t xml:space="preserve">documento </w:t>
      </w:r>
      <w:proofErr w:type="spellStart"/>
      <w:r w:rsidRPr="00CD49CA">
        <w:rPr>
          <w:rFonts w:ascii="Arial" w:hAnsi="Arial"/>
          <w:b/>
          <w:bCs/>
          <w:szCs w:val="20"/>
          <w:u w:val="single"/>
        </w:rPr>
        <w:t>nº</w:t>
      </w:r>
      <w:proofErr w:type="spellEnd"/>
      <w:r w:rsidRPr="00CD49CA">
        <w:rPr>
          <w:rFonts w:ascii="Arial" w:hAnsi="Arial"/>
          <w:b/>
          <w:bCs/>
          <w:szCs w:val="20"/>
          <w:u w:val="single"/>
        </w:rPr>
        <w:t xml:space="preserve"> 2</w:t>
      </w:r>
      <w:r w:rsidRPr="00CD49CA">
        <w:rPr>
          <w:rFonts w:ascii="Arial" w:hAnsi="Arial"/>
          <w:szCs w:val="20"/>
        </w:rPr>
        <w:t xml:space="preserve"> y a título de ejemplo algunas entradas del Blog del despacho de abogados Arriaga Asociados donde se evidencia la intensa actividad comercial en diferentes aspectos (cláusulas suelo, acciones preferentes, valores Santander, etc.).</w:t>
      </w:r>
    </w:p>
    <w:p w14:paraId="595351E5" w14:textId="77777777" w:rsidR="00362EA8" w:rsidRPr="00CD49CA" w:rsidRDefault="00362EA8" w:rsidP="008175AB">
      <w:pPr>
        <w:pStyle w:val="Prrafodelista"/>
        <w:spacing w:before="240" w:after="240" w:line="360" w:lineRule="auto"/>
        <w:ind w:left="1134"/>
        <w:contextualSpacing w:val="0"/>
        <w:jc w:val="both"/>
        <w:rPr>
          <w:rFonts w:ascii="Arial" w:hAnsi="Arial"/>
          <w:szCs w:val="20"/>
        </w:rPr>
      </w:pPr>
    </w:p>
    <w:p w14:paraId="1484D921"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lastRenderedPageBreak/>
        <w:t xml:space="preserve">Durante 2015 se intensificó las campañas y las noticias en prensa en relación con la potencial </w:t>
      </w:r>
      <w:proofErr w:type="spellStart"/>
      <w:r w:rsidRPr="00CD49CA">
        <w:rPr>
          <w:rFonts w:ascii="Arial" w:hAnsi="Arial"/>
          <w:szCs w:val="20"/>
        </w:rPr>
        <w:t>abusividad</w:t>
      </w:r>
      <w:proofErr w:type="spellEnd"/>
      <w:r w:rsidRPr="00CD49CA">
        <w:rPr>
          <w:rFonts w:ascii="Arial" w:hAnsi="Arial"/>
          <w:szCs w:val="20"/>
        </w:rPr>
        <w:t xml:space="preserve"> de cláusulas insertas en contratos bancarios, poniendo esta vez el foco precisamente en los contratos hipotecarios. Desde 2015 ningún consumidor puede desconocer la gran litigiosidad existente en relación con diversas cláusulas de contratos hipotecarios. Se aporta como </w:t>
      </w:r>
      <w:r w:rsidRPr="00CD49CA">
        <w:rPr>
          <w:rFonts w:ascii="Arial" w:hAnsi="Arial"/>
          <w:b/>
          <w:bCs/>
          <w:szCs w:val="20"/>
          <w:u w:val="single"/>
        </w:rPr>
        <w:t xml:space="preserve">bloque documental </w:t>
      </w:r>
      <w:proofErr w:type="spellStart"/>
      <w:r w:rsidRPr="00CD49CA">
        <w:rPr>
          <w:rFonts w:ascii="Arial" w:hAnsi="Arial"/>
          <w:b/>
          <w:bCs/>
          <w:szCs w:val="20"/>
          <w:u w:val="single"/>
        </w:rPr>
        <w:t>nº</w:t>
      </w:r>
      <w:proofErr w:type="spellEnd"/>
      <w:r w:rsidRPr="00CD49CA">
        <w:rPr>
          <w:rFonts w:ascii="Arial" w:hAnsi="Arial"/>
          <w:b/>
          <w:bCs/>
          <w:szCs w:val="20"/>
          <w:u w:val="single"/>
        </w:rPr>
        <w:t xml:space="preserve"> 3</w:t>
      </w:r>
      <w:r w:rsidRPr="00CD49CA">
        <w:rPr>
          <w:rFonts w:ascii="Arial" w:hAnsi="Arial"/>
          <w:szCs w:val="20"/>
        </w:rPr>
        <w:t xml:space="preserve"> un conjunto de noticias de 2015 para ilustrar sobre el ambiente durante ese año. Sirva de ejemplo la noticia publicada el 30 de octubre de 2015 por </w:t>
      </w:r>
      <w:proofErr w:type="spellStart"/>
      <w:r w:rsidRPr="00CD49CA">
        <w:rPr>
          <w:rFonts w:ascii="Arial" w:hAnsi="Arial"/>
          <w:szCs w:val="20"/>
        </w:rPr>
        <w:t>CincoDias</w:t>
      </w:r>
      <w:proofErr w:type="spellEnd"/>
      <w:r w:rsidRPr="00CD49CA">
        <w:rPr>
          <w:rFonts w:ascii="Arial" w:hAnsi="Arial"/>
          <w:szCs w:val="20"/>
        </w:rPr>
        <w:t>, un diario de amplia difusión, titulada “Los jueces revisan hasta las comas de la hipoteca”. O la noticia publicada por El Economista el 25 de agosto de 2015 (“El Banco de España saca a concurso la gestión de las quejas por hipotecas”) donde se da cuenta del explosivo incremento de las reclamaciones en el Banco De España vinculadas a préstamos hipotecarias hasta el punto de hacer imposible la gestión interna por el órgano supervisor. Ello muestra que en esas fechas los consumidores ya eran plenamente conscientes de la posibilidad de reclamar por sus potenciales cláusulas abusivas y, de hecho, ya estaban ejerciendo su derecho a reclamar. No hay duda de que en ese momento ya existía una posibilidad real de ejercitar la acción.</w:t>
      </w:r>
    </w:p>
    <w:p w14:paraId="478A7CA3"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 xml:space="preserve">Por si lo anterior no fuera suficiente, el 23 de diciembre de 2015 se dictó la Sentencia del Tribunal Supremo por la que se declaró abusiva la cláusula de atribución de gastos hipotecarios. Esta sentencia, como se demuestra en el </w:t>
      </w:r>
      <w:r w:rsidRPr="00CD49CA">
        <w:rPr>
          <w:rFonts w:ascii="Arial" w:hAnsi="Arial"/>
          <w:b/>
          <w:bCs/>
          <w:szCs w:val="20"/>
        </w:rPr>
        <w:t>bloque documental 1</w:t>
      </w:r>
      <w:r w:rsidRPr="00CD49CA">
        <w:rPr>
          <w:rFonts w:ascii="Arial" w:hAnsi="Arial"/>
          <w:szCs w:val="20"/>
        </w:rPr>
        <w:t>, tuvo una gran difusión.</w:t>
      </w:r>
    </w:p>
    <w:p w14:paraId="26DC5527"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 xml:space="preserve">Desde ese momento, los despachos de abogados y asociaciones especializados en la defensa de los intereses de consumidores comenzaron su campaña de publicidad más dirigida a esta cláusula en particular. Llama la atención que este cambio de rumbo en los despachos coincide con el fin del negocio de los despachos en relación con la cuestión de las acciones preferentes de Bankia. Tal y como publicó Expansión el 18 de febrero de 2016 la decisión de Bankia de alcanzar una solución negociada con los clientes minoristas de este producto supuso a los bufetes la desaparición de un negocio de 100 millones de euros. Ello llevó a los despachos a dirigir sus campañas a otros productos, reforzando en materia de cláusulas suelo y </w:t>
      </w:r>
      <w:proofErr w:type="spellStart"/>
      <w:r w:rsidRPr="00CD49CA">
        <w:rPr>
          <w:rFonts w:ascii="Arial" w:hAnsi="Arial"/>
          <w:szCs w:val="20"/>
        </w:rPr>
        <w:t>multidivisa</w:t>
      </w:r>
      <w:proofErr w:type="spellEnd"/>
      <w:r w:rsidRPr="00CD49CA">
        <w:rPr>
          <w:rFonts w:ascii="Arial" w:hAnsi="Arial"/>
          <w:szCs w:val="20"/>
        </w:rPr>
        <w:t xml:space="preserve"> (producto donde desde 2014 existían campañas promoviendo la litigiosidad) y gastos hipotecarios, aprovechando el pronunciamiento del Tribunal Supremo.</w:t>
      </w:r>
    </w:p>
    <w:p w14:paraId="10937387" w14:textId="181D66AF" w:rsidR="00362EA8" w:rsidRPr="00362EA8" w:rsidRDefault="008175AB" w:rsidP="00362EA8">
      <w:pPr>
        <w:pStyle w:val="Prrafodelista"/>
        <w:spacing w:before="240" w:after="240" w:line="360" w:lineRule="auto"/>
        <w:ind w:left="1134"/>
        <w:contextualSpacing w:val="0"/>
        <w:jc w:val="both"/>
        <w:rPr>
          <w:rFonts w:ascii="Arial" w:hAnsi="Arial"/>
          <w:szCs w:val="20"/>
          <w:lang w:val="es-ES_tradnl"/>
        </w:rPr>
      </w:pPr>
      <w:r w:rsidRPr="00CD49CA">
        <w:rPr>
          <w:rFonts w:ascii="Arial" w:hAnsi="Arial"/>
          <w:szCs w:val="20"/>
          <w:lang w:val="es-ES_tradnl"/>
        </w:rPr>
        <w:t xml:space="preserve">Aportamos como </w:t>
      </w:r>
      <w:r w:rsidRPr="00CD49CA">
        <w:rPr>
          <w:rFonts w:ascii="Arial" w:hAnsi="Arial"/>
          <w:b/>
          <w:bCs/>
          <w:szCs w:val="20"/>
          <w:lang w:val="es-ES_tradnl"/>
        </w:rPr>
        <w:t xml:space="preserve">bloque documental </w:t>
      </w:r>
      <w:proofErr w:type="spellStart"/>
      <w:r w:rsidRPr="00CD49CA">
        <w:rPr>
          <w:rFonts w:ascii="Arial" w:hAnsi="Arial"/>
          <w:b/>
          <w:bCs/>
          <w:szCs w:val="20"/>
          <w:lang w:val="es-ES_tradnl"/>
        </w:rPr>
        <w:t>nº</w:t>
      </w:r>
      <w:proofErr w:type="spellEnd"/>
      <w:r w:rsidRPr="00CD49CA">
        <w:rPr>
          <w:rFonts w:ascii="Arial" w:hAnsi="Arial"/>
          <w:b/>
          <w:bCs/>
          <w:szCs w:val="20"/>
          <w:lang w:val="es-ES_tradnl"/>
        </w:rPr>
        <w:t xml:space="preserve"> 3</w:t>
      </w:r>
      <w:r w:rsidRPr="00CD49CA">
        <w:rPr>
          <w:rFonts w:ascii="Arial" w:hAnsi="Arial"/>
          <w:szCs w:val="20"/>
          <w:lang w:val="es-ES_tradnl"/>
        </w:rPr>
        <w:t xml:space="preserve"> un conjunto de noticias de 2016 y principios de 2017 donde se evidencia este cambio de foco en la litigiosidad. </w:t>
      </w:r>
    </w:p>
    <w:p w14:paraId="4F48ADCE" w14:textId="77777777" w:rsidR="008175AB" w:rsidRPr="00CD49CA" w:rsidRDefault="008175AB" w:rsidP="008175AB">
      <w:pPr>
        <w:pStyle w:val="Prrafodelista"/>
        <w:numPr>
          <w:ilvl w:val="1"/>
          <w:numId w:val="11"/>
        </w:numPr>
        <w:suppressAutoHyphens w:val="0"/>
        <w:spacing w:before="240" w:after="240" w:line="360" w:lineRule="auto"/>
        <w:ind w:left="1134" w:hanging="567"/>
        <w:contextualSpacing w:val="0"/>
        <w:jc w:val="both"/>
        <w:rPr>
          <w:rFonts w:ascii="Arial" w:hAnsi="Arial"/>
          <w:szCs w:val="20"/>
        </w:rPr>
      </w:pPr>
      <w:r w:rsidRPr="00CD49CA">
        <w:rPr>
          <w:rFonts w:ascii="Arial" w:hAnsi="Arial"/>
          <w:szCs w:val="20"/>
        </w:rPr>
        <w:t xml:space="preserve">Con este objetivo de reconducir el negocio, las campañas agresivas de los despachos se reforzaron más si cabe desde finales de 2016 en adelante con </w:t>
      </w:r>
      <w:r w:rsidRPr="00CD49CA">
        <w:rPr>
          <w:rFonts w:ascii="Arial" w:hAnsi="Arial"/>
          <w:szCs w:val="20"/>
        </w:rPr>
        <w:lastRenderedPageBreak/>
        <w:t>cobertura muy amplia en periódicos, todo tipo de redes sociales, televisión, radio e incluso campañas publicitarias en autobuses. A título de ejemplo:</w:t>
      </w:r>
    </w:p>
    <w:p w14:paraId="324090A1" w14:textId="77777777" w:rsidR="008175AB" w:rsidRPr="00CD49CA" w:rsidRDefault="008175AB" w:rsidP="008175AB">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 xml:space="preserve">Se aporta como </w:t>
      </w:r>
      <w:r w:rsidRPr="00CD49CA">
        <w:rPr>
          <w:rFonts w:ascii="Arial" w:hAnsi="Arial"/>
          <w:b/>
          <w:bCs/>
          <w:szCs w:val="20"/>
        </w:rPr>
        <w:t xml:space="preserve">documento </w:t>
      </w:r>
      <w:proofErr w:type="spellStart"/>
      <w:r w:rsidRPr="00CD49CA">
        <w:rPr>
          <w:rFonts w:ascii="Arial" w:hAnsi="Arial"/>
          <w:b/>
          <w:bCs/>
          <w:szCs w:val="20"/>
        </w:rPr>
        <w:t>nº</w:t>
      </w:r>
      <w:proofErr w:type="spellEnd"/>
      <w:r w:rsidRPr="00CD49CA">
        <w:rPr>
          <w:rFonts w:ascii="Arial" w:hAnsi="Arial"/>
          <w:b/>
          <w:bCs/>
          <w:szCs w:val="20"/>
        </w:rPr>
        <w:t xml:space="preserve"> 2</w:t>
      </w:r>
      <w:r w:rsidRPr="00CD49CA">
        <w:rPr>
          <w:rFonts w:ascii="Arial" w:hAnsi="Arial"/>
          <w:szCs w:val="20"/>
        </w:rPr>
        <w:t xml:space="preserve"> las entradas del Blog de Arriaga Asociados en materia de Gastos Hipotecarios, donde se observa que en diciembre de 2016 ya incluían llamamientos generalizados a demandar. Nos remitimos también a la campaña publicitaria protagonizada por Iker Casillas que se lanzó en enero de 2017 y donde se hacía un llamamiento generalizado a la reclamación</w:t>
      </w:r>
      <w:r w:rsidRPr="00CD49CA">
        <w:rPr>
          <w:rStyle w:val="Refdenotaalpie"/>
          <w:szCs w:val="20"/>
        </w:rPr>
        <w:footnoteReference w:id="63"/>
      </w:r>
      <w:r w:rsidRPr="00CD49CA">
        <w:rPr>
          <w:rFonts w:ascii="Arial" w:hAnsi="Arial"/>
          <w:szCs w:val="20"/>
        </w:rPr>
        <w:t>. Dicha campaña tuvo difusión en televisión, radio y banners en medios de transporte públicos de todo España.</w:t>
      </w:r>
    </w:p>
    <w:p w14:paraId="71F92D54" w14:textId="77777777" w:rsidR="008175AB" w:rsidRPr="00CD49CA" w:rsidRDefault="008175AB" w:rsidP="008175AB">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 xml:space="preserve">Bufete Rosales también publicó campañas para incentivar las reclamaciones en la materia, como se observa en las publicaciones realizadas en </w:t>
      </w:r>
      <w:proofErr w:type="spellStart"/>
      <w:r w:rsidRPr="00CD49CA">
        <w:rPr>
          <w:rFonts w:ascii="Arial" w:hAnsi="Arial"/>
          <w:szCs w:val="20"/>
        </w:rPr>
        <w:t>Youtube</w:t>
      </w:r>
      <w:proofErr w:type="spellEnd"/>
      <w:r w:rsidRPr="00CD49CA">
        <w:rPr>
          <w:rFonts w:ascii="Arial" w:hAnsi="Arial"/>
          <w:szCs w:val="20"/>
        </w:rPr>
        <w:t>:</w:t>
      </w:r>
    </w:p>
    <w:p w14:paraId="7F4CDC3C" w14:textId="77777777" w:rsidR="008175AB" w:rsidRPr="00CD49CA" w:rsidRDefault="00A806DA" w:rsidP="008175AB">
      <w:pPr>
        <w:pStyle w:val="Prrafodelista"/>
        <w:spacing w:before="240" w:after="240" w:line="360" w:lineRule="auto"/>
        <w:ind w:left="1701"/>
        <w:contextualSpacing w:val="0"/>
        <w:jc w:val="both"/>
        <w:rPr>
          <w:rFonts w:ascii="Arial" w:hAnsi="Arial"/>
          <w:szCs w:val="20"/>
        </w:rPr>
      </w:pPr>
      <w:hyperlink r:id="rId16" w:history="1">
        <w:r w:rsidR="008175AB" w:rsidRPr="00CD49CA">
          <w:rPr>
            <w:rStyle w:val="Hipervnculo"/>
            <w:rFonts w:ascii="Arial" w:hAnsi="Arial"/>
            <w:szCs w:val="20"/>
          </w:rPr>
          <w:t>Gastos Hipotecarios I. ¿Qué dice la sentencia del TS? - YouTube</w:t>
        </w:r>
      </w:hyperlink>
    </w:p>
    <w:p w14:paraId="42A9D937" w14:textId="77777777" w:rsidR="008175AB" w:rsidRPr="00CD49CA" w:rsidRDefault="00A806DA" w:rsidP="008175AB">
      <w:pPr>
        <w:pStyle w:val="Prrafodelista"/>
        <w:spacing w:before="240" w:after="240" w:line="360" w:lineRule="auto"/>
        <w:ind w:left="1701"/>
        <w:contextualSpacing w:val="0"/>
        <w:jc w:val="both"/>
        <w:rPr>
          <w:rFonts w:ascii="Arial" w:hAnsi="Arial"/>
          <w:szCs w:val="20"/>
        </w:rPr>
      </w:pPr>
      <w:hyperlink r:id="rId17" w:history="1">
        <w:r w:rsidR="008175AB" w:rsidRPr="00CD49CA">
          <w:rPr>
            <w:rStyle w:val="Hipervnculo"/>
            <w:rFonts w:ascii="Arial" w:hAnsi="Arial"/>
            <w:szCs w:val="20"/>
          </w:rPr>
          <w:t>Gastos Hipotecarios II ¿Qué significa ese fallo? - YouTube</w:t>
        </w:r>
      </w:hyperlink>
    </w:p>
    <w:p w14:paraId="08FEF0B8" w14:textId="77777777" w:rsidR="008175AB" w:rsidRPr="00CD49CA" w:rsidRDefault="00A806DA" w:rsidP="008175AB">
      <w:pPr>
        <w:pStyle w:val="Prrafodelista"/>
        <w:spacing w:before="240" w:after="240" w:line="360" w:lineRule="auto"/>
        <w:ind w:left="1701"/>
        <w:contextualSpacing w:val="0"/>
        <w:jc w:val="both"/>
        <w:rPr>
          <w:rFonts w:ascii="Arial" w:hAnsi="Arial"/>
          <w:szCs w:val="20"/>
        </w:rPr>
      </w:pPr>
      <w:hyperlink r:id="rId18" w:history="1">
        <w:r w:rsidR="008175AB" w:rsidRPr="00CD49CA">
          <w:rPr>
            <w:rStyle w:val="Hipervnculo"/>
            <w:rFonts w:ascii="Arial" w:hAnsi="Arial"/>
            <w:szCs w:val="20"/>
          </w:rPr>
          <w:t>Gastos Hipotecarios III ¿Qué gastos puedo reclamar al banco? - YouTube</w:t>
        </w:r>
      </w:hyperlink>
    </w:p>
    <w:p w14:paraId="37657F3D" w14:textId="77777777" w:rsidR="008175AB" w:rsidRPr="00CD49CA" w:rsidRDefault="00A806DA" w:rsidP="008175AB">
      <w:pPr>
        <w:pStyle w:val="Prrafodelista"/>
        <w:spacing w:before="240" w:after="240" w:line="360" w:lineRule="auto"/>
        <w:ind w:left="1701"/>
        <w:contextualSpacing w:val="0"/>
        <w:jc w:val="both"/>
        <w:rPr>
          <w:rFonts w:ascii="Arial" w:hAnsi="Arial"/>
          <w:szCs w:val="20"/>
        </w:rPr>
      </w:pPr>
      <w:hyperlink r:id="rId19" w:history="1">
        <w:r w:rsidR="008175AB" w:rsidRPr="00CD49CA">
          <w:rPr>
            <w:rStyle w:val="Hipervnculo"/>
            <w:rFonts w:ascii="Arial" w:hAnsi="Arial"/>
            <w:szCs w:val="20"/>
          </w:rPr>
          <w:t>Gastos Hipotecarios IV ¿Qué documentos tengo que acompañar a la demanda? - YouTube</w:t>
        </w:r>
      </w:hyperlink>
    </w:p>
    <w:p w14:paraId="4BCF0A12" w14:textId="77777777" w:rsidR="008175AB" w:rsidRPr="00CD49CA" w:rsidRDefault="008175AB" w:rsidP="008175AB">
      <w:pPr>
        <w:pStyle w:val="Prrafodelista"/>
        <w:numPr>
          <w:ilvl w:val="2"/>
          <w:numId w:val="11"/>
        </w:numPr>
        <w:suppressAutoHyphens w:val="0"/>
        <w:spacing w:before="240" w:after="240" w:line="360" w:lineRule="auto"/>
        <w:ind w:left="1701" w:hanging="567"/>
        <w:contextualSpacing w:val="0"/>
        <w:jc w:val="both"/>
        <w:rPr>
          <w:rFonts w:ascii="Arial" w:hAnsi="Arial"/>
          <w:szCs w:val="20"/>
        </w:rPr>
      </w:pPr>
      <w:r w:rsidRPr="00CD49CA">
        <w:rPr>
          <w:rFonts w:ascii="Arial" w:hAnsi="Arial"/>
          <w:szCs w:val="20"/>
        </w:rPr>
        <w:t xml:space="preserve">Se aporta igualmente como </w:t>
      </w:r>
      <w:r w:rsidRPr="00CD49CA">
        <w:rPr>
          <w:rFonts w:ascii="Arial" w:hAnsi="Arial"/>
          <w:b/>
          <w:bCs/>
          <w:szCs w:val="20"/>
        </w:rPr>
        <w:t xml:space="preserve">bloque documental </w:t>
      </w:r>
      <w:proofErr w:type="spellStart"/>
      <w:r w:rsidRPr="00CD49CA">
        <w:rPr>
          <w:rFonts w:ascii="Arial" w:hAnsi="Arial"/>
          <w:b/>
          <w:bCs/>
          <w:szCs w:val="20"/>
        </w:rPr>
        <w:t>nº</w:t>
      </w:r>
      <w:proofErr w:type="spellEnd"/>
      <w:r w:rsidRPr="00CD49CA">
        <w:rPr>
          <w:rFonts w:ascii="Arial" w:hAnsi="Arial"/>
          <w:b/>
          <w:bCs/>
          <w:szCs w:val="20"/>
        </w:rPr>
        <w:t xml:space="preserve"> 3</w:t>
      </w:r>
      <w:r w:rsidRPr="00CD49CA">
        <w:rPr>
          <w:rFonts w:ascii="Arial" w:hAnsi="Arial"/>
          <w:szCs w:val="20"/>
        </w:rPr>
        <w:t>, conjunto de noticias publicadas en diferentes diarios a principios de 2017 donde se ofrece a los consumidores información clara sobre los pasos a seguir para reclamar. Dichas campañas se extendieron también a programas de televisión, como se observa en la entrevista realizada a ADICAE el 11 de enero de 2017 en el programa de La Sexta “Más Vale Tarde”</w:t>
      </w:r>
      <w:r w:rsidRPr="00CD49CA">
        <w:rPr>
          <w:rStyle w:val="Refdenotaalpie"/>
          <w:szCs w:val="20"/>
        </w:rPr>
        <w:footnoteReference w:id="64"/>
      </w:r>
      <w:r w:rsidRPr="00CD49CA">
        <w:rPr>
          <w:rFonts w:ascii="Arial" w:hAnsi="Arial"/>
          <w:szCs w:val="20"/>
        </w:rPr>
        <w:t>.</w:t>
      </w:r>
    </w:p>
    <w:p w14:paraId="60C2363E" w14:textId="77777777" w:rsidR="008175AB" w:rsidRPr="00CD49CA" w:rsidRDefault="008175AB" w:rsidP="008175AB">
      <w:pPr>
        <w:spacing w:before="240" w:after="240" w:line="360" w:lineRule="auto"/>
        <w:jc w:val="both"/>
        <w:rPr>
          <w:rFonts w:ascii="Arial" w:hAnsi="Arial" w:cs="Arial"/>
        </w:rPr>
      </w:pPr>
      <w:r w:rsidRPr="00CD49CA">
        <w:rPr>
          <w:rFonts w:ascii="Arial" w:hAnsi="Arial" w:cs="Arial"/>
          <w:bCs/>
        </w:rPr>
        <w:t xml:space="preserve">En ningún caso puede acudirse a un momento posterior, menos aún a la Sentencia del Tribunal Supremo de 23 de enero de 2019 (como podría pretender el Auto Cuestión Prejudicial GH), sentencia dictada en un momento en que la litigación masiva en materia de gastos hipotecarios llevaba más de 3 años colapsando tribunales de este país y copando campañas publicitarias y noticias en todo tipos de medios de comunicación, y donde simplemente se resuelve sobre una cuestión de fijación de cantidades (pero que, precisamente, parte del conocimiento de la potencial </w:t>
      </w:r>
      <w:proofErr w:type="spellStart"/>
      <w:r w:rsidRPr="00CD49CA">
        <w:rPr>
          <w:rFonts w:ascii="Arial" w:hAnsi="Arial" w:cs="Arial"/>
          <w:bCs/>
        </w:rPr>
        <w:t>abusividad</w:t>
      </w:r>
      <w:proofErr w:type="spellEnd"/>
      <w:r w:rsidRPr="00CD49CA">
        <w:rPr>
          <w:rFonts w:ascii="Arial" w:hAnsi="Arial" w:cs="Arial"/>
          <w:bCs/>
        </w:rPr>
        <w:t xml:space="preserve">). </w:t>
      </w:r>
    </w:p>
    <w:p w14:paraId="15A7E355" w14:textId="77777777" w:rsidR="008175AB" w:rsidRPr="00BE758C" w:rsidRDefault="008175AB" w:rsidP="008175AB">
      <w:pPr>
        <w:pStyle w:val="Prrafodelista"/>
        <w:keepNext/>
        <w:numPr>
          <w:ilvl w:val="0"/>
          <w:numId w:val="10"/>
        </w:numPr>
        <w:suppressAutoHyphens w:val="0"/>
        <w:spacing w:before="240" w:after="240" w:line="360" w:lineRule="auto"/>
        <w:ind w:left="567" w:hanging="578"/>
        <w:contextualSpacing w:val="0"/>
        <w:jc w:val="both"/>
        <w:rPr>
          <w:rFonts w:ascii="Arial" w:hAnsi="Arial"/>
          <w:b/>
          <w:color w:val="000000"/>
          <w:szCs w:val="20"/>
        </w:rPr>
      </w:pPr>
      <w:r w:rsidRPr="00BE758C">
        <w:rPr>
          <w:rFonts w:ascii="Arial" w:hAnsi="Arial"/>
          <w:b/>
          <w:color w:val="000000"/>
          <w:szCs w:val="20"/>
        </w:rPr>
        <w:lastRenderedPageBreak/>
        <w:t>Aplicación del plazo al caso concreto: la acción restitutoria ha prescrito</w:t>
      </w:r>
    </w:p>
    <w:p w14:paraId="64C9028D" w14:textId="51FE77E5" w:rsidR="008175AB" w:rsidRPr="007A0B57" w:rsidRDefault="008175AB" w:rsidP="008175AB">
      <w:pPr>
        <w:keepNext/>
        <w:spacing w:before="240" w:after="240" w:line="360" w:lineRule="auto"/>
        <w:ind w:left="-11"/>
        <w:jc w:val="both"/>
        <w:rPr>
          <w:rFonts w:ascii="Arial" w:hAnsi="Arial" w:cs="Arial"/>
        </w:rPr>
      </w:pPr>
      <w:r w:rsidRPr="007A0B57">
        <w:rPr>
          <w:rFonts w:ascii="Arial" w:hAnsi="Arial" w:cs="Arial"/>
          <w:bCs/>
        </w:rPr>
        <w:t>En el caso que nos ocupa</w:t>
      </w:r>
      <w:r w:rsidRPr="007A0B57">
        <w:rPr>
          <w:rFonts w:ascii="Arial" w:hAnsi="Arial" w:cs="Arial"/>
        </w:rPr>
        <w:t>, debemos partir de que el</w:t>
      </w:r>
      <w:r w:rsidRPr="007A0B57">
        <w:rPr>
          <w:rFonts w:ascii="Arial" w:hAnsi="Arial" w:cs="Arial"/>
          <w:b/>
          <w:bCs/>
          <w:u w:val="single"/>
        </w:rPr>
        <w:t xml:space="preserve"> pago efectivo de los gastos hipotecarios,</w:t>
      </w:r>
      <w:r w:rsidRPr="007A0B57">
        <w:rPr>
          <w:rFonts w:ascii="Arial" w:hAnsi="Arial" w:cs="Arial"/>
        </w:rPr>
        <w:t xml:space="preserve"> a efectos de cómputo de la prescripción, tuvo lugar el </w:t>
      </w:r>
      <w:r w:rsidR="004327DB">
        <w:rPr>
          <w:rFonts w:ascii="Arial" w:hAnsi="Arial" w:cs="Arial"/>
          <w:highlight w:val="yellow"/>
        </w:rPr>
        <w:fldChar w:fldCharType="begin"/>
      </w:r>
      <w:r w:rsidR="004327DB">
        <w:rPr>
          <w:rFonts w:ascii="Arial" w:hAnsi="Arial" w:cs="Arial"/>
          <w:highlight w:val="yellow"/>
        </w:rPr>
        <w:instrText>persovalores_personalizable1299</w:instrText>
      </w:r>
      <w:r w:rsidR="004327DB">
        <w:rPr>
          <w:rFonts w:ascii="Arial" w:hAnsi="Arial" w:cs="Arial"/>
          <w:highlight w:val="yellow"/>
        </w:rPr>
        <w:fldChar w:fldCharType="separate"/>
      </w:r>
      <w:r w:rsidR="004327DB">
        <w:rPr>
          <w:rFonts w:ascii="Arial" w:hAnsi="Arial" w:cs="Arial"/>
          <w:noProof/>
          <w:highlight w:val="yellow"/>
        </w:rPr>
        <w:t>«BANKINTER_CLAUSULAS_FECHA_PAGO_DE_FACTUR»</w:t>
      </w:r>
      <w:r w:rsidR="004327DB">
        <w:rPr>
          <w:rFonts w:ascii="Arial" w:hAnsi="Arial" w:cs="Arial"/>
          <w:highlight w:val="yellow"/>
        </w:rPr>
        <w:fldChar w:fldCharType="end"/>
      </w:r>
      <w:r w:rsidR="004327DB">
        <w:rPr>
          <w:rFonts w:ascii="Arial" w:hAnsi="Arial" w:cs="Arial"/>
        </w:rPr>
        <w:t xml:space="preserve"> . </w:t>
      </w:r>
      <w:r w:rsidRPr="007A0B57">
        <w:rPr>
          <w:rFonts w:ascii="Arial" w:hAnsi="Arial" w:cs="Arial"/>
        </w:rPr>
        <w:t xml:space="preserve">Por </w:t>
      </w:r>
      <w:r>
        <w:rPr>
          <w:rFonts w:ascii="Arial" w:hAnsi="Arial" w:cs="Arial"/>
        </w:rPr>
        <w:t xml:space="preserve">tanto, han transcurrido más de </w:t>
      </w:r>
      <w:r w:rsidRPr="007A0B57">
        <w:rPr>
          <w:rFonts w:ascii="Arial" w:hAnsi="Arial" w:cs="Arial"/>
        </w:rPr>
        <w:t xml:space="preserve">5 años desde el pago efectivo y </w:t>
      </w:r>
      <w:r w:rsidRPr="007A0B57">
        <w:rPr>
          <w:rFonts w:ascii="Arial" w:hAnsi="Arial" w:cs="Arial"/>
          <w:b/>
          <w:bCs/>
          <w:u w:val="single"/>
        </w:rPr>
        <w:t xml:space="preserve">la presentación de la reclamación previa que se produjo el </w:t>
      </w:r>
      <w:r w:rsidRPr="004364A0">
        <w:rPr>
          <w:rFonts w:ascii="Arial" w:hAnsi="Arial" w:cs="Arial"/>
          <w:b/>
          <w:bCs/>
          <w:highlight w:val="yellow"/>
          <w:u w:val="single"/>
        </w:rPr>
        <w:t>[*]</w:t>
      </w:r>
      <w:r w:rsidRPr="007A0B57">
        <w:rPr>
          <w:rFonts w:ascii="Arial" w:hAnsi="Arial" w:cs="Arial"/>
        </w:rPr>
        <w:t xml:space="preserve">. </w:t>
      </w:r>
    </w:p>
    <w:p w14:paraId="0E73D0CA" w14:textId="77777777" w:rsidR="008175AB" w:rsidRPr="007A0B57" w:rsidRDefault="008175AB" w:rsidP="008175AB">
      <w:pPr>
        <w:spacing w:before="240" w:after="240" w:line="360" w:lineRule="auto"/>
        <w:jc w:val="both"/>
        <w:rPr>
          <w:rFonts w:ascii="Arial" w:hAnsi="Arial" w:cs="Arial"/>
        </w:rPr>
      </w:pPr>
      <w:r w:rsidRPr="007A0B57">
        <w:rPr>
          <w:rFonts w:ascii="Arial" w:hAnsi="Arial" w:cs="Arial"/>
        </w:rPr>
        <w:t xml:space="preserve">Este pago, además, se realizó no solo en un contexto de litigación masiva en materia de consumidores sino cuando ya había tenido gran difusión la Sentencia del Tribunal Supremo de 23 de diciembre de 2015. Por tanto, en este caso no cabe duda de que en el momento en que el demandante efectúo el pago de los gastos cuyo reembolso ahora reclama, tenía perfecto conocimiento de la potencial </w:t>
      </w:r>
      <w:proofErr w:type="spellStart"/>
      <w:r w:rsidRPr="007A0B57">
        <w:rPr>
          <w:rFonts w:ascii="Arial" w:hAnsi="Arial" w:cs="Arial"/>
        </w:rPr>
        <w:t>abusividad</w:t>
      </w:r>
      <w:proofErr w:type="spellEnd"/>
      <w:r w:rsidRPr="007A0B57">
        <w:rPr>
          <w:rFonts w:ascii="Arial" w:hAnsi="Arial" w:cs="Arial"/>
        </w:rPr>
        <w:t xml:space="preserve"> de la cláusula y estaba ya en condiciones de ejercitar sus derechos, debiendo operar esa fecha de pago como </w:t>
      </w:r>
      <w:proofErr w:type="spellStart"/>
      <w:r w:rsidRPr="007A0B57">
        <w:rPr>
          <w:rFonts w:ascii="Arial" w:hAnsi="Arial" w:cs="Arial"/>
          <w:i/>
          <w:iCs/>
        </w:rPr>
        <w:t>dies</w:t>
      </w:r>
      <w:proofErr w:type="spellEnd"/>
      <w:r w:rsidRPr="007A0B57">
        <w:rPr>
          <w:rFonts w:ascii="Arial" w:hAnsi="Arial" w:cs="Arial"/>
          <w:i/>
          <w:iCs/>
        </w:rPr>
        <w:t xml:space="preserve"> a quo </w:t>
      </w:r>
      <w:r w:rsidRPr="007A0B57">
        <w:rPr>
          <w:rFonts w:ascii="Arial" w:hAnsi="Arial" w:cs="Arial"/>
        </w:rPr>
        <w:t>en todo caso.</w:t>
      </w:r>
    </w:p>
    <w:p w14:paraId="0C1D88A3" w14:textId="777219C5" w:rsidR="008175AB" w:rsidRPr="004364A0" w:rsidRDefault="008175AB" w:rsidP="008175AB">
      <w:pPr>
        <w:spacing w:before="240" w:after="240" w:line="360" w:lineRule="auto"/>
        <w:jc w:val="both"/>
        <w:rPr>
          <w:rFonts w:ascii="Arial" w:hAnsi="Arial" w:cs="Arial"/>
          <w:bCs/>
        </w:rPr>
      </w:pPr>
      <w:r w:rsidRPr="00B57345">
        <w:rPr>
          <w:rFonts w:ascii="Arial" w:hAnsi="Arial" w:cs="Arial"/>
          <w:b/>
          <w:highlight w:val="yellow"/>
        </w:rPr>
        <w:t xml:space="preserve">[opción </w:t>
      </w:r>
      <w:r w:rsidRPr="00B57345">
        <w:rPr>
          <w:rFonts w:ascii="Arial" w:hAnsi="Arial" w:cs="Arial"/>
          <w:b/>
          <w:highlight w:val="yellow"/>
          <w:u w:val="single"/>
        </w:rPr>
        <w:t>sin reclamación extrajudicial]</w:t>
      </w:r>
      <w:r w:rsidRPr="00B57345">
        <w:rPr>
          <w:rFonts w:ascii="Arial" w:hAnsi="Arial" w:cs="Arial"/>
          <w:b/>
        </w:rPr>
        <w:t xml:space="preserve"> </w:t>
      </w:r>
      <w:r w:rsidRPr="00B57345">
        <w:rPr>
          <w:rFonts w:ascii="Arial" w:hAnsi="Arial" w:cs="Arial"/>
          <w:bCs/>
        </w:rPr>
        <w:t xml:space="preserve">No existiendo en el presente caso reclamación extrajudicial de ningún tipo que interrumpiera el plazo de prescripción, debe quedar el </w:t>
      </w:r>
      <w:proofErr w:type="spellStart"/>
      <w:r w:rsidRPr="00B57345">
        <w:rPr>
          <w:rFonts w:ascii="Arial" w:hAnsi="Arial" w:cs="Arial"/>
          <w:bCs/>
          <w:i/>
          <w:iCs/>
        </w:rPr>
        <w:t>dies</w:t>
      </w:r>
      <w:proofErr w:type="spellEnd"/>
      <w:r w:rsidRPr="00B57345">
        <w:rPr>
          <w:rFonts w:ascii="Arial" w:hAnsi="Arial" w:cs="Arial"/>
          <w:bCs/>
          <w:i/>
          <w:iCs/>
        </w:rPr>
        <w:t xml:space="preserve"> a quo</w:t>
      </w:r>
      <w:r w:rsidRPr="00B57345">
        <w:rPr>
          <w:rFonts w:ascii="Arial" w:hAnsi="Arial" w:cs="Arial"/>
          <w:bCs/>
        </w:rPr>
        <w:t xml:space="preserve"> fijado en </w:t>
      </w:r>
      <w:r>
        <w:rPr>
          <w:rFonts w:ascii="Arial" w:hAnsi="Arial" w:cs="Arial"/>
          <w:bCs/>
        </w:rPr>
        <w:t>la fecha</w:t>
      </w:r>
      <w:r w:rsidRPr="00B57345">
        <w:rPr>
          <w:rFonts w:ascii="Arial" w:hAnsi="Arial" w:cs="Arial"/>
          <w:b/>
          <w:u w:val="single"/>
        </w:rPr>
        <w:t xml:space="preserve"> </w:t>
      </w:r>
      <w:r w:rsidR="009E49B4">
        <w:rPr>
          <w:rFonts w:ascii="Arial" w:hAnsi="Arial" w:cs="Arial"/>
          <w:b/>
          <w:highlight w:val="yellow"/>
          <w:u w:val="single"/>
        </w:rPr>
        <w:fldChar w:fldCharType="begin"/>
      </w:r>
      <w:r w:rsidR="009E49B4">
        <w:rPr>
          <w:rFonts w:ascii="Arial" w:hAnsi="Arial" w:cs="Arial"/>
          <w:b/>
          <w:highlight w:val="yellow"/>
          <w:u w:val="single"/>
        </w:rPr>
        <w:instrText>persovalores_personalizable115</w:instrText>
      </w:r>
      <w:r w:rsidR="009E49B4">
        <w:rPr>
          <w:rFonts w:ascii="Arial" w:hAnsi="Arial" w:cs="Arial"/>
          <w:b/>
          <w:highlight w:val="yellow"/>
          <w:u w:val="single"/>
        </w:rPr>
        <w:fldChar w:fldCharType="separate"/>
      </w:r>
      <w:r w:rsidR="009E49B4">
        <w:rPr>
          <w:rFonts w:ascii="Arial" w:hAnsi="Arial" w:cs="Arial"/>
          <w:b/>
          <w:noProof/>
          <w:highlight w:val="yellow"/>
          <w:u w:val="single"/>
        </w:rPr>
        <w:t>«Fechas_Clave_Fecha_Presentación_Demanda»</w:t>
      </w:r>
      <w:r w:rsidR="009E49B4">
        <w:rPr>
          <w:rFonts w:ascii="Arial" w:hAnsi="Arial" w:cs="Arial"/>
          <w:b/>
          <w:highlight w:val="yellow"/>
          <w:u w:val="single"/>
        </w:rPr>
        <w:fldChar w:fldCharType="end"/>
      </w:r>
      <w:r>
        <w:rPr>
          <w:rFonts w:ascii="Arial" w:hAnsi="Arial" w:cs="Arial"/>
          <w:b/>
          <w:u w:val="single"/>
        </w:rPr>
        <w:t xml:space="preserve"> </w:t>
      </w:r>
      <w:r w:rsidRPr="004364A0">
        <w:rPr>
          <w:rFonts w:ascii="Arial" w:hAnsi="Arial" w:cs="Arial"/>
          <w:b/>
          <w:highlight w:val="yellow"/>
          <w:u w:val="single"/>
        </w:rPr>
        <w:t>(DEMANDA</w:t>
      </w:r>
      <w:r>
        <w:rPr>
          <w:rFonts w:ascii="Arial" w:hAnsi="Arial" w:cs="Arial"/>
          <w:b/>
          <w:u w:val="single"/>
        </w:rPr>
        <w:t>)</w:t>
      </w:r>
      <w:r w:rsidRPr="00B57345">
        <w:rPr>
          <w:rFonts w:ascii="Arial" w:hAnsi="Arial" w:cs="Arial"/>
          <w:bCs/>
        </w:rPr>
        <w:t xml:space="preserve">, momento en que existía pleno conocimiento de la potencial </w:t>
      </w:r>
      <w:proofErr w:type="spellStart"/>
      <w:r w:rsidRPr="00B57345">
        <w:rPr>
          <w:rFonts w:ascii="Arial" w:hAnsi="Arial" w:cs="Arial"/>
          <w:bCs/>
        </w:rPr>
        <w:t>abusividad</w:t>
      </w:r>
      <w:proofErr w:type="spellEnd"/>
      <w:r w:rsidRPr="00B57345">
        <w:rPr>
          <w:rFonts w:ascii="Arial" w:hAnsi="Arial" w:cs="Arial"/>
          <w:bCs/>
        </w:rPr>
        <w:t xml:space="preserve"> de la cláusula de imposición de los gastos hipotecarios. </w:t>
      </w:r>
    </w:p>
    <w:p w14:paraId="640F91FB" w14:textId="77777777" w:rsidR="008175AB" w:rsidRDefault="008175AB" w:rsidP="008175AB">
      <w:pPr>
        <w:spacing w:before="240" w:after="240" w:line="360" w:lineRule="auto"/>
        <w:jc w:val="both"/>
        <w:rPr>
          <w:rFonts w:ascii="Arial" w:hAnsi="Arial" w:cs="Arial"/>
          <w:b/>
        </w:rPr>
      </w:pPr>
      <w:r w:rsidRPr="00B57345">
        <w:rPr>
          <w:rFonts w:ascii="Arial" w:hAnsi="Arial" w:cs="Arial"/>
          <w:b/>
          <w:u w:val="single"/>
        </w:rPr>
        <w:t>Por tanto, la única acción que podría llegar a prosperar en el presente asunto sería la declarativa de nulidad</w:t>
      </w:r>
      <w:r w:rsidRPr="00B57345">
        <w:rPr>
          <w:rFonts w:ascii="Arial" w:hAnsi="Arial" w:cs="Arial"/>
        </w:rPr>
        <w:t xml:space="preserve">, que, en caso de ser estimada –algo que esta parte no comparte–, supondría la expulsión de las cláusulas impugnadas del contrato y su consecuente inaplicación a futuro. Sin embargo, </w:t>
      </w:r>
      <w:r w:rsidRPr="00B57345">
        <w:rPr>
          <w:rFonts w:ascii="Arial" w:hAnsi="Arial" w:cs="Arial"/>
          <w:b/>
          <w:u w:val="single"/>
        </w:rPr>
        <w:t>en ningún caso podrá atenderse a la remoción de efectos ya producidos</w:t>
      </w:r>
      <w:r w:rsidRPr="00B57345">
        <w:rPr>
          <w:rFonts w:ascii="Arial" w:hAnsi="Arial" w:cs="Arial"/>
        </w:rPr>
        <w:t>, consistente en la restitución de las ventajas obtenidas, puesto que dicha acción restitutoria ha prescrito en este caso.</w:t>
      </w:r>
    </w:p>
    <w:p w14:paraId="44602FF0" w14:textId="77777777" w:rsidR="008175AB" w:rsidRDefault="008175AB" w:rsidP="008175AB">
      <w:pPr>
        <w:spacing w:before="240" w:after="240" w:line="360" w:lineRule="auto"/>
        <w:jc w:val="both"/>
        <w:rPr>
          <w:rFonts w:ascii="Arial" w:hAnsi="Arial" w:cs="Arial"/>
          <w:b/>
        </w:rPr>
      </w:pPr>
      <w:r w:rsidRPr="00081284">
        <w:rPr>
          <w:rFonts w:ascii="Arial" w:hAnsi="Arial" w:cs="Arial"/>
          <w:b/>
          <w:highlight w:val="cyan"/>
        </w:rPr>
        <w:t>HASTA AQUÍ</w:t>
      </w:r>
    </w:p>
    <w:p w14:paraId="6CE13160" w14:textId="77777777" w:rsidR="008175AB" w:rsidRPr="001811B8" w:rsidRDefault="008175AB" w:rsidP="006A3653">
      <w:pPr>
        <w:spacing w:line="360" w:lineRule="auto"/>
        <w:rPr>
          <w:rFonts w:ascii="Arial" w:hAnsi="Arial" w:cs="Arial"/>
          <w:b/>
          <w:bCs/>
          <w:color w:val="auto"/>
        </w:rPr>
      </w:pPr>
    </w:p>
    <w:p w14:paraId="322A2993" w14:textId="461DBCD5" w:rsidR="00560EE3" w:rsidRPr="001811B8" w:rsidRDefault="00B842FC" w:rsidP="001811B8">
      <w:pPr>
        <w:spacing w:line="360" w:lineRule="auto"/>
        <w:jc w:val="center"/>
        <w:rPr>
          <w:rFonts w:ascii="Arial" w:hAnsi="Arial" w:cs="Arial"/>
          <w:b/>
          <w:bCs/>
          <w:color w:val="auto"/>
        </w:rPr>
      </w:pPr>
      <w:r w:rsidRPr="001811B8">
        <w:rPr>
          <w:rFonts w:ascii="Arial" w:hAnsi="Arial" w:cs="Arial"/>
          <w:b/>
          <w:bCs/>
          <w:color w:val="auto"/>
        </w:rPr>
        <w:t>III</w:t>
      </w:r>
    </w:p>
    <w:p w14:paraId="4146DB7E" w14:textId="77777777" w:rsidR="00F84CCE" w:rsidRPr="001811B8" w:rsidRDefault="00F84CCE" w:rsidP="001811B8">
      <w:pPr>
        <w:spacing w:line="360" w:lineRule="auto"/>
        <w:jc w:val="center"/>
        <w:rPr>
          <w:rFonts w:ascii="Arial" w:hAnsi="Arial" w:cs="Arial"/>
          <w:b/>
          <w:bCs/>
          <w:color w:val="auto"/>
        </w:rPr>
      </w:pPr>
    </w:p>
    <w:p w14:paraId="1689A7D3" w14:textId="6CC52CE3" w:rsidR="0028798D" w:rsidRPr="001811B8" w:rsidRDefault="0028798D" w:rsidP="001811B8">
      <w:pPr>
        <w:suppressAutoHyphens/>
        <w:spacing w:line="360" w:lineRule="auto"/>
        <w:ind w:right="6" w:firstLine="426"/>
        <w:jc w:val="center"/>
        <w:rPr>
          <w:rFonts w:ascii="Arial" w:hAnsi="Arial" w:cs="Arial"/>
          <w:b/>
          <w:color w:val="auto"/>
          <w:u w:val="single"/>
        </w:rPr>
      </w:pPr>
      <w:r w:rsidRPr="001811B8">
        <w:rPr>
          <w:rFonts w:ascii="Arial" w:hAnsi="Arial" w:cs="Arial"/>
          <w:b/>
          <w:color w:val="auto"/>
          <w:u w:val="single"/>
        </w:rPr>
        <w:t>De la improcedencia de la imposición de costas</w:t>
      </w:r>
    </w:p>
    <w:p w14:paraId="39F7FEB4" w14:textId="77777777" w:rsidR="0028798D" w:rsidRPr="001811B8" w:rsidRDefault="0028798D" w:rsidP="001811B8">
      <w:pPr>
        <w:spacing w:line="360" w:lineRule="auto"/>
        <w:jc w:val="both"/>
        <w:rPr>
          <w:rFonts w:ascii="Arial" w:hAnsi="Arial" w:cs="Arial"/>
          <w:color w:val="auto"/>
        </w:rPr>
      </w:pPr>
    </w:p>
    <w:p w14:paraId="00E089DD" w14:textId="77777777" w:rsidR="006A3653" w:rsidRDefault="006A3653" w:rsidP="006A3653">
      <w:pPr>
        <w:suppressAutoHyphens/>
        <w:spacing w:line="360" w:lineRule="auto"/>
        <w:jc w:val="both"/>
        <w:rPr>
          <w:rFonts w:ascii="Arial" w:hAnsi="Arial" w:cs="Arial"/>
          <w:color w:val="auto"/>
        </w:rPr>
      </w:pPr>
      <w:r w:rsidRPr="00F059C5">
        <w:rPr>
          <w:rFonts w:ascii="Arial" w:hAnsi="Arial" w:cs="Arial"/>
          <w:color w:val="auto"/>
          <w:spacing w:val="-4"/>
        </w:rPr>
        <w:t>De conformidad con lo establecido en el artículo 395 de la Ley de Enjuiciamiento Civil (</w:t>
      </w:r>
      <w:r w:rsidRPr="00F059C5">
        <w:rPr>
          <w:rFonts w:ascii="Arial" w:hAnsi="Arial" w:cs="Arial"/>
          <w:i/>
          <w:color w:val="auto"/>
          <w:spacing w:val="-4"/>
        </w:rPr>
        <w:t>“si el demandado se allanare a la demanda antes de contestarla, no procederá la imposición de costas salvo que el tribunal, razonándolo debidamente, aprecie mala fe en el demandado….”)</w:t>
      </w:r>
      <w:r w:rsidRPr="00F059C5">
        <w:rPr>
          <w:rFonts w:ascii="Arial" w:hAnsi="Arial" w:cs="Arial"/>
          <w:color w:val="auto"/>
          <w:spacing w:val="-4"/>
        </w:rPr>
        <w:t xml:space="preserve">, </w:t>
      </w:r>
      <w:r w:rsidRPr="00F059C5">
        <w:rPr>
          <w:rFonts w:ascii="Arial" w:hAnsi="Arial" w:cs="Arial"/>
          <w:color w:val="auto"/>
        </w:rPr>
        <w:t>presentándose el presente escrito de allanamiento antes de transcurrir el plazo al que se refiere el artículo 404.1 de la misma Ley procedimental para contestar a la demanda, solicitamos la no imposición de las costas causadas en esta instancia a mi principal.</w:t>
      </w:r>
    </w:p>
    <w:p w14:paraId="7C3439DC" w14:textId="77777777" w:rsidR="00362EA8" w:rsidRDefault="00362EA8" w:rsidP="006A3653">
      <w:pPr>
        <w:suppressAutoHyphens/>
        <w:spacing w:line="360" w:lineRule="auto"/>
        <w:jc w:val="both"/>
        <w:rPr>
          <w:rFonts w:ascii="Arial" w:hAnsi="Arial" w:cs="Arial"/>
          <w:color w:val="auto"/>
        </w:rPr>
      </w:pPr>
    </w:p>
    <w:p w14:paraId="63FBA0CA" w14:textId="77777777" w:rsidR="00362EA8" w:rsidRPr="00F059C5" w:rsidRDefault="00362EA8" w:rsidP="006A3653">
      <w:pPr>
        <w:suppressAutoHyphens/>
        <w:spacing w:line="360" w:lineRule="auto"/>
        <w:jc w:val="both"/>
        <w:rPr>
          <w:rFonts w:ascii="Arial" w:hAnsi="Arial" w:cs="Arial"/>
          <w:color w:val="auto"/>
        </w:rPr>
      </w:pPr>
    </w:p>
    <w:p w14:paraId="41158EE5" w14:textId="77777777" w:rsidR="006A3653" w:rsidRPr="00F059C5" w:rsidRDefault="006A3653" w:rsidP="006A3653">
      <w:pPr>
        <w:suppressAutoHyphens/>
        <w:spacing w:line="360" w:lineRule="auto"/>
        <w:jc w:val="both"/>
        <w:rPr>
          <w:rFonts w:ascii="Arial" w:hAnsi="Arial" w:cs="Arial"/>
          <w:color w:val="auto"/>
        </w:rPr>
      </w:pPr>
    </w:p>
    <w:p w14:paraId="7317B617" w14:textId="77777777" w:rsidR="006A3653" w:rsidRPr="00F059C5" w:rsidRDefault="006A3653" w:rsidP="006A3653">
      <w:pPr>
        <w:spacing w:line="360" w:lineRule="auto"/>
        <w:jc w:val="both"/>
        <w:rPr>
          <w:rFonts w:ascii="Arial" w:hAnsi="Arial" w:cs="Arial"/>
        </w:rPr>
      </w:pPr>
      <w:r w:rsidRPr="00F059C5">
        <w:rPr>
          <w:rFonts w:ascii="Arial" w:hAnsi="Arial" w:cs="Arial"/>
        </w:rPr>
        <w:t xml:space="preserve">En este sentido y en un asunto idéntico al que nos ocupa sobre condiciones generales de la contratación, se ha pronunciado la reciente </w:t>
      </w:r>
      <w:r w:rsidRPr="00F059C5">
        <w:rPr>
          <w:rFonts w:ascii="Arial" w:hAnsi="Arial" w:cs="Arial"/>
          <w:u w:val="single"/>
        </w:rPr>
        <w:t xml:space="preserve">Sentencia </w:t>
      </w:r>
      <w:proofErr w:type="spellStart"/>
      <w:r w:rsidRPr="00F059C5">
        <w:rPr>
          <w:rFonts w:ascii="Arial" w:hAnsi="Arial" w:cs="Arial"/>
          <w:u w:val="single"/>
        </w:rPr>
        <w:t>nº</w:t>
      </w:r>
      <w:proofErr w:type="spellEnd"/>
      <w:r w:rsidRPr="00F059C5">
        <w:rPr>
          <w:rFonts w:ascii="Arial" w:hAnsi="Arial" w:cs="Arial"/>
          <w:u w:val="single"/>
        </w:rPr>
        <w:t xml:space="preserve"> 131/2021 del Tribunal Supremo, Sala de lo Civil, de 9 de marzo de 2021</w:t>
      </w:r>
      <w:r w:rsidRPr="00F059C5">
        <w:rPr>
          <w:rFonts w:ascii="Arial" w:hAnsi="Arial" w:cs="Arial"/>
        </w:rPr>
        <w:t xml:space="preserve">, contemplando que, en los casos en los que la parte demandada haya procedido a allanarse a la demanda, será siempre y en todo caso de aplicación el artículo 395 de la LEC, </w:t>
      </w:r>
      <w:r w:rsidRPr="00F059C5">
        <w:rPr>
          <w:rFonts w:ascii="Arial" w:hAnsi="Arial" w:cs="Arial"/>
          <w:b/>
        </w:rPr>
        <w:t>exigiendo no solo la existencia de reclamación previa, sino que ésta necesariamente deberá ser fehaciente y justificada para poder advertir mala fe en la actuación de la entidad demandada y la consecuente condena en costas</w:t>
      </w:r>
      <w:r w:rsidRPr="00F059C5">
        <w:rPr>
          <w:rFonts w:ascii="Arial" w:hAnsi="Arial" w:cs="Arial"/>
        </w:rPr>
        <w:t>.</w:t>
      </w:r>
    </w:p>
    <w:p w14:paraId="6FB17FEC" w14:textId="77777777" w:rsidR="006A3653" w:rsidRPr="00F059C5" w:rsidRDefault="006A3653" w:rsidP="006A3653">
      <w:pPr>
        <w:spacing w:line="360" w:lineRule="auto"/>
        <w:jc w:val="both"/>
        <w:rPr>
          <w:rFonts w:ascii="Arial" w:hAnsi="Arial" w:cs="Arial"/>
        </w:rPr>
      </w:pPr>
    </w:p>
    <w:p w14:paraId="07856C69" w14:textId="77777777" w:rsidR="006A3653" w:rsidRPr="00F059C5" w:rsidRDefault="006A3653" w:rsidP="006A3653">
      <w:pPr>
        <w:spacing w:line="360" w:lineRule="auto"/>
        <w:jc w:val="both"/>
        <w:rPr>
          <w:rFonts w:ascii="Arial" w:hAnsi="Arial" w:cs="Arial"/>
        </w:rPr>
      </w:pPr>
      <w:r w:rsidRPr="00F059C5">
        <w:rPr>
          <w:rFonts w:ascii="Arial" w:hAnsi="Arial" w:cs="Arial"/>
        </w:rPr>
        <w:t>En cuanto a las exigencias del requerimiento previo, establece nuestro Alto Tribunal que su mera existencia no conlleva la automática imposición de las costas, sino que es necesario que dicho requerimiento sea apto para evitar el litigio:</w:t>
      </w:r>
    </w:p>
    <w:p w14:paraId="249CAC5F" w14:textId="77777777" w:rsidR="006A3653" w:rsidRPr="00F059C5" w:rsidRDefault="006A3653" w:rsidP="006A3653">
      <w:pPr>
        <w:spacing w:line="360" w:lineRule="auto"/>
        <w:jc w:val="both"/>
        <w:rPr>
          <w:rFonts w:ascii="Arial" w:hAnsi="Arial" w:cs="Arial"/>
          <w:b/>
        </w:rPr>
      </w:pPr>
    </w:p>
    <w:p w14:paraId="298D8324" w14:textId="77777777" w:rsidR="006A3653" w:rsidRPr="00F059C5" w:rsidRDefault="006A3653" w:rsidP="006A3653">
      <w:pPr>
        <w:spacing w:line="360" w:lineRule="auto"/>
        <w:ind w:left="567"/>
        <w:jc w:val="both"/>
        <w:rPr>
          <w:rFonts w:ascii="Arial" w:hAnsi="Arial" w:cs="Arial"/>
          <w:i/>
          <w:iCs/>
        </w:rPr>
      </w:pPr>
      <w:r w:rsidRPr="00F059C5">
        <w:rPr>
          <w:rFonts w:ascii="Arial" w:hAnsi="Arial" w:cs="Arial"/>
          <w:i/>
          <w:iCs/>
        </w:rPr>
        <w:t>“Es razonable concluir, como ha hecho la Audiencia Provincial, que el requerimiento que  determina la existencia de mala fe en la entidad financiera que no accede a satisfacer lo que se le exige (y que conlleva su condena en costas aunque posteriormente se allane a la demanda) es aquel que es apto para evitar el litigio, porque da a la requerida la oportunidad real de  satisfacer extrajudicialmente la pretensión que se le formula, de modo que, si no lo hace, pone al consumidor en la necesidad de acudir a los tribunales para desvincularse de la cláusula abusiva y conseguir la reversión de sus efectos”.</w:t>
      </w:r>
    </w:p>
    <w:p w14:paraId="34ECD29F" w14:textId="77777777" w:rsidR="006A3653" w:rsidRPr="00F059C5" w:rsidRDefault="006A3653" w:rsidP="006A3653">
      <w:pPr>
        <w:spacing w:line="360" w:lineRule="auto"/>
        <w:jc w:val="both"/>
        <w:rPr>
          <w:rFonts w:ascii="Arial" w:hAnsi="Arial" w:cs="Arial"/>
          <w:b/>
        </w:rPr>
      </w:pPr>
    </w:p>
    <w:p w14:paraId="7C58EFBB" w14:textId="77777777" w:rsidR="006A3653" w:rsidRPr="00F059C5" w:rsidRDefault="006A3653" w:rsidP="006A3653">
      <w:pPr>
        <w:spacing w:line="360" w:lineRule="auto"/>
        <w:jc w:val="both"/>
        <w:rPr>
          <w:rFonts w:ascii="Arial" w:hAnsi="Arial" w:cs="Arial"/>
        </w:rPr>
      </w:pPr>
      <w:r w:rsidRPr="00F059C5">
        <w:rPr>
          <w:rFonts w:ascii="Arial" w:hAnsi="Arial" w:cs="Arial"/>
        </w:rPr>
        <w:t>Además, entiende el Tribunal Supremo que la aplicación del artículo 395 LEC no resulta contraria al Derecho de la Unión Europea y a sus principios, pues necesariamente debe de “</w:t>
      </w:r>
      <w:r w:rsidRPr="00F059C5">
        <w:rPr>
          <w:rFonts w:ascii="Arial" w:hAnsi="Arial" w:cs="Arial"/>
          <w:i/>
          <w:iCs/>
        </w:rPr>
        <w:t>cohonestarse con otros principios del Derecho de la UE, como es el de garantizar la buena administración de justicia, indispensable para la efectividad del principio de Estado de Derecho que constituye uno de los pilares del ordenamiento jurídico de la UE.”</w:t>
      </w:r>
    </w:p>
    <w:p w14:paraId="7AF1CE31" w14:textId="77777777" w:rsidR="006A3653" w:rsidRPr="00F059C5" w:rsidRDefault="006A3653" w:rsidP="006A3653">
      <w:pPr>
        <w:spacing w:line="360" w:lineRule="auto"/>
        <w:jc w:val="both"/>
        <w:rPr>
          <w:rFonts w:ascii="Arial" w:hAnsi="Arial" w:cs="Arial"/>
        </w:rPr>
      </w:pPr>
    </w:p>
    <w:p w14:paraId="29803858" w14:textId="77777777" w:rsidR="006A3653" w:rsidRPr="00F059C5" w:rsidRDefault="006A3653" w:rsidP="006A3653">
      <w:pPr>
        <w:suppressAutoHyphens/>
        <w:spacing w:line="360" w:lineRule="auto"/>
        <w:jc w:val="both"/>
        <w:rPr>
          <w:rFonts w:ascii="Arial" w:hAnsi="Arial" w:cs="Arial"/>
          <w:color w:val="auto"/>
        </w:rPr>
      </w:pPr>
      <w:r w:rsidRPr="00F059C5">
        <w:rPr>
          <w:rFonts w:ascii="Arial" w:hAnsi="Arial" w:cs="Arial"/>
          <w:color w:val="auto"/>
        </w:rPr>
        <w:t xml:space="preserve">Pues bien, entiende esta representación que, aun cuando en el presente caso existe reclamación extrajudicial interpuesta ante la entidad financiera con anterioridad a la presentación de la demanda, </w:t>
      </w:r>
      <w:r w:rsidRPr="00F059C5">
        <w:rPr>
          <w:rFonts w:ascii="Arial" w:hAnsi="Arial" w:cs="Arial"/>
          <w:b/>
          <w:color w:val="auto"/>
        </w:rPr>
        <w:t>no cabe apreciar mala fe en la actuación de mi mandante, motivo por el que no cabría la imposición de las costas a esta parte</w:t>
      </w:r>
      <w:r w:rsidRPr="00F059C5">
        <w:rPr>
          <w:rFonts w:ascii="Arial" w:hAnsi="Arial" w:cs="Arial"/>
          <w:color w:val="auto"/>
        </w:rPr>
        <w:t>, y ello por lo siguiente:</w:t>
      </w:r>
    </w:p>
    <w:p w14:paraId="6FDA0480" w14:textId="6EEA010D" w:rsidR="006A3653" w:rsidRPr="00F059C5" w:rsidRDefault="006A3653" w:rsidP="006A3653">
      <w:pPr>
        <w:pStyle w:val="Sinespaciado"/>
        <w:spacing w:line="360" w:lineRule="auto"/>
        <w:jc w:val="both"/>
        <w:rPr>
          <w:rFonts w:ascii="Arial" w:hAnsi="Arial" w:cs="Arial"/>
          <w:sz w:val="20"/>
          <w:szCs w:val="20"/>
        </w:rPr>
      </w:pPr>
    </w:p>
    <w:p w14:paraId="19EB8449" w14:textId="77777777" w:rsidR="006A3653" w:rsidRPr="00F059C5" w:rsidRDefault="006A3653" w:rsidP="006A3653">
      <w:pPr>
        <w:pStyle w:val="Prrafodelista"/>
        <w:widowControl w:val="0"/>
        <w:numPr>
          <w:ilvl w:val="0"/>
          <w:numId w:val="15"/>
        </w:numPr>
        <w:suppressAutoHyphens w:val="0"/>
        <w:spacing w:line="360" w:lineRule="auto"/>
        <w:rPr>
          <w:rFonts w:ascii="Arial" w:eastAsiaTheme="minorHAnsi" w:hAnsi="Arial"/>
          <w:b/>
          <w:highlight w:val="cyan"/>
        </w:rPr>
      </w:pPr>
      <w:r w:rsidRPr="00F059C5">
        <w:rPr>
          <w:rFonts w:ascii="Arial" w:hAnsi="Arial"/>
          <w:b/>
          <w:highlight w:val="cyan"/>
        </w:rPr>
        <w:t xml:space="preserve">Inexistencia de requerimiento previo fehaciente y justificado. </w:t>
      </w:r>
      <w:r w:rsidRPr="00F059C5">
        <w:rPr>
          <w:rFonts w:ascii="Arial" w:eastAsiaTheme="minorHAnsi" w:hAnsi="Arial"/>
          <w:b/>
          <w:highlight w:val="cyan"/>
        </w:rPr>
        <w:t>No aportadas las facturas a la reclamación previa.</w:t>
      </w:r>
    </w:p>
    <w:p w14:paraId="7B3E99A4" w14:textId="77777777" w:rsidR="006A3653" w:rsidRPr="00F059C5" w:rsidRDefault="006A3653" w:rsidP="006A3653">
      <w:pPr>
        <w:pStyle w:val="Sinespaciado"/>
        <w:spacing w:line="360" w:lineRule="auto"/>
        <w:jc w:val="both"/>
        <w:rPr>
          <w:rFonts w:ascii="Arial" w:hAnsi="Arial" w:cs="Arial"/>
          <w:sz w:val="20"/>
          <w:szCs w:val="20"/>
        </w:rPr>
      </w:pPr>
    </w:p>
    <w:p w14:paraId="2B992077" w14:textId="77777777" w:rsidR="006A3653" w:rsidRPr="00F059C5" w:rsidRDefault="006A3653" w:rsidP="006A3653">
      <w:pPr>
        <w:suppressAutoHyphens/>
        <w:spacing w:line="360" w:lineRule="auto"/>
        <w:jc w:val="both"/>
        <w:rPr>
          <w:rFonts w:ascii="Arial" w:hAnsi="Arial" w:cs="Arial"/>
        </w:rPr>
      </w:pPr>
      <w:r w:rsidRPr="00F059C5">
        <w:rPr>
          <w:rFonts w:ascii="Arial" w:hAnsi="Arial" w:cs="Arial"/>
        </w:rPr>
        <w:t xml:space="preserve">A mayor abundamiento, véase que no se desprende del cuerpo de la referida resolución, ni tan siquiera la aportación de las facturas que justificarían los gastos peticionados, no pudiendo por tanto mi mandante valorar la procedencia o no de dicha reclamación, y aún menos, valorarse a efectos de aplicación del art. 395.1 LEC la identidad entre lo solicitado en sede extrajudicial y lo </w:t>
      </w:r>
      <w:r w:rsidRPr="00F059C5">
        <w:rPr>
          <w:rFonts w:ascii="Arial" w:hAnsi="Arial" w:cs="Arial"/>
        </w:rPr>
        <w:lastRenderedPageBreak/>
        <w:t xml:space="preserve">que hoy es objeto de controversia. </w:t>
      </w:r>
    </w:p>
    <w:p w14:paraId="2C7F40AF" w14:textId="77777777" w:rsidR="006A3653" w:rsidRPr="00F059C5" w:rsidRDefault="006A3653" w:rsidP="006A3653">
      <w:pPr>
        <w:pStyle w:val="Sinespaciado"/>
        <w:spacing w:line="360" w:lineRule="auto"/>
        <w:jc w:val="both"/>
        <w:rPr>
          <w:rFonts w:ascii="Arial" w:hAnsi="Arial" w:cs="Arial"/>
          <w:sz w:val="20"/>
          <w:szCs w:val="20"/>
        </w:rPr>
      </w:pPr>
    </w:p>
    <w:p w14:paraId="28E1500B" w14:textId="77777777" w:rsidR="006A3653" w:rsidRPr="00F059C5" w:rsidRDefault="006A3653" w:rsidP="006A3653">
      <w:pPr>
        <w:suppressAutoHyphens/>
        <w:spacing w:line="360" w:lineRule="auto"/>
        <w:jc w:val="both"/>
        <w:rPr>
          <w:rFonts w:ascii="Arial" w:hAnsi="Arial" w:cs="Arial"/>
        </w:rPr>
      </w:pPr>
      <w:r w:rsidRPr="00F059C5">
        <w:rPr>
          <w:rFonts w:ascii="Arial" w:hAnsi="Arial" w:cs="Arial"/>
        </w:rPr>
        <w:t xml:space="preserve">Este es el adoptado mayoritariamente por las Audiencias Provinciales, pudiendo destacar a título de ejemplo la </w:t>
      </w:r>
      <w:r w:rsidRPr="00F059C5">
        <w:rPr>
          <w:rFonts w:ascii="Arial" w:hAnsi="Arial" w:cs="Arial"/>
          <w:b/>
          <w:u w:val="single"/>
        </w:rPr>
        <w:t>Sentencia de 8 de junio de 2020 de la Audiencia Provincial de Granada, Sección 3º</w:t>
      </w:r>
      <w:r w:rsidRPr="00F059C5">
        <w:rPr>
          <w:rFonts w:ascii="Arial" w:hAnsi="Arial" w:cs="Arial"/>
        </w:rPr>
        <w:t xml:space="preserve"> que excluye de condena en costas a la entidad en un caso como el que nos ocupa en el que la parte contraria no aportó las facturas a su reclamación previa, motivo por el que la entidad demandada no podía avenirse en aquél momento a la petición realizada: </w:t>
      </w:r>
      <w:r w:rsidRPr="00F059C5">
        <w:rPr>
          <w:rFonts w:ascii="Arial" w:hAnsi="Arial" w:cs="Arial"/>
          <w:i/>
        </w:rPr>
        <w:t>En el caso ahora analizado, de la documental obrante en autos queda acreditado que la actora se dirigió a su Banco mediante carta presentada en la sucursal de Zaragoza el 29 de febrero de 2019, sin que reclamase pago de ninguna cantidad concreta y tampoco informó al banco de los gastos que habría soportado por el contrato de préstamo hipotecario, a lo que venía obligada si pretendía que esta reclamación tuviera los efectos que busca de una condena al pago de las costas, pues, en todo caso, la carga de la prueba respecto a los gastos efectuados corresponden al actor que es quien efectuó los pagos a terceras personas en el momento de constituirse escritura de préstamo con garantía hipotecaria, por lo que la entidad, aunque hubiese querido, no podía haber atendido al requerimiento.</w:t>
      </w:r>
    </w:p>
    <w:p w14:paraId="66C880FF" w14:textId="77777777" w:rsidR="006A3653" w:rsidRPr="00F059C5" w:rsidRDefault="006A3653" w:rsidP="006A3653">
      <w:pPr>
        <w:suppressAutoHyphens/>
        <w:spacing w:line="360" w:lineRule="auto"/>
        <w:ind w:left="709" w:right="707"/>
        <w:jc w:val="both"/>
        <w:rPr>
          <w:rFonts w:ascii="Arial" w:hAnsi="Arial" w:cs="Arial"/>
          <w:i/>
        </w:rPr>
      </w:pPr>
    </w:p>
    <w:p w14:paraId="3509B006" w14:textId="77777777" w:rsidR="006A3653" w:rsidRPr="00F059C5" w:rsidRDefault="006A3653" w:rsidP="006A3653">
      <w:pPr>
        <w:suppressAutoHyphens/>
        <w:spacing w:line="360" w:lineRule="auto"/>
        <w:ind w:right="707"/>
        <w:jc w:val="both"/>
        <w:rPr>
          <w:rFonts w:ascii="Arial" w:hAnsi="Arial" w:cs="Arial"/>
          <w:i/>
        </w:rPr>
      </w:pPr>
      <w:r w:rsidRPr="00F059C5">
        <w:rPr>
          <w:rFonts w:ascii="Arial" w:hAnsi="Arial" w:cs="Arial"/>
          <w:i/>
        </w:rPr>
        <w:t xml:space="preserve">Es en la demanda presentada el 14 de mayo de 2019, cuando por primera vez aportó las facturas emitidas a su nombre por el notario, registrador y la </w:t>
      </w:r>
      <w:proofErr w:type="gramStart"/>
      <w:r w:rsidRPr="00F059C5">
        <w:rPr>
          <w:rFonts w:ascii="Arial" w:hAnsi="Arial" w:cs="Arial"/>
          <w:i/>
        </w:rPr>
        <w:t>gestoría referidas</w:t>
      </w:r>
      <w:proofErr w:type="gramEnd"/>
      <w:r w:rsidRPr="00F059C5">
        <w:rPr>
          <w:rFonts w:ascii="Arial" w:hAnsi="Arial" w:cs="Arial"/>
          <w:i/>
        </w:rPr>
        <w:t xml:space="preserve"> a la escritura de préstamo con hipoteca, omitiendo el importe de la cuantía reclamada con lo que se produce una clara infracción del art. 399.1 de la LEC, y estableciendo como único criterio para su determinación la remisión a las sentencias del Tribunal Supremo dictadas en el mes de enero de 2109.</w:t>
      </w:r>
    </w:p>
    <w:p w14:paraId="4FB2938C" w14:textId="77777777" w:rsidR="006A3653" w:rsidRPr="00F059C5" w:rsidRDefault="006A3653" w:rsidP="006A3653">
      <w:pPr>
        <w:pStyle w:val="Sinespaciado"/>
        <w:spacing w:line="360" w:lineRule="auto"/>
        <w:jc w:val="both"/>
        <w:rPr>
          <w:rFonts w:ascii="Arial" w:hAnsi="Arial" w:cs="Arial"/>
          <w:sz w:val="20"/>
          <w:szCs w:val="20"/>
        </w:rPr>
      </w:pPr>
    </w:p>
    <w:p w14:paraId="10D332A3" w14:textId="77777777" w:rsidR="006A3653" w:rsidRPr="00F059C5" w:rsidRDefault="006A3653" w:rsidP="006A3653">
      <w:pPr>
        <w:spacing w:line="360" w:lineRule="auto"/>
        <w:jc w:val="both"/>
        <w:rPr>
          <w:rFonts w:ascii="Arial" w:hAnsi="Arial" w:cs="Arial"/>
        </w:rPr>
      </w:pPr>
      <w:r w:rsidRPr="00F059C5">
        <w:rPr>
          <w:rFonts w:ascii="Arial" w:hAnsi="Arial" w:cs="Arial"/>
        </w:rPr>
        <w:t xml:space="preserve">También resulta este el criterio imperante, que viene siendo acogido por nuestros </w:t>
      </w:r>
      <w:r w:rsidRPr="00F059C5">
        <w:rPr>
          <w:rFonts w:ascii="Arial" w:hAnsi="Arial" w:cs="Arial"/>
          <w:u w:val="single"/>
        </w:rPr>
        <w:t>Juzgados especializados</w:t>
      </w:r>
      <w:r w:rsidRPr="00F059C5">
        <w:rPr>
          <w:rFonts w:ascii="Arial" w:hAnsi="Arial" w:cs="Arial"/>
        </w:rPr>
        <w:t>, trayendo a colación, entre otras:</w:t>
      </w:r>
    </w:p>
    <w:p w14:paraId="114A435A" w14:textId="77777777" w:rsidR="006A3653" w:rsidRPr="00F059C5" w:rsidRDefault="006A3653" w:rsidP="006A3653">
      <w:pPr>
        <w:pStyle w:val="Sinespaciado"/>
        <w:spacing w:line="360" w:lineRule="auto"/>
        <w:jc w:val="both"/>
        <w:rPr>
          <w:rFonts w:ascii="Arial" w:hAnsi="Arial" w:cs="Arial"/>
          <w:sz w:val="20"/>
          <w:szCs w:val="20"/>
        </w:rPr>
      </w:pPr>
    </w:p>
    <w:p w14:paraId="690686A5" w14:textId="77777777" w:rsidR="006A3653" w:rsidRPr="00F059C5" w:rsidRDefault="006A3653" w:rsidP="006A3653">
      <w:pPr>
        <w:pStyle w:val="Prrafodelista"/>
        <w:widowControl w:val="0"/>
        <w:numPr>
          <w:ilvl w:val="0"/>
          <w:numId w:val="17"/>
        </w:numPr>
        <w:spacing w:line="360" w:lineRule="auto"/>
        <w:jc w:val="both"/>
        <w:rPr>
          <w:rFonts w:ascii="Arial" w:hAnsi="Arial"/>
          <w:i/>
        </w:rPr>
      </w:pPr>
      <w:r w:rsidRPr="00F059C5">
        <w:rPr>
          <w:rFonts w:ascii="Arial" w:hAnsi="Arial"/>
          <w:b/>
          <w:u w:val="single"/>
        </w:rPr>
        <w:t>Sentencia 340/2021 del Juzgado de Primera Instancia 8 de Huelva, de 19 de mayo, FJ Tercero:</w:t>
      </w:r>
      <w:r w:rsidRPr="00F059C5">
        <w:rPr>
          <w:rFonts w:ascii="Arial" w:hAnsi="Arial"/>
        </w:rPr>
        <w:t xml:space="preserve"> “</w:t>
      </w:r>
      <w:r w:rsidRPr="00F059C5">
        <w:rPr>
          <w:rFonts w:ascii="Arial" w:hAnsi="Arial"/>
          <w:i/>
        </w:rPr>
        <w:t>Conforme a lo dispuesto en el art. 395 LEC, habida cuenta que la reclamación presentada difiere sustancialmente de lo después pedido en la demanda, ya ajustada a la jurisprudencia, a la que también responde el allanamiento de la demandada, además de no acompañar los justificantes de pago, tratándose el de autos de un supuesto distinto de aquel sobre el que se pronunció la STJUE de 16/7/20, entendemos no procede su imposición.”</w:t>
      </w:r>
    </w:p>
    <w:p w14:paraId="3A685590" w14:textId="77777777" w:rsidR="006A3653" w:rsidRPr="00F059C5" w:rsidRDefault="006A3653" w:rsidP="006A3653">
      <w:pPr>
        <w:pStyle w:val="Prrafodelista"/>
        <w:spacing w:line="360" w:lineRule="auto"/>
        <w:jc w:val="both"/>
        <w:rPr>
          <w:rFonts w:ascii="Arial" w:hAnsi="Arial"/>
          <w:i/>
        </w:rPr>
      </w:pPr>
    </w:p>
    <w:p w14:paraId="4FA7452F" w14:textId="77777777" w:rsidR="006A3653" w:rsidRPr="00F059C5" w:rsidRDefault="006A3653" w:rsidP="006A3653">
      <w:pPr>
        <w:pStyle w:val="Prrafodelista"/>
        <w:spacing w:line="360" w:lineRule="auto"/>
        <w:jc w:val="both"/>
        <w:rPr>
          <w:rFonts w:ascii="Arial" w:hAnsi="Arial"/>
          <w:i/>
        </w:rPr>
      </w:pPr>
    </w:p>
    <w:p w14:paraId="5F160E0A" w14:textId="77777777" w:rsidR="006A3653" w:rsidRPr="00F059C5" w:rsidRDefault="006A3653" w:rsidP="006A3653">
      <w:pPr>
        <w:pStyle w:val="Prrafodelista"/>
        <w:widowControl w:val="0"/>
        <w:numPr>
          <w:ilvl w:val="0"/>
          <w:numId w:val="17"/>
        </w:numPr>
        <w:spacing w:line="360" w:lineRule="auto"/>
        <w:jc w:val="both"/>
        <w:rPr>
          <w:rFonts w:ascii="Arial" w:hAnsi="Arial"/>
          <w:i/>
        </w:rPr>
      </w:pPr>
      <w:r w:rsidRPr="00F059C5">
        <w:rPr>
          <w:rFonts w:ascii="Arial" w:hAnsi="Arial"/>
          <w:b/>
          <w:u w:val="single"/>
        </w:rPr>
        <w:t>Sentencia 4494/2019 del Juzgado de Primera Instancia 6 de Oviedo, de 11 de octubre de FJ Segundo:</w:t>
      </w:r>
      <w:r w:rsidRPr="00F059C5">
        <w:rPr>
          <w:rFonts w:ascii="Arial" w:hAnsi="Arial"/>
        </w:rPr>
        <w:t xml:space="preserve"> “</w:t>
      </w:r>
      <w:r w:rsidRPr="00F059C5">
        <w:rPr>
          <w:rFonts w:ascii="Arial" w:hAnsi="Arial"/>
          <w:i/>
        </w:rPr>
        <w:t xml:space="preserve">En cuanto a las costas procesales, teniendo en cuenta que en el requerimiento aportado por la actora no se acompañaban las facturas acreditativas del abono de los gastos reclamados, facturas que deben ser entregadas </w:t>
      </w:r>
      <w:r w:rsidRPr="00F059C5">
        <w:rPr>
          <w:rFonts w:ascii="Arial" w:hAnsi="Arial"/>
          <w:i/>
        </w:rPr>
        <w:lastRenderedPageBreak/>
        <w:t>por copia a la demandada en aras a que ésta puede comprobar no sólo la emisión de las mismas, sino el importe reclamado, máxime teniendo en cuenta que nos encontramos ante un préstamo del año 2007 y que las facturas obran en poder de la parte actora, no existe mala fe en la demandada, que cuando obtiene la copia de las facturas a través del Juzgado, se allana a la demanda, todo ello, de conformidad con lo previsto en el art. 395 de la LEC.”</w:t>
      </w:r>
    </w:p>
    <w:p w14:paraId="6C257A09" w14:textId="77777777" w:rsidR="006A3653" w:rsidRPr="00F059C5" w:rsidRDefault="006A3653" w:rsidP="006A3653">
      <w:pPr>
        <w:pStyle w:val="Sinespaciado"/>
        <w:spacing w:line="360" w:lineRule="auto"/>
        <w:jc w:val="both"/>
        <w:rPr>
          <w:rFonts w:ascii="Arial" w:hAnsi="Arial" w:cs="Arial"/>
          <w:sz w:val="20"/>
          <w:szCs w:val="20"/>
        </w:rPr>
      </w:pPr>
    </w:p>
    <w:p w14:paraId="74C79464" w14:textId="77777777" w:rsidR="006A3653" w:rsidRPr="00F059C5" w:rsidRDefault="006A3653" w:rsidP="006A3653">
      <w:pPr>
        <w:suppressAutoHyphens/>
        <w:spacing w:line="360" w:lineRule="auto"/>
        <w:jc w:val="both"/>
        <w:rPr>
          <w:rFonts w:ascii="Arial" w:hAnsi="Arial" w:cs="Arial"/>
          <w:color w:val="FF0000"/>
        </w:rPr>
      </w:pPr>
      <w:r w:rsidRPr="00F059C5">
        <w:rPr>
          <w:rFonts w:ascii="Arial" w:hAnsi="Arial" w:cs="Arial"/>
        </w:rPr>
        <w:t>Así las cosas y siendo que, como se ha dicho, junto con la reclamación previa presentada de contrario ni tan siquiera se acompañaban las facturas justificativas de los importes reclamados, entiende esta representación que en ningún caso puede advertirse la concurrencia de la mala fe necesaria para la imposición de las costas.</w:t>
      </w:r>
    </w:p>
    <w:p w14:paraId="2BB0B0EE" w14:textId="27718D21" w:rsidR="006A3653" w:rsidRPr="00F059C5" w:rsidRDefault="006A3653" w:rsidP="006A3653">
      <w:pPr>
        <w:pStyle w:val="Sinespaciado"/>
        <w:spacing w:line="360" w:lineRule="auto"/>
        <w:jc w:val="both"/>
        <w:rPr>
          <w:rFonts w:ascii="Arial" w:hAnsi="Arial" w:cs="Arial"/>
          <w:sz w:val="20"/>
          <w:szCs w:val="20"/>
        </w:rPr>
      </w:pPr>
    </w:p>
    <w:p w14:paraId="348073DA" w14:textId="77777777" w:rsidR="006A3653" w:rsidRPr="00F059C5" w:rsidRDefault="006A3653" w:rsidP="006A3653">
      <w:pPr>
        <w:pStyle w:val="Sinespaciado"/>
        <w:spacing w:line="360" w:lineRule="auto"/>
        <w:jc w:val="both"/>
        <w:rPr>
          <w:rFonts w:ascii="Arial" w:hAnsi="Arial" w:cs="Arial"/>
          <w:sz w:val="20"/>
          <w:szCs w:val="20"/>
        </w:rPr>
      </w:pPr>
      <w:r w:rsidRPr="00F059C5">
        <w:rPr>
          <w:rFonts w:ascii="Arial" w:hAnsi="Arial" w:cs="Arial"/>
          <w:sz w:val="20"/>
          <w:szCs w:val="20"/>
        </w:rPr>
        <w:t>Por último, es igualmente preciso destacar que en ningún caso resultan de aplicación las recientes Sentencias del TJUE de 16.07.2020 y del Tribunal Supremo de 17.09.2020 y de 27.01,2021, pues se refieren al artículo 394 de la LEC, supuesto que, conforme ha quedado acreditado, no concurre en el presente asunto al encontrarnos en sede de allanamiento.</w:t>
      </w:r>
    </w:p>
    <w:p w14:paraId="0755E113" w14:textId="4EA92AE1" w:rsidR="00986A68" w:rsidRPr="001811B8" w:rsidRDefault="00986A68" w:rsidP="001811B8">
      <w:pPr>
        <w:spacing w:line="360" w:lineRule="auto"/>
        <w:ind w:right="140"/>
        <w:jc w:val="both"/>
        <w:rPr>
          <w:rFonts w:ascii="Arial" w:hAnsi="Arial" w:cs="Arial"/>
          <w:b/>
          <w:color w:val="auto"/>
        </w:rPr>
      </w:pPr>
    </w:p>
    <w:p w14:paraId="1B85EAE1" w14:textId="0C3BFAB8" w:rsidR="0028798D" w:rsidRDefault="0028798D" w:rsidP="001811B8">
      <w:pPr>
        <w:spacing w:line="360" w:lineRule="auto"/>
        <w:ind w:right="140"/>
        <w:jc w:val="both"/>
        <w:rPr>
          <w:rFonts w:ascii="Arial" w:hAnsi="Arial" w:cs="Arial"/>
          <w:color w:val="auto"/>
        </w:rPr>
      </w:pPr>
      <w:r w:rsidRPr="001811B8">
        <w:rPr>
          <w:rFonts w:ascii="Arial" w:hAnsi="Arial" w:cs="Arial"/>
          <w:b/>
          <w:color w:val="auto"/>
        </w:rPr>
        <w:t>En virtud de todo lo expuesto</w:t>
      </w:r>
      <w:r w:rsidRPr="001811B8">
        <w:rPr>
          <w:rFonts w:ascii="Arial" w:hAnsi="Arial" w:cs="Arial"/>
          <w:color w:val="auto"/>
        </w:rPr>
        <w:t>,</w:t>
      </w:r>
    </w:p>
    <w:p w14:paraId="0860247C" w14:textId="77777777" w:rsidR="00362EA8" w:rsidRPr="001811B8" w:rsidRDefault="00362EA8" w:rsidP="001811B8">
      <w:pPr>
        <w:spacing w:line="360" w:lineRule="auto"/>
        <w:ind w:right="140"/>
        <w:jc w:val="both"/>
        <w:rPr>
          <w:rFonts w:ascii="Arial" w:hAnsi="Arial" w:cs="Arial"/>
          <w:color w:val="auto"/>
        </w:rPr>
      </w:pPr>
    </w:p>
    <w:p w14:paraId="7B908C28" w14:textId="77777777" w:rsidR="0028798D" w:rsidRPr="001811B8" w:rsidRDefault="0028798D" w:rsidP="001811B8">
      <w:pPr>
        <w:spacing w:line="360" w:lineRule="auto"/>
        <w:ind w:right="140"/>
        <w:jc w:val="both"/>
        <w:rPr>
          <w:rFonts w:ascii="Arial" w:hAnsi="Arial" w:cs="Arial"/>
          <w:color w:val="auto"/>
        </w:rPr>
      </w:pPr>
    </w:p>
    <w:p w14:paraId="735DD33D" w14:textId="17F68530" w:rsidR="0028798D" w:rsidRPr="001811B8" w:rsidRDefault="0028798D" w:rsidP="001811B8">
      <w:pPr>
        <w:spacing w:line="360" w:lineRule="auto"/>
        <w:ind w:right="-1"/>
        <w:jc w:val="both"/>
        <w:rPr>
          <w:rFonts w:ascii="Arial" w:hAnsi="Arial" w:cs="Arial"/>
          <w:b/>
          <w:color w:val="auto"/>
        </w:rPr>
      </w:pPr>
      <w:r w:rsidRPr="001811B8">
        <w:rPr>
          <w:rFonts w:ascii="Arial" w:hAnsi="Arial" w:cs="Arial"/>
          <w:b/>
          <w:color w:val="auto"/>
        </w:rPr>
        <w:t xml:space="preserve">SUPLICO AL JUZGADO </w:t>
      </w:r>
      <w:r w:rsidRPr="001811B8">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1811B8">
        <w:rPr>
          <w:rFonts w:ascii="Arial" w:hAnsi="Arial" w:cs="Arial"/>
          <w:b/>
          <w:color w:val="auto"/>
        </w:rPr>
        <w:t>tenga por formulado en tiempo y forma allanamiento</w:t>
      </w:r>
      <w:r w:rsidR="005B4485" w:rsidRPr="001811B8">
        <w:rPr>
          <w:rFonts w:ascii="Arial" w:hAnsi="Arial" w:cs="Arial"/>
          <w:b/>
          <w:color w:val="auto"/>
        </w:rPr>
        <w:t xml:space="preserve"> parcial</w:t>
      </w:r>
      <w:r w:rsidRPr="001811B8">
        <w:rPr>
          <w:rFonts w:ascii="Arial" w:hAnsi="Arial" w:cs="Arial"/>
          <w:b/>
          <w:color w:val="auto"/>
        </w:rPr>
        <w:t xml:space="preserve"> de la demandada </w:t>
      </w:r>
      <w:r w:rsidRPr="001811B8">
        <w:rPr>
          <w:rFonts w:ascii="Arial" w:hAnsi="Arial" w:cs="Arial"/>
          <w:bCs/>
          <w:color w:val="auto"/>
        </w:rPr>
        <w:t>en los términos del artículo 219.1 de la Ley de Enjuiciamiento Civil</w:t>
      </w:r>
      <w:r w:rsidR="005B4485" w:rsidRPr="001811B8">
        <w:rPr>
          <w:rFonts w:ascii="Arial" w:hAnsi="Arial" w:cs="Arial"/>
          <w:color w:val="auto"/>
        </w:rPr>
        <w:t xml:space="preserve">, </w:t>
      </w:r>
      <w:r w:rsidR="005B4485" w:rsidRPr="001811B8">
        <w:rPr>
          <w:rFonts w:ascii="Arial" w:hAnsi="Arial" w:cs="Arial"/>
          <w:b/>
          <w:bCs/>
          <w:color w:val="auto"/>
        </w:rPr>
        <w:t>y</w:t>
      </w:r>
      <w:r w:rsidR="00865C86">
        <w:rPr>
          <w:rFonts w:ascii="Arial" w:hAnsi="Arial" w:cs="Arial"/>
          <w:b/>
          <w:bCs/>
          <w:color w:val="auto"/>
        </w:rPr>
        <w:t xml:space="preserve"> respecto de la acción de restitución de cantidades,</w:t>
      </w:r>
      <w:r w:rsidR="005A4B7A">
        <w:rPr>
          <w:rFonts w:ascii="Arial" w:hAnsi="Arial" w:cs="Arial"/>
          <w:b/>
          <w:bCs/>
          <w:color w:val="auto"/>
        </w:rPr>
        <w:t xml:space="preserve"> declare</w:t>
      </w:r>
      <w:r w:rsidR="006A3653">
        <w:rPr>
          <w:rFonts w:ascii="Arial" w:hAnsi="Arial" w:cs="Arial"/>
          <w:b/>
          <w:bCs/>
          <w:color w:val="auto"/>
        </w:rPr>
        <w:t xml:space="preserve"> esta prescrita </w:t>
      </w:r>
      <w:r w:rsidR="006A3653" w:rsidRPr="005A4B7A">
        <w:rPr>
          <w:rFonts w:ascii="Arial" w:hAnsi="Arial" w:cs="Arial"/>
          <w:b/>
          <w:bCs/>
          <w:color w:val="auto"/>
          <w:u w:val="single"/>
        </w:rPr>
        <w:t>no siendo necesaria la celebración de Audiencia Previa</w:t>
      </w:r>
      <w:r w:rsidR="006A3653">
        <w:rPr>
          <w:rFonts w:ascii="Arial" w:hAnsi="Arial" w:cs="Arial"/>
          <w:b/>
          <w:bCs/>
          <w:color w:val="auto"/>
        </w:rPr>
        <w:t xml:space="preserve"> al ser una cuestión de fondo que puede resolverse en sentencia</w:t>
      </w:r>
      <w:r w:rsidRPr="001811B8">
        <w:rPr>
          <w:rFonts w:ascii="Arial" w:hAnsi="Arial" w:cs="Arial"/>
          <w:color w:val="auto"/>
        </w:rPr>
        <w:t xml:space="preserve">; y en mérito de esta disposición del objeto del proceso y de las manifestaciones en que se sustancia, tras los trámites procesales oportunos, finalmente </w:t>
      </w:r>
      <w:r w:rsidRPr="001811B8">
        <w:rPr>
          <w:rFonts w:ascii="Arial" w:hAnsi="Arial" w:cs="Arial"/>
          <w:b/>
          <w:color w:val="auto"/>
          <w:shd w:val="clear" w:color="auto" w:fill="FFFFFF" w:themeFill="background1"/>
        </w:rPr>
        <w:t>dicte Resolución sin hacer expresa imposición de las costas causadas en este procedimiento a ninguna de las partes,</w:t>
      </w:r>
      <w:r w:rsidRPr="001811B8">
        <w:rPr>
          <w:rFonts w:ascii="Arial" w:hAnsi="Arial" w:cs="Arial"/>
          <w:color w:val="auto"/>
          <w:shd w:val="clear" w:color="auto" w:fill="FFFFFF" w:themeFill="background1"/>
        </w:rPr>
        <w:t xml:space="preserve"> declarándolas en consecuencia de oficio.</w:t>
      </w:r>
    </w:p>
    <w:p w14:paraId="47D50134" w14:textId="36B23788" w:rsidR="00AC5EE4" w:rsidRPr="001811B8" w:rsidRDefault="00AC5EE4" w:rsidP="001811B8">
      <w:pPr>
        <w:suppressAutoHyphens/>
        <w:spacing w:line="360" w:lineRule="auto"/>
        <w:ind w:right="6"/>
        <w:jc w:val="both"/>
        <w:rPr>
          <w:rFonts w:ascii="Arial" w:hAnsi="Arial" w:cs="Arial"/>
          <w:color w:val="auto"/>
        </w:rPr>
      </w:pPr>
    </w:p>
    <w:p w14:paraId="275356D5" w14:textId="1D50D7E9"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OTROSÍ DIGO</w:t>
      </w:r>
      <w:r w:rsidRPr="001811B8">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14:paraId="5E1C164C" w14:textId="77777777" w:rsidR="00AC5EE4" w:rsidRPr="001811B8" w:rsidRDefault="00AC5EE4" w:rsidP="001811B8">
      <w:pPr>
        <w:suppressAutoHyphens/>
        <w:spacing w:line="360" w:lineRule="auto"/>
        <w:ind w:right="6"/>
        <w:jc w:val="both"/>
        <w:rPr>
          <w:rFonts w:ascii="Arial" w:hAnsi="Arial" w:cs="Arial"/>
          <w:color w:val="auto"/>
        </w:rPr>
      </w:pPr>
    </w:p>
    <w:p w14:paraId="4336FF52" w14:textId="77777777" w:rsidR="0028798D" w:rsidRDefault="0028798D" w:rsidP="001811B8">
      <w:pPr>
        <w:spacing w:line="360" w:lineRule="auto"/>
        <w:ind w:right="140"/>
        <w:jc w:val="both"/>
        <w:rPr>
          <w:rFonts w:ascii="Arial" w:hAnsi="Arial" w:cs="Arial"/>
          <w:color w:val="auto"/>
        </w:rPr>
      </w:pPr>
      <w:r w:rsidRPr="001811B8">
        <w:rPr>
          <w:rFonts w:ascii="Arial" w:hAnsi="Arial" w:cs="Arial"/>
          <w:b/>
          <w:color w:val="auto"/>
        </w:rPr>
        <w:t>A su razón</w:t>
      </w:r>
      <w:r w:rsidRPr="001811B8">
        <w:rPr>
          <w:rFonts w:ascii="Arial" w:hAnsi="Arial" w:cs="Arial"/>
          <w:color w:val="auto"/>
        </w:rPr>
        <w:t>,</w:t>
      </w:r>
    </w:p>
    <w:p w14:paraId="023329E5" w14:textId="77777777" w:rsidR="00362EA8" w:rsidRDefault="00362EA8" w:rsidP="001811B8">
      <w:pPr>
        <w:spacing w:line="360" w:lineRule="auto"/>
        <w:ind w:right="140"/>
        <w:jc w:val="both"/>
        <w:rPr>
          <w:rFonts w:ascii="Arial" w:hAnsi="Arial" w:cs="Arial"/>
          <w:color w:val="auto"/>
        </w:rPr>
      </w:pPr>
    </w:p>
    <w:p w14:paraId="099CB552" w14:textId="77777777" w:rsidR="00362EA8" w:rsidRPr="001811B8" w:rsidRDefault="00362EA8" w:rsidP="001811B8">
      <w:pPr>
        <w:spacing w:line="360" w:lineRule="auto"/>
        <w:ind w:right="140"/>
        <w:jc w:val="both"/>
        <w:rPr>
          <w:rFonts w:ascii="Arial" w:hAnsi="Arial" w:cs="Arial"/>
          <w:color w:val="auto"/>
        </w:rPr>
      </w:pPr>
    </w:p>
    <w:p w14:paraId="2FEDD3BE" w14:textId="77777777" w:rsidR="0028798D" w:rsidRPr="001811B8" w:rsidRDefault="0028798D" w:rsidP="001811B8">
      <w:pPr>
        <w:spacing w:line="360" w:lineRule="auto"/>
        <w:ind w:right="140"/>
        <w:jc w:val="both"/>
        <w:rPr>
          <w:rFonts w:ascii="Arial" w:hAnsi="Arial" w:cs="Arial"/>
          <w:color w:val="auto"/>
        </w:rPr>
      </w:pPr>
    </w:p>
    <w:p w14:paraId="51E0E987" w14:textId="77777777" w:rsidR="0028798D" w:rsidRPr="001811B8" w:rsidRDefault="0028798D" w:rsidP="001811B8">
      <w:pPr>
        <w:suppressAutoHyphens/>
        <w:spacing w:line="360" w:lineRule="auto"/>
        <w:ind w:right="6"/>
        <w:jc w:val="both"/>
        <w:rPr>
          <w:rFonts w:ascii="Arial" w:hAnsi="Arial" w:cs="Arial"/>
          <w:color w:val="auto"/>
        </w:rPr>
      </w:pPr>
      <w:r w:rsidRPr="001811B8">
        <w:rPr>
          <w:rFonts w:ascii="Arial" w:hAnsi="Arial" w:cs="Arial"/>
          <w:b/>
          <w:color w:val="auto"/>
        </w:rPr>
        <w:t xml:space="preserve">SUPLICO AL JUZGADO </w:t>
      </w:r>
      <w:r w:rsidRPr="001811B8">
        <w:rPr>
          <w:rFonts w:ascii="Arial" w:hAnsi="Arial" w:cs="Arial"/>
          <w:color w:val="auto"/>
        </w:rPr>
        <w:t>que tenga por manifestado lo que se expresa mediante Otrosí digo y se le permita plazo para subsanar, llegado el caso, los posibles defectos procesales en que pudiere incurrir.</w:t>
      </w:r>
    </w:p>
    <w:p w14:paraId="3C6BC127" w14:textId="77777777" w:rsidR="0028798D" w:rsidRPr="001811B8" w:rsidRDefault="0028798D" w:rsidP="001811B8">
      <w:pPr>
        <w:suppressAutoHyphens/>
        <w:spacing w:line="360" w:lineRule="auto"/>
        <w:ind w:right="6"/>
        <w:jc w:val="both"/>
        <w:rPr>
          <w:rFonts w:ascii="Arial" w:hAnsi="Arial" w:cs="Arial"/>
          <w:color w:val="auto"/>
        </w:rPr>
      </w:pPr>
    </w:p>
    <w:p w14:paraId="0CDDB83B" w14:textId="77777777" w:rsidR="0028798D" w:rsidRPr="001811B8" w:rsidRDefault="0028798D" w:rsidP="001811B8">
      <w:pPr>
        <w:suppressAutoHyphens/>
        <w:spacing w:line="360" w:lineRule="auto"/>
        <w:ind w:right="6"/>
        <w:jc w:val="both"/>
        <w:rPr>
          <w:rFonts w:ascii="Arial" w:hAnsi="Arial" w:cs="Arial"/>
          <w:color w:val="auto"/>
        </w:rPr>
      </w:pPr>
    </w:p>
    <w:p w14:paraId="30F178B7" w14:textId="77777777" w:rsidR="0028798D" w:rsidRPr="001811B8" w:rsidRDefault="0028798D" w:rsidP="001811B8">
      <w:pPr>
        <w:spacing w:line="360" w:lineRule="auto"/>
        <w:jc w:val="center"/>
        <w:rPr>
          <w:rFonts w:ascii="Arial" w:hAnsi="Arial" w:cs="Arial"/>
          <w:b/>
          <w:color w:val="auto"/>
        </w:rPr>
      </w:pPr>
      <w:r w:rsidRPr="001811B8">
        <w:rPr>
          <w:rFonts w:ascii="Arial" w:hAnsi="Arial" w:cs="Arial"/>
          <w:b/>
          <w:color w:val="auto"/>
        </w:rPr>
        <w:t>Es Justicia que respetuosamente pido.</w:t>
      </w:r>
    </w:p>
    <w:p w14:paraId="3AB0D0AF" w14:textId="77777777" w:rsidR="0028798D" w:rsidRPr="001811B8" w:rsidRDefault="0028798D" w:rsidP="001811B8">
      <w:pPr>
        <w:spacing w:line="360" w:lineRule="auto"/>
        <w:jc w:val="center"/>
        <w:rPr>
          <w:rFonts w:ascii="Arial" w:hAnsi="Arial" w:cs="Arial"/>
          <w:b/>
          <w:color w:val="auto"/>
        </w:rPr>
      </w:pPr>
    </w:p>
    <w:p w14:paraId="2C429900" w14:textId="79894E95" w:rsidR="0028798D" w:rsidRPr="001811B8" w:rsidRDefault="009E49B4" w:rsidP="001811B8">
      <w:pPr>
        <w:spacing w:line="360" w:lineRule="auto"/>
        <w:jc w:val="center"/>
        <w:rPr>
          <w:rFonts w:ascii="Arial" w:hAnsi="Arial" w:cs="Arial"/>
          <w:color w:val="auto"/>
        </w:rPr>
      </w:pPr>
      <w:r>
        <w:rPr>
          <w:rFonts w:ascii="Arial" w:hAnsi="Arial" w:cs="Arial"/>
          <w:color w:val="auto"/>
          <w:highlight w:val="yellow"/>
        </w:rPr>
        <w:fldChar w:fldCharType="begin"/>
      </w:r>
      <w:r>
        <w:rPr>
          <w:rFonts w:ascii="Arial" w:hAnsi="Arial" w:cs="Arial"/>
          <w:color w:val="auto"/>
          <w:highlight w:val="yellow"/>
        </w:rPr>
        <w:instrText>juzgado_poblacionjuz__1</w:instrText>
      </w:r>
      <w:r>
        <w:rPr>
          <w:rFonts w:ascii="Arial" w:hAnsi="Arial" w:cs="Arial"/>
          <w:color w:val="auto"/>
          <w:highlight w:val="yellow"/>
        </w:rPr>
        <w:fldChar w:fldCharType="separate"/>
      </w:r>
      <w:r>
        <w:rPr>
          <w:rFonts w:ascii="Arial" w:hAnsi="Arial" w:cs="Arial"/>
          <w:noProof/>
          <w:color w:val="auto"/>
          <w:highlight w:val="yellow"/>
        </w:rPr>
        <w:t>«Juzgados_Población»</w:t>
      </w:r>
      <w:r>
        <w:rPr>
          <w:rFonts w:ascii="Arial" w:hAnsi="Arial" w:cs="Arial"/>
          <w:color w:val="auto"/>
          <w:highlight w:val="yellow"/>
        </w:rPr>
        <w:fldChar w:fldCharType="end"/>
      </w:r>
      <w:r>
        <w:rPr>
          <w:rFonts w:ascii="Arial" w:hAnsi="Arial" w:cs="Arial"/>
          <w:color w:val="auto"/>
          <w:highlight w:val="yellow"/>
        </w:rPr>
        <w:t xml:space="preserve"> </w:t>
      </w:r>
      <w:r w:rsidR="00A26E54" w:rsidRPr="008175AB">
        <w:rPr>
          <w:rFonts w:ascii="Arial" w:hAnsi="Arial" w:cs="Arial"/>
          <w:color w:val="auto"/>
          <w:highlight w:val="yellow"/>
        </w:rPr>
        <w:t xml:space="preserve">a </w:t>
      </w:r>
      <w:r w:rsidR="00415550">
        <w:rPr>
          <w:rFonts w:ascii="Arial" w:hAnsi="Arial" w:cs="Arial"/>
          <w:color w:val="auto"/>
          <w:highlight w:val="yellow"/>
        </w:rPr>
        <w:fldChar w:fldCharType="begin"/>
      </w:r>
      <w:r w:rsidR="00A806DA">
        <w:rPr>
          <w:rFonts w:ascii="Arial" w:hAnsi="Arial" w:cs="Arial"/>
          <w:color w:val="auto"/>
          <w:highlight w:val="yellow"/>
        </w:rPr>
        <w:instrText>director_fechaimpresionlarga</w:instrText>
      </w:r>
      <w:r w:rsidR="00415550">
        <w:rPr>
          <w:rFonts w:ascii="Arial" w:hAnsi="Arial" w:cs="Arial"/>
          <w:color w:val="auto"/>
          <w:highlight w:val="yellow"/>
        </w:rPr>
        <w:fldChar w:fldCharType="separate"/>
      </w:r>
      <w:r w:rsidR="00415550">
        <w:rPr>
          <w:rFonts w:ascii="Arial" w:hAnsi="Arial" w:cs="Arial"/>
          <w:noProof/>
          <w:color w:val="auto"/>
          <w:highlight w:val="yellow"/>
        </w:rPr>
        <w:t>«Empresa_Fecha_Impresión_Larga»</w:t>
      </w:r>
      <w:r w:rsidR="00415550">
        <w:rPr>
          <w:rFonts w:ascii="Arial" w:hAnsi="Arial" w:cs="Arial"/>
          <w:color w:val="auto"/>
          <w:highlight w:val="yellow"/>
        </w:rPr>
        <w:fldChar w:fldCharType="end"/>
      </w:r>
      <w:r w:rsidR="00153C66" w:rsidRPr="00362EA8">
        <w:rPr>
          <w:rFonts w:ascii="Arial" w:hAnsi="Arial" w:cs="Arial"/>
          <w:color w:val="auto"/>
          <w:highlight w:val="yellow"/>
        </w:rPr>
        <w:t>.</w:t>
      </w:r>
    </w:p>
    <w:p w14:paraId="11F45D29" w14:textId="7228B504" w:rsidR="0028798D" w:rsidRPr="001811B8" w:rsidRDefault="0028798D" w:rsidP="001811B8">
      <w:pPr>
        <w:spacing w:line="360" w:lineRule="auto"/>
        <w:ind w:right="140"/>
        <w:rPr>
          <w:rFonts w:ascii="Arial" w:hAnsi="Arial" w:cs="Arial"/>
          <w:color w:val="auto"/>
        </w:rPr>
      </w:pPr>
    </w:p>
    <w:p w14:paraId="75680C39" w14:textId="2EA0C704" w:rsidR="00B43E83" w:rsidRPr="001811B8" w:rsidRDefault="00B43E83" w:rsidP="001811B8">
      <w:pPr>
        <w:spacing w:line="360" w:lineRule="auto"/>
        <w:ind w:right="140"/>
        <w:rPr>
          <w:rFonts w:ascii="Arial" w:hAnsi="Arial" w:cs="Arial"/>
          <w:color w:val="auto"/>
        </w:rPr>
      </w:pPr>
    </w:p>
    <w:p w14:paraId="29510315" w14:textId="77777777" w:rsidR="00B43E83" w:rsidRPr="001811B8" w:rsidRDefault="00B43E83" w:rsidP="001811B8">
      <w:pPr>
        <w:spacing w:line="360" w:lineRule="auto"/>
        <w:ind w:right="140"/>
        <w:rPr>
          <w:rFonts w:ascii="Arial" w:hAnsi="Arial" w:cs="Arial"/>
          <w:color w:val="auto"/>
        </w:rPr>
      </w:pPr>
    </w:p>
    <w:p w14:paraId="66A69E4C" w14:textId="77777777" w:rsidR="0028798D" w:rsidRPr="001811B8" w:rsidRDefault="0028798D" w:rsidP="001811B8">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48"/>
        <w:gridCol w:w="1259"/>
        <w:gridCol w:w="4064"/>
      </w:tblGrid>
      <w:tr w:rsidR="00DB31B0" w:rsidRPr="001811B8" w14:paraId="6943F3EE" w14:textId="77777777" w:rsidTr="001101E5">
        <w:tc>
          <w:tcPr>
            <w:tcW w:w="3794" w:type="dxa"/>
            <w:shd w:val="clear" w:color="auto" w:fill="auto"/>
          </w:tcPr>
          <w:p w14:paraId="4CD9DB15" w14:textId="77777777" w:rsidR="00D46F95" w:rsidRPr="00D46F95" w:rsidRDefault="00D46F95" w:rsidP="001811B8">
            <w:pPr>
              <w:spacing w:line="360" w:lineRule="auto"/>
              <w:jc w:val="center"/>
              <w:rPr>
                <w:rFonts w:ascii="Arial" w:hAnsi="Arial" w:cs="Arial"/>
                <w:b/>
                <w:bCs/>
                <w:color w:val="auto"/>
              </w:rPr>
            </w:pPr>
            <w:r w:rsidRPr="00D46F95">
              <w:rPr>
                <w:rFonts w:ascii="Arial" w:hAnsi="Arial" w:cs="Arial"/>
                <w:b/>
                <w:bCs/>
                <w:color w:val="auto"/>
                <w:highlight w:val="yellow"/>
                <w:lang w:val="es-ES_tradnl"/>
              </w:rPr>
              <w:t>Lucía Martínez Lavara</w:t>
            </w:r>
            <w:r w:rsidRPr="00D46F95">
              <w:rPr>
                <w:rFonts w:ascii="Arial" w:hAnsi="Arial" w:cs="Arial"/>
                <w:b/>
                <w:bCs/>
                <w:color w:val="auto"/>
              </w:rPr>
              <w:t xml:space="preserve"> </w:t>
            </w:r>
          </w:p>
          <w:p w14:paraId="0B666DF3" w14:textId="110D78A4" w:rsidR="0028798D" w:rsidRPr="001811B8" w:rsidRDefault="00986A68" w:rsidP="001811B8">
            <w:pPr>
              <w:spacing w:line="360" w:lineRule="auto"/>
              <w:jc w:val="center"/>
              <w:rPr>
                <w:rFonts w:ascii="Arial" w:hAnsi="Arial" w:cs="Arial"/>
                <w:color w:val="auto"/>
              </w:rPr>
            </w:pPr>
            <w:r>
              <w:rPr>
                <w:rFonts w:ascii="Arial" w:hAnsi="Arial" w:cs="Arial"/>
                <w:color w:val="auto"/>
              </w:rPr>
              <w:t>Letrada</w:t>
            </w:r>
          </w:p>
        </w:tc>
        <w:tc>
          <w:tcPr>
            <w:tcW w:w="1276" w:type="dxa"/>
            <w:shd w:val="clear" w:color="auto" w:fill="auto"/>
          </w:tcPr>
          <w:p w14:paraId="7394C224" w14:textId="77777777" w:rsidR="0028798D" w:rsidRPr="001811B8" w:rsidRDefault="0028798D" w:rsidP="001811B8">
            <w:pPr>
              <w:spacing w:line="360" w:lineRule="auto"/>
              <w:jc w:val="center"/>
              <w:rPr>
                <w:rFonts w:ascii="Arial" w:hAnsi="Arial" w:cs="Arial"/>
                <w:color w:val="auto"/>
              </w:rPr>
            </w:pPr>
          </w:p>
        </w:tc>
        <w:tc>
          <w:tcPr>
            <w:tcW w:w="4110" w:type="dxa"/>
            <w:shd w:val="clear" w:color="auto" w:fill="auto"/>
          </w:tcPr>
          <w:p w14:paraId="06E4683C" w14:textId="77777777" w:rsidR="00B842FC" w:rsidRPr="001811B8" w:rsidRDefault="00C0756F" w:rsidP="001811B8">
            <w:pPr>
              <w:spacing w:line="360" w:lineRule="auto"/>
              <w:jc w:val="center"/>
              <w:rPr>
                <w:rFonts w:ascii="Arial" w:hAnsi="Arial" w:cs="Arial"/>
                <w:b/>
                <w:bCs/>
                <w:color w:val="auto"/>
                <w:lang w:val="es-ES_tradnl"/>
              </w:rPr>
            </w:pPr>
            <w:r w:rsidRPr="00D46F95">
              <w:rPr>
                <w:rFonts w:ascii="Arial" w:hAnsi="Arial" w:cs="Arial"/>
                <w:b/>
                <w:bCs/>
                <w:color w:val="auto"/>
                <w:lang w:val="es-ES_tradnl"/>
              </w:rPr>
              <w:t xml:space="preserve">Gemma </w:t>
            </w:r>
            <w:proofErr w:type="spellStart"/>
            <w:r w:rsidRPr="00D46F95">
              <w:rPr>
                <w:rFonts w:ascii="Arial" w:hAnsi="Arial" w:cs="Arial"/>
                <w:b/>
                <w:bCs/>
                <w:color w:val="auto"/>
                <w:lang w:val="es-ES_tradnl"/>
              </w:rPr>
              <w:t>Donderis</w:t>
            </w:r>
            <w:proofErr w:type="spellEnd"/>
            <w:r w:rsidRPr="00D46F95">
              <w:rPr>
                <w:rFonts w:ascii="Arial" w:hAnsi="Arial" w:cs="Arial"/>
                <w:b/>
                <w:bCs/>
                <w:color w:val="auto"/>
                <w:lang w:val="es-ES_tradnl"/>
              </w:rPr>
              <w:t xml:space="preserve"> de Salazar</w:t>
            </w:r>
          </w:p>
          <w:p w14:paraId="795266F0" w14:textId="09F13E01" w:rsidR="0028798D" w:rsidRPr="001811B8" w:rsidRDefault="00C0756F" w:rsidP="001811B8">
            <w:pPr>
              <w:spacing w:line="360" w:lineRule="auto"/>
              <w:jc w:val="center"/>
              <w:rPr>
                <w:rFonts w:ascii="Arial" w:hAnsi="Arial" w:cs="Arial"/>
                <w:color w:val="auto"/>
              </w:rPr>
            </w:pPr>
            <w:r w:rsidRPr="001811B8">
              <w:rPr>
                <w:rFonts w:ascii="Arial" w:hAnsi="Arial" w:cs="Arial"/>
                <w:color w:val="auto"/>
              </w:rPr>
              <w:t xml:space="preserve"> </w:t>
            </w:r>
            <w:r w:rsidR="0028798D" w:rsidRPr="001811B8">
              <w:rPr>
                <w:rFonts w:ascii="Arial" w:hAnsi="Arial" w:cs="Arial"/>
                <w:color w:val="auto"/>
              </w:rPr>
              <w:t>Procuradora</w:t>
            </w:r>
          </w:p>
        </w:tc>
      </w:tr>
    </w:tbl>
    <w:p w14:paraId="6EF1DD48" w14:textId="77777777" w:rsidR="00EB030B" w:rsidRPr="001811B8" w:rsidRDefault="00EB030B" w:rsidP="001811B8">
      <w:pPr>
        <w:spacing w:line="360" w:lineRule="auto"/>
        <w:rPr>
          <w:rFonts w:ascii="Arial" w:hAnsi="Arial" w:cs="Arial"/>
          <w:color w:val="auto"/>
        </w:rPr>
      </w:pPr>
    </w:p>
    <w:sectPr w:rsidR="00EB030B" w:rsidRPr="001811B8" w:rsidSect="00F418B8">
      <w:headerReference w:type="default" r:id="rId20"/>
      <w:footerReference w:type="default" r:id="rId21"/>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F4B7A" w14:textId="77777777" w:rsidR="00766594" w:rsidRDefault="00766594">
      <w:r>
        <w:separator/>
      </w:r>
    </w:p>
  </w:endnote>
  <w:endnote w:type="continuationSeparator" w:id="0">
    <w:p w14:paraId="475DBA2E" w14:textId="77777777" w:rsidR="00766594" w:rsidRDefault="00766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nkinter">
    <w:altName w:val="Calibri"/>
    <w:charset w:val="00"/>
    <w:family w:val="auto"/>
    <w:pitch w:val="variable"/>
    <w:sig w:usb0="800000AF" w:usb1="1000204B"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jaVu Sans">
    <w:altName w:val="Times New Roman"/>
    <w:charset w:val="00"/>
    <w:family w:val="swiss"/>
    <w:pitch w:val="variable"/>
    <w:sig w:usb0="E7002EFF" w:usb1="D200FDFF" w:usb2="0A246029" w:usb3="00000000" w:csb0="000001FF" w:csb1="00000000"/>
  </w:font>
  <w:font w:name="DejaVuSans">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431570"/>
      <w:docPartObj>
        <w:docPartGallery w:val="Page Numbers (Bottom of Page)"/>
        <w:docPartUnique/>
      </w:docPartObj>
    </w:sdtPr>
    <w:sdtEndPr>
      <w:rPr>
        <w:sz w:val="16"/>
      </w:rPr>
    </w:sdtEndPr>
    <w:sdtContent>
      <w:p w14:paraId="634702C8" w14:textId="494FBB7F" w:rsidR="00773FB9" w:rsidRPr="002E1706" w:rsidRDefault="006F46EB">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A26E54">
          <w:rPr>
            <w:noProof/>
            <w:sz w:val="16"/>
          </w:rPr>
          <w:t>1</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9300B0" w14:textId="77777777" w:rsidR="00766594" w:rsidRDefault="00766594">
      <w:r>
        <w:separator/>
      </w:r>
    </w:p>
  </w:footnote>
  <w:footnote w:type="continuationSeparator" w:id="0">
    <w:p w14:paraId="055D71BE" w14:textId="77777777" w:rsidR="00766594" w:rsidRDefault="00766594">
      <w:r>
        <w:continuationSeparator/>
      </w:r>
    </w:p>
  </w:footnote>
  <w:footnote w:id="1">
    <w:p w14:paraId="4E86E2FD" w14:textId="77777777" w:rsidR="00BD7CC7" w:rsidRPr="00BE758C" w:rsidRDefault="00BD7CC7" w:rsidP="00BD7CC7">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Ley 42/2015, de 5 de octubre, de reforma de la Ley 1/2000, de 7 de enero, de Enjuiciamiento Civil, BOE núm. 239, de 6 de octubre de 2015, páginas 90240 a 90288.</w:t>
      </w:r>
    </w:p>
  </w:footnote>
  <w:footnote w:id="2">
    <w:p w14:paraId="27BEE5B2" w14:textId="77777777" w:rsidR="00BD7CC7" w:rsidRPr="00BE758C" w:rsidRDefault="00BD7CC7" w:rsidP="00BD7CC7">
      <w:pPr>
        <w:pStyle w:val="Textonotapie"/>
        <w:rPr>
          <w:rFonts w:ascii="Arial" w:hAnsi="Arial" w:cs="Arial"/>
          <w:sz w:val="14"/>
        </w:rPr>
      </w:pPr>
      <w:r w:rsidRPr="000B02B6">
        <w:rPr>
          <w:rStyle w:val="Refdenotaalpie"/>
        </w:rPr>
        <w:footnoteRef/>
      </w:r>
      <w:r w:rsidRPr="000B02B6">
        <w:t xml:space="preserve"> </w:t>
      </w:r>
      <w:r w:rsidRPr="00BE758C">
        <w:rPr>
          <w:rFonts w:ascii="Arial" w:hAnsi="Arial" w:cs="Arial"/>
          <w:sz w:val="14"/>
        </w:rPr>
        <w:t>Directrices sobre la interpretación y la aplicación de la Directiva 93/13/CEE del Consejo sobre las cláusulas abusivas en los contratos celebrados con los consumidores (2019/C 323/04), publicadas en el Diario Oficial de la Unión Europea (C 323/04, 17.9.2019).</w:t>
      </w:r>
    </w:p>
  </w:footnote>
  <w:footnote w:id="3">
    <w:p w14:paraId="617EA9B7" w14:textId="77777777" w:rsidR="00BD7CC7" w:rsidRPr="00BE758C" w:rsidRDefault="00BD7CC7" w:rsidP="00BD7CC7">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Sección 4.4 de las Directrices de la Comisión, páginas 43 y 44.</w:t>
      </w:r>
    </w:p>
  </w:footnote>
  <w:footnote w:id="4">
    <w:p w14:paraId="5341B955" w14:textId="77777777" w:rsidR="00BD7CC7" w:rsidRPr="00BE758C" w:rsidRDefault="00BD7CC7" w:rsidP="00BD7CC7">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9.1 de la Directiva 2020/1828.</w:t>
      </w:r>
    </w:p>
  </w:footnote>
  <w:footnote w:id="5">
    <w:p w14:paraId="1B6FC248" w14:textId="77777777" w:rsidR="00BD7CC7" w:rsidRPr="00BE758C" w:rsidRDefault="00BD7CC7" w:rsidP="00BD7CC7">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84.</w:t>
      </w:r>
    </w:p>
  </w:footnote>
  <w:footnote w:id="6">
    <w:p w14:paraId="297CF3D0" w14:textId="77777777" w:rsidR="00BD7CC7" w:rsidRPr="00BE758C" w:rsidRDefault="00BD7CC7" w:rsidP="00BD7CC7">
      <w:pPr>
        <w:jc w:val="both"/>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34: “</w:t>
      </w:r>
      <w:r w:rsidRPr="00BE758C">
        <w:rPr>
          <w:rFonts w:ascii="Arial" w:hAnsi="Arial" w:cs="Arial"/>
          <w:i/>
          <w:iCs/>
          <w:sz w:val="14"/>
        </w:rPr>
        <w:t xml:space="preserve">34. En el caso de autos, la petición de decisión prejudicial se refiere a </w:t>
      </w:r>
      <w:r w:rsidRPr="00BE758C">
        <w:rPr>
          <w:rFonts w:ascii="Arial" w:hAnsi="Arial" w:cs="Arial"/>
          <w:b/>
          <w:bCs/>
          <w:i/>
          <w:iCs/>
          <w:sz w:val="14"/>
          <w:u w:val="single"/>
        </w:rPr>
        <w:t>dos situaciones distintas</w:t>
      </w:r>
      <w:r w:rsidRPr="00BE758C">
        <w:rPr>
          <w:rFonts w:ascii="Arial" w:hAnsi="Arial" w:cs="Arial"/>
          <w:b/>
          <w:bCs/>
          <w:i/>
          <w:iCs/>
          <w:sz w:val="14"/>
        </w:rPr>
        <w:t>,</w:t>
      </w:r>
      <w:r w:rsidRPr="00BE758C">
        <w:rPr>
          <w:rFonts w:ascii="Arial" w:hAnsi="Arial" w:cs="Arial"/>
          <w:i/>
          <w:iCs/>
          <w:sz w:val="14"/>
        </w:rPr>
        <w:t xml:space="preserve"> a saber, por un lado, la oposición de un plazo de prescripción </w:t>
      </w:r>
      <w:r w:rsidRPr="00BE758C">
        <w:rPr>
          <w:rFonts w:ascii="Arial" w:hAnsi="Arial" w:cs="Arial"/>
          <w:i/>
          <w:iCs/>
          <w:sz w:val="14"/>
          <w:u w:val="single"/>
        </w:rPr>
        <w:t>a una acción ejercitada por un consumidor para que se declare el carácter abusivo de una cláusula</w:t>
      </w:r>
      <w:r w:rsidRPr="00BE758C">
        <w:rPr>
          <w:rFonts w:ascii="Arial" w:hAnsi="Arial" w:cs="Arial"/>
          <w:sz w:val="14"/>
        </w:rPr>
        <w:t xml:space="preserve"> </w:t>
      </w:r>
      <w:r w:rsidRPr="00BE758C">
        <w:rPr>
          <w:rFonts w:ascii="Arial" w:hAnsi="Arial" w:cs="Arial"/>
          <w:i/>
          <w:iCs/>
          <w:sz w:val="14"/>
        </w:rPr>
        <w:t xml:space="preserve">incluida en un contrato celebrado entre un profesiones y un consumidor y, por otro lado, la oposición de tal plazo a </w:t>
      </w:r>
      <w:r w:rsidRPr="00BE758C">
        <w:rPr>
          <w:rFonts w:ascii="Arial" w:hAnsi="Arial" w:cs="Arial"/>
          <w:i/>
          <w:iCs/>
          <w:sz w:val="14"/>
          <w:u w:val="single"/>
        </w:rPr>
        <w:t>una acción ejercitada por dicho consumidor para obtener la devolución de cantidades</w:t>
      </w:r>
      <w:r w:rsidRPr="00BE758C">
        <w:rPr>
          <w:rFonts w:ascii="Arial" w:hAnsi="Arial" w:cs="Arial"/>
          <w:sz w:val="14"/>
        </w:rPr>
        <w:t xml:space="preserve"> </w:t>
      </w:r>
      <w:r w:rsidRPr="00BE758C">
        <w:rPr>
          <w:rFonts w:ascii="Arial" w:hAnsi="Arial" w:cs="Arial"/>
          <w:i/>
          <w:iCs/>
          <w:sz w:val="14"/>
        </w:rPr>
        <w:t>indebidamente abonadas, sobre la base de cláusulas abusivas en el sentido de la Directiva 93/13</w:t>
      </w:r>
      <w:r w:rsidRPr="00BE758C">
        <w:rPr>
          <w:rFonts w:ascii="Arial" w:hAnsi="Arial" w:cs="Arial"/>
          <w:sz w:val="14"/>
        </w:rPr>
        <w:t>”.</w:t>
      </w:r>
    </w:p>
  </w:footnote>
  <w:footnote w:id="7">
    <w:p w14:paraId="39A23A1F" w14:textId="77777777" w:rsidR="00BD7CC7" w:rsidRPr="00BE758C" w:rsidRDefault="00BD7CC7" w:rsidP="00BD7CC7">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Concretamente, el artículo 12, apartado 2, párrafo segundo de la Ley 7/1998, de 13 de abril, sobre condiciones generales de la contratación (BOE núm. 89, de 14/04/1998) (“</w:t>
      </w:r>
      <w:r w:rsidRPr="00BE758C">
        <w:rPr>
          <w:rFonts w:ascii="Arial" w:hAnsi="Arial" w:cs="Arial"/>
          <w:b/>
          <w:sz w:val="14"/>
        </w:rPr>
        <w:t>LCGC</w:t>
      </w:r>
      <w:r w:rsidRPr="00BE758C">
        <w:rPr>
          <w:rFonts w:ascii="Arial" w:hAnsi="Arial" w:cs="Arial"/>
          <w:sz w:val="14"/>
        </w:rPr>
        <w:t>”) establece que “</w:t>
      </w:r>
      <w:r w:rsidRPr="00BE758C">
        <w:rPr>
          <w:rFonts w:ascii="Arial" w:hAnsi="Arial" w:cs="Arial"/>
          <w:i/>
          <w:sz w:val="14"/>
        </w:rPr>
        <w:t>a la acción de cesación podrá acumularse, como accesoria, la de devolución de cantidades que se hubiesen cobrado en virtud de las condiciones a que afecte la sentencia y la de indemnización de daños y perjuicios que hubiere causado la aplicación de dichas condiciones</w:t>
      </w:r>
    </w:p>
  </w:footnote>
  <w:footnote w:id="8">
    <w:p w14:paraId="1F9C7CA6" w14:textId="77777777" w:rsidR="00BD7CC7" w:rsidRPr="006C15D1" w:rsidRDefault="00BD7CC7" w:rsidP="00BD7CC7">
      <w:pPr>
        <w:pStyle w:val="Textonotapie"/>
      </w:pPr>
      <w:r w:rsidRPr="00BE758C">
        <w:rPr>
          <w:rStyle w:val="Refdenotaalpie"/>
          <w:rFonts w:cs="Arial"/>
          <w:sz w:val="14"/>
        </w:rPr>
        <w:footnoteRef/>
      </w:r>
      <w:r w:rsidRPr="00BE758C">
        <w:rPr>
          <w:rFonts w:ascii="Arial" w:hAnsi="Arial" w:cs="Arial"/>
          <w:sz w:val="14"/>
        </w:rPr>
        <w:t xml:space="preserve"> Sentencia de la Audiencia Provincial de Barcelona (Sección 15ª), núm. 1828/2020, de 10 de septiembre de 2020, </w:t>
      </w:r>
      <w:proofErr w:type="spellStart"/>
      <w:r w:rsidRPr="00BE758C">
        <w:rPr>
          <w:rFonts w:ascii="Arial" w:hAnsi="Arial" w:cs="Arial"/>
          <w:sz w:val="14"/>
        </w:rPr>
        <w:t>rec.</w:t>
      </w:r>
      <w:proofErr w:type="spellEnd"/>
      <w:r w:rsidRPr="00BE758C">
        <w:rPr>
          <w:rFonts w:ascii="Arial" w:hAnsi="Arial" w:cs="Arial"/>
          <w:sz w:val="14"/>
        </w:rPr>
        <w:t xml:space="preserve"> núm. 265/2020, </w:t>
      </w:r>
      <w:proofErr w:type="gramStart"/>
      <w:r w:rsidRPr="00BE758C">
        <w:rPr>
          <w:rFonts w:ascii="Arial" w:hAnsi="Arial" w:cs="Arial"/>
          <w:sz w:val="14"/>
        </w:rPr>
        <w:t>ES:APB</w:t>
      </w:r>
      <w:proofErr w:type="gramEnd"/>
      <w:r w:rsidRPr="00BE758C">
        <w:rPr>
          <w:rFonts w:ascii="Arial" w:hAnsi="Arial" w:cs="Arial"/>
          <w:sz w:val="14"/>
        </w:rPr>
        <w:t xml:space="preserve">:2020:7927 y núm. 2548/2020, de 1 de diciembre de 2020, </w:t>
      </w:r>
      <w:proofErr w:type="spellStart"/>
      <w:r w:rsidRPr="00BE758C">
        <w:rPr>
          <w:rFonts w:ascii="Arial" w:hAnsi="Arial" w:cs="Arial"/>
          <w:sz w:val="14"/>
        </w:rPr>
        <w:t>rec.</w:t>
      </w:r>
      <w:proofErr w:type="spellEnd"/>
      <w:r w:rsidRPr="00BE758C">
        <w:rPr>
          <w:rFonts w:ascii="Arial" w:hAnsi="Arial" w:cs="Arial"/>
          <w:sz w:val="14"/>
        </w:rPr>
        <w:t xml:space="preserve"> núm. 423/2020, Fundamentos de Derecho Segundo, apartados 8 y 11.</w:t>
      </w:r>
      <w:r w:rsidRPr="00BE758C">
        <w:rPr>
          <w:sz w:val="14"/>
        </w:rPr>
        <w:t xml:space="preserve"> </w:t>
      </w:r>
    </w:p>
  </w:footnote>
  <w:footnote w:id="9">
    <w:p w14:paraId="5166A76C" w14:textId="77777777" w:rsidR="00BD7CC7" w:rsidRPr="00BE758C" w:rsidRDefault="00BD7CC7" w:rsidP="00BD7CC7">
      <w:pPr>
        <w:pStyle w:val="Textonotapie"/>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Sentencia de la Audiencia Provincial de Barcelona (Sección 15ª), núm. 1828/2020, de 10 de septiembre de 2020, </w:t>
      </w:r>
      <w:proofErr w:type="spellStart"/>
      <w:r w:rsidRPr="00BE758C">
        <w:rPr>
          <w:rFonts w:ascii="Arial" w:hAnsi="Arial" w:cs="Arial"/>
          <w:sz w:val="14"/>
          <w:lang w:val="es-ES_tradnl"/>
        </w:rPr>
        <w:t>rec.</w:t>
      </w:r>
      <w:proofErr w:type="spellEnd"/>
      <w:r w:rsidRPr="00BE758C">
        <w:rPr>
          <w:rFonts w:ascii="Arial" w:hAnsi="Arial" w:cs="Arial"/>
          <w:sz w:val="14"/>
          <w:lang w:val="es-ES_tradnl"/>
        </w:rPr>
        <w:t xml:space="preserve"> núm. 265/2020, </w:t>
      </w:r>
      <w:proofErr w:type="gramStart"/>
      <w:r w:rsidRPr="00BE758C">
        <w:rPr>
          <w:rFonts w:ascii="Arial" w:hAnsi="Arial" w:cs="Arial"/>
          <w:sz w:val="14"/>
          <w:lang w:val="es-ES_tradnl"/>
        </w:rPr>
        <w:t>ES:APB</w:t>
      </w:r>
      <w:proofErr w:type="gramEnd"/>
      <w:r w:rsidRPr="00BE758C">
        <w:rPr>
          <w:rFonts w:ascii="Arial" w:hAnsi="Arial" w:cs="Arial"/>
          <w:sz w:val="14"/>
          <w:lang w:val="es-ES_tradnl"/>
        </w:rPr>
        <w:t>:2020:7927, Fundamento de Derecho Segundo, apartado 11.</w:t>
      </w:r>
    </w:p>
  </w:footnote>
  <w:footnote w:id="10">
    <w:p w14:paraId="6A31C022" w14:textId="77777777" w:rsidR="00BD7CC7" w:rsidRPr="00BE758C" w:rsidRDefault="00BD7CC7" w:rsidP="00BD7CC7">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 la Audiencia Provincial de Murcia (Sección 4ª), núm. 311/2020, de 2 de abril de 2020, </w:t>
      </w:r>
      <w:proofErr w:type="spellStart"/>
      <w:r w:rsidRPr="00BE758C">
        <w:rPr>
          <w:rFonts w:ascii="Arial" w:hAnsi="Arial" w:cs="Arial"/>
          <w:sz w:val="14"/>
        </w:rPr>
        <w:t>rec.</w:t>
      </w:r>
      <w:proofErr w:type="spellEnd"/>
      <w:r w:rsidRPr="00BE758C">
        <w:rPr>
          <w:rFonts w:ascii="Arial" w:hAnsi="Arial" w:cs="Arial"/>
          <w:sz w:val="14"/>
        </w:rPr>
        <w:t xml:space="preserve"> núm. 1844/2019, </w:t>
      </w:r>
      <w:proofErr w:type="gramStart"/>
      <w:r w:rsidRPr="00BE758C">
        <w:rPr>
          <w:rFonts w:ascii="Arial" w:hAnsi="Arial" w:cs="Arial"/>
          <w:sz w:val="14"/>
        </w:rPr>
        <w:t>ES:APMU</w:t>
      </w:r>
      <w:proofErr w:type="gramEnd"/>
      <w:r w:rsidRPr="00BE758C">
        <w:rPr>
          <w:rFonts w:ascii="Arial" w:hAnsi="Arial" w:cs="Arial"/>
          <w:sz w:val="14"/>
        </w:rPr>
        <w:t xml:space="preserve">:2020:740, Fundamento de Derecho Tercero, apartado </w:t>
      </w:r>
      <w:proofErr w:type="spellStart"/>
      <w:r w:rsidRPr="00BE758C">
        <w:rPr>
          <w:rFonts w:ascii="Arial" w:hAnsi="Arial" w:cs="Arial"/>
          <w:sz w:val="14"/>
        </w:rPr>
        <w:t>ii</w:t>
      </w:r>
      <w:proofErr w:type="spellEnd"/>
      <w:r w:rsidRPr="00BE758C">
        <w:rPr>
          <w:rFonts w:ascii="Arial" w:hAnsi="Arial" w:cs="Arial"/>
          <w:sz w:val="14"/>
        </w:rPr>
        <w:t>).</w:t>
      </w:r>
    </w:p>
  </w:footnote>
  <w:footnote w:id="11">
    <w:p w14:paraId="11A4D9C2" w14:textId="77777777" w:rsidR="00BD7CC7" w:rsidRPr="000B02B6" w:rsidRDefault="00BD7CC7" w:rsidP="00BD7CC7">
      <w:pPr>
        <w:pStyle w:val="Textonotapie"/>
      </w:pPr>
      <w:r w:rsidRPr="00BE758C">
        <w:rPr>
          <w:rStyle w:val="Refdenotaalpie"/>
          <w:rFonts w:cs="Arial"/>
          <w:sz w:val="14"/>
        </w:rPr>
        <w:footnoteRef/>
      </w:r>
      <w:r w:rsidRPr="00BE758C">
        <w:rPr>
          <w:rFonts w:ascii="Arial" w:hAnsi="Arial" w:cs="Arial"/>
          <w:sz w:val="14"/>
        </w:rPr>
        <w:t xml:space="preserve"> Página 38, último párrafo de las Directrices de la Comisión, con cita de la sentencia del TJUE de 21 de diciembre de 2016, </w:t>
      </w:r>
      <w:r w:rsidRPr="00BE758C">
        <w:rPr>
          <w:rFonts w:ascii="Arial" w:hAnsi="Arial" w:cs="Arial"/>
          <w:i/>
          <w:sz w:val="14"/>
        </w:rPr>
        <w:t>Gutiérrez Naranjo</w:t>
      </w:r>
      <w:r w:rsidRPr="00BE758C">
        <w:rPr>
          <w:rFonts w:ascii="Arial" w:hAnsi="Arial" w:cs="Arial"/>
          <w:sz w:val="14"/>
        </w:rPr>
        <w:t>, asuntos acumulados C-154/15, C-307/15 y C-308/15, EU:C:2016:980, apartados 69 y 70.</w:t>
      </w:r>
    </w:p>
  </w:footnote>
  <w:footnote w:id="12">
    <w:p w14:paraId="7C428F2F" w14:textId="77777777" w:rsidR="00BD7CC7" w:rsidRPr="00BE758C" w:rsidRDefault="00BD7CC7" w:rsidP="00BD7CC7">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apartados 38 y 48.</w:t>
      </w:r>
    </w:p>
  </w:footnote>
  <w:footnote w:id="13">
    <w:p w14:paraId="207C089E" w14:textId="77777777" w:rsidR="00BD7CC7" w:rsidRPr="00BE758C" w:rsidRDefault="00BD7CC7" w:rsidP="00BD7CC7">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Página 44, primer párrafo, con cita de la sentencia del TJUE de 21 de diciembre de 2016, </w:t>
      </w:r>
      <w:r w:rsidRPr="00BE758C">
        <w:rPr>
          <w:rFonts w:ascii="Arial" w:hAnsi="Arial" w:cs="Arial"/>
          <w:i/>
          <w:sz w:val="14"/>
        </w:rPr>
        <w:t>Gutiérrez Naranjo</w:t>
      </w:r>
      <w:r w:rsidRPr="00BE758C">
        <w:rPr>
          <w:rFonts w:ascii="Arial" w:hAnsi="Arial" w:cs="Arial"/>
          <w:sz w:val="14"/>
        </w:rPr>
        <w:t xml:space="preserve">, asuntos acumulados C-154/15, C-307/15 y C-308/15, EU:C:2016:980, apartados 67 a 69; y página 45, quinto párrafo de las Directrices de la Comisión, con cita de la sentencia del TJUE de 12 de febrero de 2015, </w:t>
      </w:r>
      <w:proofErr w:type="spellStart"/>
      <w:r w:rsidRPr="00BE758C">
        <w:rPr>
          <w:rFonts w:ascii="Arial" w:hAnsi="Arial" w:cs="Arial"/>
          <w:i/>
          <w:sz w:val="14"/>
        </w:rPr>
        <w:t>Baczó</w:t>
      </w:r>
      <w:proofErr w:type="spellEnd"/>
      <w:r w:rsidRPr="00BE758C">
        <w:rPr>
          <w:rFonts w:ascii="Arial" w:hAnsi="Arial" w:cs="Arial"/>
          <w:i/>
          <w:sz w:val="14"/>
        </w:rPr>
        <w:t xml:space="preserve"> y </w:t>
      </w:r>
      <w:proofErr w:type="spellStart"/>
      <w:r w:rsidRPr="00BE758C">
        <w:rPr>
          <w:rFonts w:ascii="Arial" w:hAnsi="Arial" w:cs="Arial"/>
          <w:i/>
          <w:sz w:val="14"/>
        </w:rPr>
        <w:t>Vizsnyiczai</w:t>
      </w:r>
      <w:proofErr w:type="spellEnd"/>
      <w:r w:rsidRPr="00BE758C">
        <w:rPr>
          <w:rFonts w:ascii="Arial" w:hAnsi="Arial" w:cs="Arial"/>
          <w:sz w:val="14"/>
        </w:rPr>
        <w:t>, C-567/13, EU:C:2015:88, apartados 42 a 47.</w:t>
      </w:r>
    </w:p>
  </w:footnote>
  <w:footnote w:id="14">
    <w:p w14:paraId="516369B1" w14:textId="77777777" w:rsidR="00BD7CC7" w:rsidRPr="00BE758C" w:rsidRDefault="00BD7CC7" w:rsidP="00BD7CC7">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Sentencia del TJUE de 9 de julio de 2020, </w:t>
      </w:r>
      <w:r w:rsidRPr="00BE758C">
        <w:rPr>
          <w:rFonts w:ascii="Arial" w:hAnsi="Arial" w:cs="Arial"/>
          <w:i/>
          <w:iCs/>
          <w:sz w:val="14"/>
          <w:lang w:val="es-ES_tradnl"/>
        </w:rPr>
        <w:t xml:space="preserve">Ibercaja, </w:t>
      </w:r>
      <w:r w:rsidRPr="00BE758C">
        <w:rPr>
          <w:rFonts w:ascii="Arial" w:hAnsi="Arial" w:cs="Arial"/>
          <w:sz w:val="14"/>
          <w:lang w:val="es-ES_tradnl"/>
        </w:rPr>
        <w:t>asunto C-452/18, EU:C:2020:536, apartado 84.</w:t>
      </w:r>
    </w:p>
  </w:footnote>
  <w:footnote w:id="15">
    <w:p w14:paraId="6DDA9266" w14:textId="77777777" w:rsidR="00BD7CC7" w:rsidRPr="000B02B6" w:rsidRDefault="00BD7CC7" w:rsidP="00BD7CC7">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xml:space="preserve">, asuntos C-224/19 y C-259/19, EU:C:2020:578, apartado 92. En idéntico sentido, STJUE de 9 de julio de 2020, </w:t>
      </w:r>
      <w:proofErr w:type="spellStart"/>
      <w:r w:rsidRPr="00BE758C">
        <w:rPr>
          <w:rFonts w:ascii="Arial" w:hAnsi="Arial" w:cs="Arial"/>
          <w:i/>
          <w:iCs/>
          <w:sz w:val="14"/>
        </w:rPr>
        <w:t>Raiffeisen</w:t>
      </w:r>
      <w:proofErr w:type="spellEnd"/>
      <w:r w:rsidRPr="00BE758C">
        <w:rPr>
          <w:rFonts w:ascii="Arial" w:hAnsi="Arial" w:cs="Arial"/>
          <w:i/>
          <w:iCs/>
          <w:sz w:val="14"/>
        </w:rPr>
        <w:t xml:space="preserve"> Bank y BRD </w:t>
      </w:r>
      <w:proofErr w:type="spellStart"/>
      <w:r w:rsidRPr="00BE758C">
        <w:rPr>
          <w:rFonts w:ascii="Arial" w:hAnsi="Arial" w:cs="Arial"/>
          <w:i/>
          <w:iCs/>
          <w:sz w:val="14"/>
        </w:rPr>
        <w:t>Groupe</w:t>
      </w:r>
      <w:proofErr w:type="spellEnd"/>
      <w:r w:rsidRPr="00BE758C">
        <w:rPr>
          <w:rFonts w:ascii="Arial" w:hAnsi="Arial" w:cs="Arial"/>
          <w:i/>
          <w:iCs/>
          <w:sz w:val="14"/>
        </w:rPr>
        <w:t xml:space="preserve"> Société Générale</w:t>
      </w:r>
      <w:r w:rsidRPr="00BE758C">
        <w:rPr>
          <w:rFonts w:ascii="Arial" w:hAnsi="Arial" w:cs="Arial"/>
          <w:sz w:val="14"/>
        </w:rPr>
        <w:t xml:space="preserve"> -C698/18 y C-699/18, EU:C:2020:537, apartado 58.</w:t>
      </w:r>
    </w:p>
  </w:footnote>
  <w:footnote w:id="16">
    <w:p w14:paraId="752F50DB" w14:textId="77777777" w:rsidR="00BD7CC7" w:rsidRPr="00BE758C" w:rsidRDefault="00BD7CC7" w:rsidP="00BD7CC7">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40.</w:t>
      </w:r>
    </w:p>
  </w:footnote>
  <w:footnote w:id="17">
    <w:p w14:paraId="333DE0DD" w14:textId="77777777" w:rsidR="00BD7CC7" w:rsidRPr="00BE758C" w:rsidRDefault="00BD7CC7" w:rsidP="00BD7CC7">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Sentencias del TJUE 9 de julio de 2020, </w:t>
      </w:r>
      <w:proofErr w:type="spellStart"/>
      <w:r w:rsidRPr="00BE758C">
        <w:rPr>
          <w:rFonts w:ascii="Arial" w:hAnsi="Arial" w:cs="Arial"/>
          <w:i/>
          <w:sz w:val="14"/>
        </w:rPr>
        <w:t>Raiffeisen</w:t>
      </w:r>
      <w:proofErr w:type="spellEnd"/>
      <w:r w:rsidRPr="00BE758C">
        <w:rPr>
          <w:rFonts w:ascii="Arial" w:hAnsi="Arial" w:cs="Arial"/>
          <w:i/>
          <w:sz w:val="14"/>
        </w:rPr>
        <w:t xml:space="preserve"> Bank</w:t>
      </w:r>
      <w:r w:rsidRPr="00BE758C">
        <w:rPr>
          <w:rFonts w:ascii="Arial" w:hAnsi="Arial" w:cs="Arial"/>
          <w:sz w:val="14"/>
        </w:rPr>
        <w:t xml:space="preserve">, C-698/18 y C-699/18, EU:C:2020:537, apartado 57 y de 16 de julio de 2020, </w:t>
      </w:r>
      <w:proofErr w:type="spellStart"/>
      <w:r w:rsidRPr="00BE758C">
        <w:rPr>
          <w:rFonts w:ascii="Arial" w:hAnsi="Arial" w:cs="Arial"/>
          <w:i/>
          <w:sz w:val="14"/>
        </w:rPr>
        <w:t>Caixabank</w:t>
      </w:r>
      <w:proofErr w:type="spellEnd"/>
      <w:r w:rsidRPr="00BE758C">
        <w:rPr>
          <w:rFonts w:ascii="Arial" w:hAnsi="Arial" w:cs="Arial"/>
          <w:sz w:val="14"/>
        </w:rPr>
        <w:t>, C-224/19 y C-259/19, EU:C:2020:578, apartados 83 a 85.</w:t>
      </w:r>
    </w:p>
  </w:footnote>
  <w:footnote w:id="18">
    <w:p w14:paraId="67E84923" w14:textId="77777777" w:rsidR="00BD7CC7" w:rsidRPr="00BE758C" w:rsidRDefault="00BD7CC7" w:rsidP="00BD7CC7">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87.</w:t>
      </w:r>
    </w:p>
  </w:footnote>
  <w:footnote w:id="19">
    <w:p w14:paraId="554AAF29" w14:textId="77777777" w:rsidR="00BD7CC7" w:rsidRPr="00BE758C" w:rsidRDefault="00BD7CC7" w:rsidP="00BD7CC7">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436/2020, de 15 de julio de 2020, </w:t>
      </w:r>
      <w:proofErr w:type="spellStart"/>
      <w:r w:rsidRPr="00BE758C">
        <w:rPr>
          <w:rFonts w:ascii="Arial" w:hAnsi="Arial" w:cs="Arial"/>
          <w:sz w:val="14"/>
        </w:rPr>
        <w:t>rec.</w:t>
      </w:r>
      <w:proofErr w:type="spellEnd"/>
      <w:r w:rsidRPr="00BE758C">
        <w:rPr>
          <w:rFonts w:ascii="Arial" w:hAnsi="Arial" w:cs="Arial"/>
          <w:sz w:val="14"/>
        </w:rPr>
        <w:t xml:space="preserve"> núm. 180/2018, ES:TS:2020:2508, Fundamento de Derecho Segundo, apartado 5.</w:t>
      </w:r>
    </w:p>
  </w:footnote>
  <w:footnote w:id="20">
    <w:p w14:paraId="2D2EA3DE" w14:textId="77777777" w:rsidR="00BD7CC7" w:rsidRPr="00BE758C" w:rsidRDefault="00BD7CC7" w:rsidP="00BD7CC7">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40.</w:t>
      </w:r>
    </w:p>
  </w:footnote>
  <w:footnote w:id="21">
    <w:p w14:paraId="71514BAB" w14:textId="77777777" w:rsidR="00BD7CC7" w:rsidRPr="003D3B51" w:rsidRDefault="00BD7CC7" w:rsidP="00BD7CC7">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87.</w:t>
      </w:r>
    </w:p>
  </w:footnote>
  <w:footnote w:id="22">
    <w:p w14:paraId="56D0DF06" w14:textId="77777777" w:rsidR="00BD7CC7" w:rsidRPr="003D3B51" w:rsidRDefault="00BD7CC7" w:rsidP="00BD7CC7">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C-224/19 y C-259/19, EU:C:2020:578, apartados 90 y 91.</w:t>
      </w:r>
    </w:p>
  </w:footnote>
  <w:footnote w:id="23">
    <w:p w14:paraId="2608C56B" w14:textId="77777777" w:rsidR="00BD7CC7" w:rsidRPr="00D94AA2" w:rsidRDefault="00BD7CC7" w:rsidP="00BD7CC7">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GÓMEZ CORRALIZA, </w:t>
      </w:r>
      <w:r w:rsidRPr="00D94AA2">
        <w:rPr>
          <w:rFonts w:ascii="Arial" w:hAnsi="Arial" w:cs="Arial"/>
          <w:i/>
          <w:sz w:val="14"/>
        </w:rPr>
        <w:t>La caducidad</w:t>
      </w:r>
      <w:r w:rsidRPr="00D94AA2">
        <w:rPr>
          <w:rFonts w:ascii="Arial" w:hAnsi="Arial" w:cs="Arial"/>
          <w:sz w:val="14"/>
        </w:rPr>
        <w:t xml:space="preserve">, </w:t>
      </w:r>
      <w:proofErr w:type="spellStart"/>
      <w:r w:rsidRPr="00D94AA2">
        <w:rPr>
          <w:rFonts w:ascii="Arial" w:hAnsi="Arial" w:cs="Arial"/>
          <w:sz w:val="14"/>
        </w:rPr>
        <w:t>Montecorvo</w:t>
      </w:r>
      <w:proofErr w:type="spellEnd"/>
      <w:r w:rsidRPr="00D94AA2">
        <w:rPr>
          <w:rFonts w:ascii="Arial" w:hAnsi="Arial" w:cs="Arial"/>
          <w:sz w:val="14"/>
        </w:rPr>
        <w:t xml:space="preserve">, Madrid, 1990; UREÑA MARTÍNEZ, </w:t>
      </w:r>
      <w:r w:rsidRPr="00D94AA2">
        <w:rPr>
          <w:rFonts w:ascii="Arial" w:hAnsi="Arial" w:cs="Arial"/>
          <w:i/>
          <w:sz w:val="14"/>
        </w:rPr>
        <w:t>La suspensión de la prescripción extintiva en el Código civil</w:t>
      </w:r>
      <w:r w:rsidRPr="00D94AA2">
        <w:rPr>
          <w:rFonts w:ascii="Arial" w:hAnsi="Arial" w:cs="Arial"/>
          <w:sz w:val="14"/>
        </w:rPr>
        <w:t xml:space="preserve">, Comares, Granada, 1997; RIVERO HERNÁNDEZ, F., </w:t>
      </w:r>
      <w:r w:rsidRPr="00D94AA2">
        <w:rPr>
          <w:rFonts w:ascii="Arial" w:hAnsi="Arial" w:cs="Arial"/>
          <w:i/>
          <w:sz w:val="14"/>
        </w:rPr>
        <w:t>La suspensión de la prescripción extintiva en el Código Civil Español. Estudio crítico de la legalidad vigente</w:t>
      </w:r>
      <w:r w:rsidRPr="00D94AA2">
        <w:rPr>
          <w:rFonts w:ascii="Arial" w:hAnsi="Arial" w:cs="Arial"/>
          <w:sz w:val="14"/>
        </w:rPr>
        <w:t xml:space="preserve">, </w:t>
      </w:r>
      <w:proofErr w:type="spellStart"/>
      <w:r w:rsidRPr="00D94AA2">
        <w:rPr>
          <w:rFonts w:ascii="Arial" w:hAnsi="Arial" w:cs="Arial"/>
          <w:sz w:val="14"/>
        </w:rPr>
        <w:t>Dyckinson</w:t>
      </w:r>
      <w:proofErr w:type="spellEnd"/>
      <w:r w:rsidRPr="00D94AA2">
        <w:rPr>
          <w:rFonts w:ascii="Arial" w:hAnsi="Arial" w:cs="Arial"/>
          <w:sz w:val="14"/>
        </w:rPr>
        <w:t>, Madrid, 2002.</w:t>
      </w:r>
    </w:p>
  </w:footnote>
  <w:footnote w:id="24">
    <w:p w14:paraId="398A645A" w14:textId="77777777" w:rsidR="00BD7CC7" w:rsidRPr="00D94AA2" w:rsidRDefault="00BD7CC7" w:rsidP="00BD7CC7">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Sentencia de la Audiencia Provincial de Barcelona (Sección 15ª), núm. 1828/2020, de 10 de septiembre de 2020, </w:t>
      </w:r>
      <w:proofErr w:type="spellStart"/>
      <w:r w:rsidRPr="00D94AA2">
        <w:rPr>
          <w:rFonts w:ascii="Arial" w:hAnsi="Arial" w:cs="Arial"/>
          <w:sz w:val="14"/>
        </w:rPr>
        <w:t>rec.</w:t>
      </w:r>
      <w:proofErr w:type="spellEnd"/>
      <w:r w:rsidRPr="00D94AA2">
        <w:rPr>
          <w:rFonts w:ascii="Arial" w:hAnsi="Arial" w:cs="Arial"/>
          <w:sz w:val="14"/>
        </w:rPr>
        <w:t xml:space="preserve"> núm. 265/2020, </w:t>
      </w:r>
      <w:proofErr w:type="gramStart"/>
      <w:r w:rsidRPr="00D94AA2">
        <w:rPr>
          <w:rFonts w:ascii="Arial" w:hAnsi="Arial" w:cs="Arial"/>
          <w:sz w:val="14"/>
        </w:rPr>
        <w:t>ES:APB</w:t>
      </w:r>
      <w:proofErr w:type="gramEnd"/>
      <w:r w:rsidRPr="00D94AA2">
        <w:rPr>
          <w:rFonts w:ascii="Arial" w:hAnsi="Arial" w:cs="Arial"/>
          <w:sz w:val="14"/>
        </w:rPr>
        <w:t>:2020:7927, Fundamento de Derecho Tercero, apartado 28.</w:t>
      </w:r>
    </w:p>
  </w:footnote>
  <w:footnote w:id="25">
    <w:p w14:paraId="0D38994E" w14:textId="77777777" w:rsidR="00BD7CC7" w:rsidRPr="00D94AA2" w:rsidRDefault="00BD7CC7" w:rsidP="00BD7CC7">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SAP Barcelona (Secc. 15ª) </w:t>
      </w:r>
      <w:proofErr w:type="spellStart"/>
      <w:r w:rsidRPr="00D94AA2">
        <w:rPr>
          <w:rFonts w:ascii="Arial" w:hAnsi="Arial" w:cs="Arial"/>
          <w:sz w:val="14"/>
          <w:lang w:val="es-ES_tradnl"/>
        </w:rPr>
        <w:t>nº</w:t>
      </w:r>
      <w:proofErr w:type="spellEnd"/>
      <w:r w:rsidRPr="00D94AA2">
        <w:rPr>
          <w:rFonts w:ascii="Arial" w:hAnsi="Arial" w:cs="Arial"/>
          <w:sz w:val="14"/>
          <w:lang w:val="es-ES_tradnl"/>
        </w:rPr>
        <w:t xml:space="preserve"> 911/2021, de 13 de mayo 2021 en referencia a la SAP Valencia (Secc. 9ª), de 1 de febrero de 2018 (JUR 2018, 131835).</w:t>
      </w:r>
    </w:p>
  </w:footnote>
  <w:footnote w:id="26">
    <w:p w14:paraId="4F5DF930" w14:textId="77777777" w:rsidR="00BD7CC7" w:rsidRPr="003D3B51" w:rsidRDefault="00BD7CC7" w:rsidP="00BD7CC7">
      <w:pPr>
        <w:pStyle w:val="Textonotapie"/>
        <w:rPr>
          <w:lang w:val="pt-PT"/>
        </w:rPr>
      </w:pPr>
      <w:r w:rsidRPr="00D94AA2">
        <w:rPr>
          <w:rStyle w:val="Refdenotaalpie"/>
          <w:rFonts w:cs="Arial"/>
          <w:sz w:val="14"/>
        </w:rPr>
        <w:footnoteRef/>
      </w:r>
      <w:r w:rsidRPr="00D94AA2">
        <w:rPr>
          <w:rFonts w:ascii="Arial" w:hAnsi="Arial" w:cs="Arial"/>
          <w:sz w:val="14"/>
        </w:rPr>
        <w:t xml:space="preserve"> Sentencias del Tribunal Supremo (Sala de lo Civil, Sección Pleno) núm. 580/2020, de 5 de noviembre de 2020, ES:TS:2020:3549 [Ponente: Excmo. Sr. D. </w:t>
      </w:r>
      <w:r w:rsidRPr="00D94AA2">
        <w:rPr>
          <w:rFonts w:ascii="Arial" w:hAnsi="Arial" w:cs="Arial"/>
          <w:i/>
          <w:sz w:val="14"/>
        </w:rPr>
        <w:t>Ignacio Sancho Gargallo</w:t>
      </w:r>
      <w:r w:rsidRPr="00D94AA2">
        <w:rPr>
          <w:rFonts w:ascii="Arial" w:hAnsi="Arial" w:cs="Arial"/>
          <w:sz w:val="14"/>
        </w:rPr>
        <w:t xml:space="preserve">], Fundamento de Derecho Tercero, apartado 6 y núm. 581/2020, de 5 de noviembre de 2020, ES:TS:2020:3593 [Ponente: Excmo. </w:t>
      </w:r>
      <w:r w:rsidRPr="00D94AA2">
        <w:rPr>
          <w:rFonts w:ascii="Arial" w:hAnsi="Arial" w:cs="Arial"/>
          <w:sz w:val="14"/>
          <w:lang w:val="pt-PT"/>
        </w:rPr>
        <w:t xml:space="preserve">Sr. D. </w:t>
      </w:r>
      <w:r w:rsidRPr="00D94AA2">
        <w:rPr>
          <w:rFonts w:ascii="Arial" w:hAnsi="Arial" w:cs="Arial"/>
          <w:i/>
          <w:sz w:val="14"/>
          <w:lang w:val="pt-PT"/>
        </w:rPr>
        <w:t>Pedro José Vela Torres</w:t>
      </w:r>
      <w:r w:rsidRPr="00D94AA2">
        <w:rPr>
          <w:rFonts w:ascii="Arial" w:hAnsi="Arial" w:cs="Arial"/>
          <w:sz w:val="14"/>
          <w:lang w:val="pt-PT"/>
        </w:rPr>
        <w:t>], Fundamento de Derecho Cuarto, apartado 5</w:t>
      </w:r>
      <w:r w:rsidRPr="003D3B51">
        <w:rPr>
          <w:lang w:val="pt-PT"/>
        </w:rPr>
        <w:t>.</w:t>
      </w:r>
    </w:p>
  </w:footnote>
  <w:footnote w:id="27">
    <w:p w14:paraId="632D7496" w14:textId="77777777" w:rsidR="00BD7CC7" w:rsidRPr="00D94AA2" w:rsidRDefault="00BD7CC7" w:rsidP="00BD7CC7">
      <w:pPr>
        <w:pStyle w:val="Textonotapie"/>
        <w:rPr>
          <w:rFonts w:ascii="Arial" w:hAnsi="Arial" w:cs="Arial"/>
          <w:lang w:val="es-ES_tradnl"/>
        </w:rPr>
      </w:pPr>
      <w:r w:rsidRPr="00D94AA2">
        <w:rPr>
          <w:rStyle w:val="Refdenotaalpie"/>
          <w:rFonts w:cs="Arial"/>
          <w:sz w:val="14"/>
        </w:rPr>
        <w:footnoteRef/>
      </w:r>
      <w:r w:rsidRPr="00D94AA2">
        <w:rPr>
          <w:rFonts w:ascii="Arial" w:hAnsi="Arial" w:cs="Arial"/>
          <w:sz w:val="14"/>
          <w:lang w:val="es-ES_tradnl"/>
        </w:rPr>
        <w:t xml:space="preserve"> </w:t>
      </w:r>
      <w:hyperlink r:id="rId1" w:history="1">
        <w:r w:rsidRPr="00D94AA2">
          <w:rPr>
            <w:rStyle w:val="Hipervnculo"/>
            <w:rFonts w:ascii="Arial" w:hAnsi="Arial" w:cs="Arial"/>
            <w:sz w:val="14"/>
            <w:lang w:val="es-ES_tradnl"/>
          </w:rPr>
          <w:t>Anuncio Arriaga Asociados &amp; Iker Casillas - #HagamosloFacil - YouTube</w:t>
        </w:r>
      </w:hyperlink>
    </w:p>
  </w:footnote>
  <w:footnote w:id="28">
    <w:p w14:paraId="61DE89A3" w14:textId="77777777" w:rsidR="00BD7CC7" w:rsidRPr="003D3B51" w:rsidRDefault="00BD7CC7" w:rsidP="00BD7CC7">
      <w:pPr>
        <w:pStyle w:val="Textonotapie"/>
        <w:rPr>
          <w:lang w:val="es-ES_tradnl"/>
        </w:rPr>
      </w:pPr>
      <w:r w:rsidRPr="003D3B51">
        <w:rPr>
          <w:rStyle w:val="Refdenotaalpie"/>
        </w:rPr>
        <w:footnoteRef/>
      </w:r>
      <w:r w:rsidRPr="003D3B51">
        <w:rPr>
          <w:lang w:val="es-ES_tradnl"/>
        </w:rPr>
        <w:t xml:space="preserve"> </w:t>
      </w:r>
      <w:hyperlink r:id="rId2" w:history="1">
        <w:r w:rsidRPr="003D3B51">
          <w:rPr>
            <w:rStyle w:val="Hipervnculo"/>
            <w:lang w:val="es-ES_tradnl"/>
          </w:rPr>
          <w:t>Entrevista de 'Más vale tarde' de La Sexta a ADICAE: gastos hipotecarios y cláusulas suelo - YouTube</w:t>
        </w:r>
      </w:hyperlink>
    </w:p>
  </w:footnote>
  <w:footnote w:id="29">
    <w:p w14:paraId="391BD74A" w14:textId="77777777" w:rsidR="008175AB" w:rsidRPr="00BE758C" w:rsidRDefault="008175AB" w:rsidP="008175AB">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Ley 42/2015, de 5 de octubre, de reforma de la Ley 1/2000, de 7 de enero, de Enjuiciamiento Civil, BOE núm. 239, de 6 de octubre de 2015, páginas 90240 a 90288.</w:t>
      </w:r>
    </w:p>
  </w:footnote>
  <w:footnote w:id="30">
    <w:p w14:paraId="7C1F0832" w14:textId="77777777" w:rsidR="008175AB" w:rsidRPr="00BE758C" w:rsidRDefault="008175AB" w:rsidP="008175AB">
      <w:pPr>
        <w:pStyle w:val="Textonotapie"/>
        <w:rPr>
          <w:rFonts w:ascii="Arial" w:hAnsi="Arial" w:cs="Arial"/>
          <w:sz w:val="14"/>
        </w:rPr>
      </w:pPr>
      <w:r w:rsidRPr="000B02B6">
        <w:rPr>
          <w:rStyle w:val="Refdenotaalpie"/>
        </w:rPr>
        <w:footnoteRef/>
      </w:r>
      <w:r w:rsidRPr="000B02B6">
        <w:t xml:space="preserve"> </w:t>
      </w:r>
      <w:r w:rsidRPr="00BE758C">
        <w:rPr>
          <w:rFonts w:ascii="Arial" w:hAnsi="Arial" w:cs="Arial"/>
          <w:sz w:val="14"/>
        </w:rPr>
        <w:t>Directrices sobre la interpretación y la aplicación de la Directiva 93/13/CEE del Consejo sobre las cláusulas abusivas en los contratos celebrados con los consumidores (2019/C 323/04), publicadas en el Diario Oficial de la Unión Europea (C 323/04, 17.9.2019).</w:t>
      </w:r>
    </w:p>
  </w:footnote>
  <w:footnote w:id="31">
    <w:p w14:paraId="4D8A6FF5" w14:textId="77777777" w:rsidR="008175AB" w:rsidRPr="00BE758C" w:rsidRDefault="008175AB" w:rsidP="008175AB">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Sección 4.4 de las Directrices de la Comisión, páginas 43 y 44.</w:t>
      </w:r>
    </w:p>
  </w:footnote>
  <w:footnote w:id="32">
    <w:p w14:paraId="52F5E557" w14:textId="77777777" w:rsidR="008175AB" w:rsidRPr="00BE758C" w:rsidRDefault="008175AB" w:rsidP="008175AB">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9.1 de la Directiva 2020/1828.</w:t>
      </w:r>
    </w:p>
  </w:footnote>
  <w:footnote w:id="33">
    <w:p w14:paraId="3E6C248E" w14:textId="77777777" w:rsidR="008175AB" w:rsidRPr="00BE758C" w:rsidRDefault="008175AB" w:rsidP="008175AB">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84.</w:t>
      </w:r>
    </w:p>
  </w:footnote>
  <w:footnote w:id="34">
    <w:p w14:paraId="55C32F48" w14:textId="77777777" w:rsidR="008175AB" w:rsidRPr="00BE758C" w:rsidRDefault="008175AB" w:rsidP="008175AB">
      <w:pPr>
        <w:jc w:val="both"/>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34: “</w:t>
      </w:r>
      <w:r w:rsidRPr="00BE758C">
        <w:rPr>
          <w:rFonts w:ascii="Arial" w:hAnsi="Arial" w:cs="Arial"/>
          <w:i/>
          <w:iCs/>
          <w:sz w:val="14"/>
        </w:rPr>
        <w:t xml:space="preserve">34. En el caso de autos, la petición de decisión prejudicial se refiere a </w:t>
      </w:r>
      <w:r w:rsidRPr="00BE758C">
        <w:rPr>
          <w:rFonts w:ascii="Arial" w:hAnsi="Arial" w:cs="Arial"/>
          <w:b/>
          <w:bCs/>
          <w:i/>
          <w:iCs/>
          <w:sz w:val="14"/>
          <w:u w:val="single"/>
        </w:rPr>
        <w:t>dos situaciones distintas</w:t>
      </w:r>
      <w:r w:rsidRPr="00BE758C">
        <w:rPr>
          <w:rFonts w:ascii="Arial" w:hAnsi="Arial" w:cs="Arial"/>
          <w:b/>
          <w:bCs/>
          <w:i/>
          <w:iCs/>
          <w:sz w:val="14"/>
        </w:rPr>
        <w:t>,</w:t>
      </w:r>
      <w:r w:rsidRPr="00BE758C">
        <w:rPr>
          <w:rFonts w:ascii="Arial" w:hAnsi="Arial" w:cs="Arial"/>
          <w:i/>
          <w:iCs/>
          <w:sz w:val="14"/>
        </w:rPr>
        <w:t xml:space="preserve"> a saber, por un lado, la oposición de un plazo de prescripción </w:t>
      </w:r>
      <w:r w:rsidRPr="00BE758C">
        <w:rPr>
          <w:rFonts w:ascii="Arial" w:hAnsi="Arial" w:cs="Arial"/>
          <w:i/>
          <w:iCs/>
          <w:sz w:val="14"/>
          <w:u w:val="single"/>
        </w:rPr>
        <w:t>a una acción ejercitada por un consumidor para que se declare el carácter abusivo de una cláusula</w:t>
      </w:r>
      <w:r w:rsidRPr="00BE758C">
        <w:rPr>
          <w:rFonts w:ascii="Arial" w:hAnsi="Arial" w:cs="Arial"/>
          <w:sz w:val="14"/>
        </w:rPr>
        <w:t xml:space="preserve"> </w:t>
      </w:r>
      <w:r w:rsidRPr="00BE758C">
        <w:rPr>
          <w:rFonts w:ascii="Arial" w:hAnsi="Arial" w:cs="Arial"/>
          <w:i/>
          <w:iCs/>
          <w:sz w:val="14"/>
        </w:rPr>
        <w:t xml:space="preserve">incluida en un contrato celebrado entre un profesiones y un consumidor y, por otro lado, la oposición de tal plazo a </w:t>
      </w:r>
      <w:r w:rsidRPr="00BE758C">
        <w:rPr>
          <w:rFonts w:ascii="Arial" w:hAnsi="Arial" w:cs="Arial"/>
          <w:i/>
          <w:iCs/>
          <w:sz w:val="14"/>
          <w:u w:val="single"/>
        </w:rPr>
        <w:t>una acción ejercitada por dicho consumidor para obtener la devolución de cantidades</w:t>
      </w:r>
      <w:r w:rsidRPr="00BE758C">
        <w:rPr>
          <w:rFonts w:ascii="Arial" w:hAnsi="Arial" w:cs="Arial"/>
          <w:sz w:val="14"/>
        </w:rPr>
        <w:t xml:space="preserve"> </w:t>
      </w:r>
      <w:r w:rsidRPr="00BE758C">
        <w:rPr>
          <w:rFonts w:ascii="Arial" w:hAnsi="Arial" w:cs="Arial"/>
          <w:i/>
          <w:iCs/>
          <w:sz w:val="14"/>
        </w:rPr>
        <w:t>indebidamente abonadas, sobre la base de cláusulas abusivas en el sentido de la Directiva 93/13</w:t>
      </w:r>
      <w:r w:rsidRPr="00BE758C">
        <w:rPr>
          <w:rFonts w:ascii="Arial" w:hAnsi="Arial" w:cs="Arial"/>
          <w:sz w:val="14"/>
        </w:rPr>
        <w:t>”.</w:t>
      </w:r>
    </w:p>
  </w:footnote>
  <w:footnote w:id="35">
    <w:p w14:paraId="3BF9B2E0" w14:textId="77777777" w:rsidR="008175AB" w:rsidRPr="00BE758C" w:rsidRDefault="008175AB" w:rsidP="008175AB">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Concretamente, el artículo 12, apartado 2, párrafo segundo de la Ley 7/1998, de 13 de abril, sobre condiciones generales de la contratación (BOE núm. 89, de 14/04/1998) (“</w:t>
      </w:r>
      <w:r w:rsidRPr="00BE758C">
        <w:rPr>
          <w:rFonts w:ascii="Arial" w:hAnsi="Arial" w:cs="Arial"/>
          <w:b/>
          <w:sz w:val="14"/>
        </w:rPr>
        <w:t>LCGC</w:t>
      </w:r>
      <w:r w:rsidRPr="00BE758C">
        <w:rPr>
          <w:rFonts w:ascii="Arial" w:hAnsi="Arial" w:cs="Arial"/>
          <w:sz w:val="14"/>
        </w:rPr>
        <w:t>”) establece que “</w:t>
      </w:r>
      <w:r w:rsidRPr="00BE758C">
        <w:rPr>
          <w:rFonts w:ascii="Arial" w:hAnsi="Arial" w:cs="Arial"/>
          <w:i/>
          <w:sz w:val="14"/>
        </w:rPr>
        <w:t>a la acción de cesación podrá acumularse, como accesoria, la de devolución de cantidades que se hubiesen cobrado en virtud de las condiciones a que afecte la sentencia y la de indemnización de daños y perjuicios que hubiere causado la aplicación de dichas condiciones</w:t>
      </w:r>
    </w:p>
  </w:footnote>
  <w:footnote w:id="36">
    <w:p w14:paraId="75500D6B" w14:textId="77777777" w:rsidR="008175AB" w:rsidRPr="006C15D1" w:rsidRDefault="008175AB" w:rsidP="008175AB">
      <w:pPr>
        <w:pStyle w:val="Textonotapie"/>
      </w:pPr>
      <w:r w:rsidRPr="00BE758C">
        <w:rPr>
          <w:rStyle w:val="Refdenotaalpie"/>
          <w:rFonts w:cs="Arial"/>
          <w:sz w:val="14"/>
        </w:rPr>
        <w:footnoteRef/>
      </w:r>
      <w:r w:rsidRPr="00BE758C">
        <w:rPr>
          <w:rFonts w:ascii="Arial" w:hAnsi="Arial" w:cs="Arial"/>
          <w:sz w:val="14"/>
        </w:rPr>
        <w:t xml:space="preserve"> Sentencia de la Audiencia Provincial de Barcelona (Sección 15ª), núm. 1828/2020, de 10 de septiembre de 2020, </w:t>
      </w:r>
      <w:proofErr w:type="spellStart"/>
      <w:r w:rsidRPr="00BE758C">
        <w:rPr>
          <w:rFonts w:ascii="Arial" w:hAnsi="Arial" w:cs="Arial"/>
          <w:sz w:val="14"/>
        </w:rPr>
        <w:t>rec.</w:t>
      </w:r>
      <w:proofErr w:type="spellEnd"/>
      <w:r w:rsidRPr="00BE758C">
        <w:rPr>
          <w:rFonts w:ascii="Arial" w:hAnsi="Arial" w:cs="Arial"/>
          <w:sz w:val="14"/>
        </w:rPr>
        <w:t xml:space="preserve"> núm. 265/2020, </w:t>
      </w:r>
      <w:proofErr w:type="gramStart"/>
      <w:r w:rsidRPr="00BE758C">
        <w:rPr>
          <w:rFonts w:ascii="Arial" w:hAnsi="Arial" w:cs="Arial"/>
          <w:sz w:val="14"/>
        </w:rPr>
        <w:t>ES:APB</w:t>
      </w:r>
      <w:proofErr w:type="gramEnd"/>
      <w:r w:rsidRPr="00BE758C">
        <w:rPr>
          <w:rFonts w:ascii="Arial" w:hAnsi="Arial" w:cs="Arial"/>
          <w:sz w:val="14"/>
        </w:rPr>
        <w:t xml:space="preserve">:2020:7927 y núm. 2548/2020, de 1 de diciembre de 2020, </w:t>
      </w:r>
      <w:proofErr w:type="spellStart"/>
      <w:r w:rsidRPr="00BE758C">
        <w:rPr>
          <w:rFonts w:ascii="Arial" w:hAnsi="Arial" w:cs="Arial"/>
          <w:sz w:val="14"/>
        </w:rPr>
        <w:t>rec.</w:t>
      </w:r>
      <w:proofErr w:type="spellEnd"/>
      <w:r w:rsidRPr="00BE758C">
        <w:rPr>
          <w:rFonts w:ascii="Arial" w:hAnsi="Arial" w:cs="Arial"/>
          <w:sz w:val="14"/>
        </w:rPr>
        <w:t xml:space="preserve"> núm. 423/2020, Fundamentos de Derecho Segundo, apartados 8 y 11.</w:t>
      </w:r>
      <w:r w:rsidRPr="00BE758C">
        <w:rPr>
          <w:sz w:val="14"/>
        </w:rPr>
        <w:t xml:space="preserve"> </w:t>
      </w:r>
    </w:p>
  </w:footnote>
  <w:footnote w:id="37">
    <w:p w14:paraId="1B1FBE1B" w14:textId="77777777" w:rsidR="008175AB" w:rsidRPr="00BE758C" w:rsidRDefault="008175AB" w:rsidP="008175AB">
      <w:pPr>
        <w:pStyle w:val="Textonotapie"/>
        <w:rPr>
          <w:rFonts w:ascii="Arial" w:hAnsi="Arial" w:cs="Arial"/>
          <w:sz w:val="14"/>
        </w:rPr>
      </w:pPr>
      <w:r w:rsidRPr="00BE758C">
        <w:rPr>
          <w:rStyle w:val="Refdenotaalpie"/>
          <w:rFonts w:cs="Arial"/>
          <w:sz w:val="14"/>
        </w:rPr>
        <w:footnoteRef/>
      </w:r>
      <w:r w:rsidRPr="00BE758C">
        <w:rPr>
          <w:rFonts w:ascii="Arial" w:hAnsi="Arial" w:cs="Arial"/>
          <w:sz w:val="14"/>
          <w:lang w:val="es-ES_tradnl"/>
        </w:rPr>
        <w:t xml:space="preserve"> Sentencia de la Audiencia Provincial de Barcelona (Sección 15ª), núm. 1828/2020, de 10 de septiembre de 2020, </w:t>
      </w:r>
      <w:proofErr w:type="spellStart"/>
      <w:r w:rsidRPr="00BE758C">
        <w:rPr>
          <w:rFonts w:ascii="Arial" w:hAnsi="Arial" w:cs="Arial"/>
          <w:sz w:val="14"/>
          <w:lang w:val="es-ES_tradnl"/>
        </w:rPr>
        <w:t>rec.</w:t>
      </w:r>
      <w:proofErr w:type="spellEnd"/>
      <w:r w:rsidRPr="00BE758C">
        <w:rPr>
          <w:rFonts w:ascii="Arial" w:hAnsi="Arial" w:cs="Arial"/>
          <w:sz w:val="14"/>
          <w:lang w:val="es-ES_tradnl"/>
        </w:rPr>
        <w:t xml:space="preserve"> núm. 265/2020, </w:t>
      </w:r>
      <w:proofErr w:type="gramStart"/>
      <w:r w:rsidRPr="00BE758C">
        <w:rPr>
          <w:rFonts w:ascii="Arial" w:hAnsi="Arial" w:cs="Arial"/>
          <w:sz w:val="14"/>
          <w:lang w:val="es-ES_tradnl"/>
        </w:rPr>
        <w:t>ES:APB</w:t>
      </w:r>
      <w:proofErr w:type="gramEnd"/>
      <w:r w:rsidRPr="00BE758C">
        <w:rPr>
          <w:rFonts w:ascii="Arial" w:hAnsi="Arial" w:cs="Arial"/>
          <w:sz w:val="14"/>
          <w:lang w:val="es-ES_tradnl"/>
        </w:rPr>
        <w:t>:2020:7927, Fundamento de Derecho Segundo, apartado 11.</w:t>
      </w:r>
    </w:p>
  </w:footnote>
  <w:footnote w:id="38">
    <w:p w14:paraId="2BCCCB94" w14:textId="77777777" w:rsidR="008175AB" w:rsidRPr="00BE758C" w:rsidRDefault="008175AB" w:rsidP="008175AB">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 la Audiencia Provincial de Murcia (Sección 4ª), núm. 311/2020, de 2 de abril de 2020, </w:t>
      </w:r>
      <w:proofErr w:type="spellStart"/>
      <w:r w:rsidRPr="00BE758C">
        <w:rPr>
          <w:rFonts w:ascii="Arial" w:hAnsi="Arial" w:cs="Arial"/>
          <w:sz w:val="14"/>
        </w:rPr>
        <w:t>rec.</w:t>
      </w:r>
      <w:proofErr w:type="spellEnd"/>
      <w:r w:rsidRPr="00BE758C">
        <w:rPr>
          <w:rFonts w:ascii="Arial" w:hAnsi="Arial" w:cs="Arial"/>
          <w:sz w:val="14"/>
        </w:rPr>
        <w:t xml:space="preserve"> núm. 1844/2019, </w:t>
      </w:r>
      <w:proofErr w:type="gramStart"/>
      <w:r w:rsidRPr="00BE758C">
        <w:rPr>
          <w:rFonts w:ascii="Arial" w:hAnsi="Arial" w:cs="Arial"/>
          <w:sz w:val="14"/>
        </w:rPr>
        <w:t>ES:APMU</w:t>
      </w:r>
      <w:proofErr w:type="gramEnd"/>
      <w:r w:rsidRPr="00BE758C">
        <w:rPr>
          <w:rFonts w:ascii="Arial" w:hAnsi="Arial" w:cs="Arial"/>
          <w:sz w:val="14"/>
        </w:rPr>
        <w:t xml:space="preserve">:2020:740, Fundamento de Derecho Tercero, apartado </w:t>
      </w:r>
      <w:proofErr w:type="spellStart"/>
      <w:r w:rsidRPr="00BE758C">
        <w:rPr>
          <w:rFonts w:ascii="Arial" w:hAnsi="Arial" w:cs="Arial"/>
          <w:sz w:val="14"/>
        </w:rPr>
        <w:t>ii</w:t>
      </w:r>
      <w:proofErr w:type="spellEnd"/>
      <w:r w:rsidRPr="00BE758C">
        <w:rPr>
          <w:rFonts w:ascii="Arial" w:hAnsi="Arial" w:cs="Arial"/>
          <w:sz w:val="14"/>
        </w:rPr>
        <w:t>).</w:t>
      </w:r>
    </w:p>
  </w:footnote>
  <w:footnote w:id="39">
    <w:p w14:paraId="6AAAC853" w14:textId="77777777" w:rsidR="008175AB" w:rsidRPr="000B02B6" w:rsidRDefault="008175AB" w:rsidP="008175AB">
      <w:pPr>
        <w:pStyle w:val="Textonotapie"/>
      </w:pPr>
      <w:r w:rsidRPr="00BE758C">
        <w:rPr>
          <w:rStyle w:val="Refdenotaalpie"/>
          <w:rFonts w:cs="Arial"/>
          <w:sz w:val="14"/>
        </w:rPr>
        <w:footnoteRef/>
      </w:r>
      <w:r w:rsidRPr="00BE758C">
        <w:rPr>
          <w:rFonts w:ascii="Arial" w:hAnsi="Arial" w:cs="Arial"/>
          <w:sz w:val="14"/>
        </w:rPr>
        <w:t xml:space="preserve"> Página 38, último párrafo de las Directrices de la Comisión, con cita de la sentencia del TJUE de 21 de diciembre de 2016, </w:t>
      </w:r>
      <w:r w:rsidRPr="00BE758C">
        <w:rPr>
          <w:rFonts w:ascii="Arial" w:hAnsi="Arial" w:cs="Arial"/>
          <w:i/>
          <w:sz w:val="14"/>
        </w:rPr>
        <w:t>Gutiérrez Naranjo</w:t>
      </w:r>
      <w:r w:rsidRPr="00BE758C">
        <w:rPr>
          <w:rFonts w:ascii="Arial" w:hAnsi="Arial" w:cs="Arial"/>
          <w:sz w:val="14"/>
        </w:rPr>
        <w:t>, asuntos acumulados C-154/15, C-307/15 y C-308/15, EU:C:2016:980, apartados 69 y 70.</w:t>
      </w:r>
    </w:p>
  </w:footnote>
  <w:footnote w:id="40">
    <w:p w14:paraId="34D41702" w14:textId="77777777" w:rsidR="008175AB" w:rsidRPr="00BE758C" w:rsidRDefault="008175AB" w:rsidP="008175AB">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apartados 38 y 48.</w:t>
      </w:r>
    </w:p>
  </w:footnote>
  <w:footnote w:id="41">
    <w:p w14:paraId="47836F0F" w14:textId="77777777" w:rsidR="008175AB" w:rsidRPr="00BE758C" w:rsidRDefault="008175AB" w:rsidP="008175AB">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Página 44, primer párrafo, con cita de la sentencia del TJUE de 21 de diciembre de 2016, </w:t>
      </w:r>
      <w:r w:rsidRPr="00BE758C">
        <w:rPr>
          <w:rFonts w:ascii="Arial" w:hAnsi="Arial" w:cs="Arial"/>
          <w:i/>
          <w:sz w:val="14"/>
        </w:rPr>
        <w:t>Gutiérrez Naranjo</w:t>
      </w:r>
      <w:r w:rsidRPr="00BE758C">
        <w:rPr>
          <w:rFonts w:ascii="Arial" w:hAnsi="Arial" w:cs="Arial"/>
          <w:sz w:val="14"/>
        </w:rPr>
        <w:t xml:space="preserve">, asuntos acumulados C-154/15, C-307/15 y C-308/15, EU:C:2016:980, apartados 67 a 69; y página 45, quinto párrafo de las Directrices de la Comisión, con cita de la sentencia del TJUE de 12 de febrero de 2015, </w:t>
      </w:r>
      <w:proofErr w:type="spellStart"/>
      <w:r w:rsidRPr="00BE758C">
        <w:rPr>
          <w:rFonts w:ascii="Arial" w:hAnsi="Arial" w:cs="Arial"/>
          <w:i/>
          <w:sz w:val="14"/>
        </w:rPr>
        <w:t>Baczó</w:t>
      </w:r>
      <w:proofErr w:type="spellEnd"/>
      <w:r w:rsidRPr="00BE758C">
        <w:rPr>
          <w:rFonts w:ascii="Arial" w:hAnsi="Arial" w:cs="Arial"/>
          <w:i/>
          <w:sz w:val="14"/>
        </w:rPr>
        <w:t xml:space="preserve"> y </w:t>
      </w:r>
      <w:proofErr w:type="spellStart"/>
      <w:r w:rsidRPr="00BE758C">
        <w:rPr>
          <w:rFonts w:ascii="Arial" w:hAnsi="Arial" w:cs="Arial"/>
          <w:i/>
          <w:sz w:val="14"/>
        </w:rPr>
        <w:t>Vizsnyiczai</w:t>
      </w:r>
      <w:proofErr w:type="spellEnd"/>
      <w:r w:rsidRPr="00BE758C">
        <w:rPr>
          <w:rFonts w:ascii="Arial" w:hAnsi="Arial" w:cs="Arial"/>
          <w:sz w:val="14"/>
        </w:rPr>
        <w:t>, C-567/13, EU:C:2015:88, apartados 42 a 47.</w:t>
      </w:r>
    </w:p>
  </w:footnote>
  <w:footnote w:id="42">
    <w:p w14:paraId="1848694B" w14:textId="77777777" w:rsidR="008175AB" w:rsidRPr="00BE758C" w:rsidRDefault="008175AB" w:rsidP="008175AB">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Sentencia del TJUE de 9 de julio de 2020, </w:t>
      </w:r>
      <w:r w:rsidRPr="00BE758C">
        <w:rPr>
          <w:rFonts w:ascii="Arial" w:hAnsi="Arial" w:cs="Arial"/>
          <w:i/>
          <w:iCs/>
          <w:sz w:val="14"/>
          <w:lang w:val="es-ES_tradnl"/>
        </w:rPr>
        <w:t xml:space="preserve">Ibercaja, </w:t>
      </w:r>
      <w:r w:rsidRPr="00BE758C">
        <w:rPr>
          <w:rFonts w:ascii="Arial" w:hAnsi="Arial" w:cs="Arial"/>
          <w:sz w:val="14"/>
          <w:lang w:val="es-ES_tradnl"/>
        </w:rPr>
        <w:t>asunto C-452/18, EU:C:2020:536, apartado 84.</w:t>
      </w:r>
    </w:p>
  </w:footnote>
  <w:footnote w:id="43">
    <w:p w14:paraId="2CFC29BB" w14:textId="77777777" w:rsidR="008175AB" w:rsidRPr="000B02B6" w:rsidRDefault="008175AB" w:rsidP="008175AB">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xml:space="preserve">, asuntos C-224/19 y C-259/19, EU:C:2020:578, apartado 92. En idéntico sentido, STJUE de 9 de julio de 2020, </w:t>
      </w:r>
      <w:proofErr w:type="spellStart"/>
      <w:r w:rsidRPr="00BE758C">
        <w:rPr>
          <w:rFonts w:ascii="Arial" w:hAnsi="Arial" w:cs="Arial"/>
          <w:i/>
          <w:iCs/>
          <w:sz w:val="14"/>
        </w:rPr>
        <w:t>Raiffeisen</w:t>
      </w:r>
      <w:proofErr w:type="spellEnd"/>
      <w:r w:rsidRPr="00BE758C">
        <w:rPr>
          <w:rFonts w:ascii="Arial" w:hAnsi="Arial" w:cs="Arial"/>
          <w:i/>
          <w:iCs/>
          <w:sz w:val="14"/>
        </w:rPr>
        <w:t xml:space="preserve"> Bank y BRD </w:t>
      </w:r>
      <w:proofErr w:type="spellStart"/>
      <w:r w:rsidRPr="00BE758C">
        <w:rPr>
          <w:rFonts w:ascii="Arial" w:hAnsi="Arial" w:cs="Arial"/>
          <w:i/>
          <w:iCs/>
          <w:sz w:val="14"/>
        </w:rPr>
        <w:t>Groupe</w:t>
      </w:r>
      <w:proofErr w:type="spellEnd"/>
      <w:r w:rsidRPr="00BE758C">
        <w:rPr>
          <w:rFonts w:ascii="Arial" w:hAnsi="Arial" w:cs="Arial"/>
          <w:i/>
          <w:iCs/>
          <w:sz w:val="14"/>
        </w:rPr>
        <w:t xml:space="preserve"> Société Générale</w:t>
      </w:r>
      <w:r w:rsidRPr="00BE758C">
        <w:rPr>
          <w:rFonts w:ascii="Arial" w:hAnsi="Arial" w:cs="Arial"/>
          <w:sz w:val="14"/>
        </w:rPr>
        <w:t xml:space="preserve"> -C698/18 y C-699/18, EU:C:2020:537, apartado 58.</w:t>
      </w:r>
    </w:p>
  </w:footnote>
  <w:footnote w:id="44">
    <w:p w14:paraId="60D9A959" w14:textId="77777777" w:rsidR="008175AB" w:rsidRPr="00BE758C" w:rsidRDefault="008175AB" w:rsidP="008175AB">
      <w:pPr>
        <w:pStyle w:val="Textonotapie"/>
        <w:rPr>
          <w:rFonts w:ascii="Arial" w:hAnsi="Arial" w:cs="Arial"/>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40.</w:t>
      </w:r>
    </w:p>
  </w:footnote>
  <w:footnote w:id="45">
    <w:p w14:paraId="1942A0F0" w14:textId="77777777" w:rsidR="008175AB" w:rsidRPr="00BE758C" w:rsidRDefault="008175AB" w:rsidP="008175AB">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Sentencias del TJUE 9 de julio de 2020, </w:t>
      </w:r>
      <w:proofErr w:type="spellStart"/>
      <w:r w:rsidRPr="00BE758C">
        <w:rPr>
          <w:rFonts w:ascii="Arial" w:hAnsi="Arial" w:cs="Arial"/>
          <w:i/>
          <w:sz w:val="14"/>
        </w:rPr>
        <w:t>Raiffeisen</w:t>
      </w:r>
      <w:proofErr w:type="spellEnd"/>
      <w:r w:rsidRPr="00BE758C">
        <w:rPr>
          <w:rFonts w:ascii="Arial" w:hAnsi="Arial" w:cs="Arial"/>
          <w:i/>
          <w:sz w:val="14"/>
        </w:rPr>
        <w:t xml:space="preserve"> Bank</w:t>
      </w:r>
      <w:r w:rsidRPr="00BE758C">
        <w:rPr>
          <w:rFonts w:ascii="Arial" w:hAnsi="Arial" w:cs="Arial"/>
          <w:sz w:val="14"/>
        </w:rPr>
        <w:t xml:space="preserve">, C-698/18 y C-699/18, EU:C:2020:537, apartado 57 y de 16 de julio de 2020, </w:t>
      </w:r>
      <w:proofErr w:type="spellStart"/>
      <w:r w:rsidRPr="00BE758C">
        <w:rPr>
          <w:rFonts w:ascii="Arial" w:hAnsi="Arial" w:cs="Arial"/>
          <w:i/>
          <w:sz w:val="14"/>
        </w:rPr>
        <w:t>Caixabank</w:t>
      </w:r>
      <w:proofErr w:type="spellEnd"/>
      <w:r w:rsidRPr="00BE758C">
        <w:rPr>
          <w:rFonts w:ascii="Arial" w:hAnsi="Arial" w:cs="Arial"/>
          <w:sz w:val="14"/>
        </w:rPr>
        <w:t>, C-224/19 y C-259/19, EU:C:2020:578, apartados 83 a 85.</w:t>
      </w:r>
    </w:p>
  </w:footnote>
  <w:footnote w:id="46">
    <w:p w14:paraId="2C24D65B" w14:textId="77777777" w:rsidR="008175AB" w:rsidRPr="00BE758C" w:rsidRDefault="008175AB" w:rsidP="008175AB">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87.</w:t>
      </w:r>
    </w:p>
  </w:footnote>
  <w:footnote w:id="47">
    <w:p w14:paraId="1C401942" w14:textId="77777777" w:rsidR="008175AB" w:rsidRPr="00BE758C" w:rsidRDefault="008175AB" w:rsidP="008175AB">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436/2020, de 15 de julio de 2020, </w:t>
      </w:r>
      <w:proofErr w:type="spellStart"/>
      <w:r w:rsidRPr="00BE758C">
        <w:rPr>
          <w:rFonts w:ascii="Arial" w:hAnsi="Arial" w:cs="Arial"/>
          <w:sz w:val="14"/>
        </w:rPr>
        <w:t>rec.</w:t>
      </w:r>
      <w:proofErr w:type="spellEnd"/>
      <w:r w:rsidRPr="00BE758C">
        <w:rPr>
          <w:rFonts w:ascii="Arial" w:hAnsi="Arial" w:cs="Arial"/>
          <w:sz w:val="14"/>
        </w:rPr>
        <w:t xml:space="preserve"> núm. 180/2018, ES:TS:2020:2508, Fundamento de Derecho Segundo, apartado 5.</w:t>
      </w:r>
    </w:p>
  </w:footnote>
  <w:footnote w:id="48">
    <w:p w14:paraId="6215B54B" w14:textId="77777777" w:rsidR="008175AB" w:rsidRPr="00BE758C" w:rsidRDefault="008175AB" w:rsidP="008175AB">
      <w:pPr>
        <w:pStyle w:val="Textonotapie"/>
        <w:rPr>
          <w:rFonts w:ascii="Arial" w:hAnsi="Arial" w:cs="Arial"/>
          <w:sz w:val="14"/>
          <w:lang w:val="es-ES_tradnl"/>
        </w:rPr>
      </w:pPr>
      <w:r w:rsidRPr="00BE758C">
        <w:rPr>
          <w:rStyle w:val="Refdenotaalpie"/>
          <w:rFonts w:cs="Arial"/>
          <w:sz w:val="14"/>
        </w:rPr>
        <w:footnoteRef/>
      </w:r>
      <w:r w:rsidRPr="00BE758C">
        <w:rPr>
          <w:rFonts w:ascii="Arial" w:hAnsi="Arial" w:cs="Arial"/>
          <w:sz w:val="14"/>
          <w:lang w:val="es-ES_tradnl"/>
        </w:rPr>
        <w:t xml:space="preserve"> </w:t>
      </w:r>
      <w:r w:rsidRPr="00BE758C">
        <w:rPr>
          <w:rFonts w:ascii="Arial" w:hAnsi="Arial" w:cs="Arial"/>
          <w:sz w:val="14"/>
        </w:rPr>
        <w:t xml:space="preserve">Sentencia del TJUE de 10 de junio de 2021, </w:t>
      </w:r>
      <w:r w:rsidRPr="00BE758C">
        <w:rPr>
          <w:rFonts w:ascii="Arial" w:hAnsi="Arial" w:cs="Arial"/>
          <w:i/>
          <w:sz w:val="14"/>
        </w:rPr>
        <w:t xml:space="preserve">BNP </w:t>
      </w:r>
      <w:proofErr w:type="spellStart"/>
      <w:r w:rsidRPr="00BE758C">
        <w:rPr>
          <w:rFonts w:ascii="Arial" w:hAnsi="Arial" w:cs="Arial"/>
          <w:i/>
          <w:sz w:val="14"/>
        </w:rPr>
        <w:t>Paribas</w:t>
      </w:r>
      <w:proofErr w:type="spellEnd"/>
      <w:r w:rsidRPr="00BE758C">
        <w:rPr>
          <w:rFonts w:ascii="Arial" w:hAnsi="Arial" w:cs="Arial"/>
          <w:sz w:val="14"/>
        </w:rPr>
        <w:t>, asuntos C-776/19 y C-782/19, ECLI:EU:C:2021:470, apartado 40.</w:t>
      </w:r>
    </w:p>
  </w:footnote>
  <w:footnote w:id="49">
    <w:p w14:paraId="75D8E08D" w14:textId="77777777" w:rsidR="008175AB" w:rsidRPr="003D3B51" w:rsidRDefault="008175AB" w:rsidP="008175AB">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asuntos C-224/19 y C-259/19, EU:C:2020:578, apartado 87.</w:t>
      </w:r>
    </w:p>
  </w:footnote>
  <w:footnote w:id="50">
    <w:p w14:paraId="1C2B670D" w14:textId="77777777" w:rsidR="008175AB" w:rsidRPr="00BE758C" w:rsidRDefault="008175AB" w:rsidP="008175AB">
      <w:pPr>
        <w:pStyle w:val="Textonotapie"/>
        <w:rPr>
          <w:rFonts w:ascii="Arial" w:hAnsi="Arial" w:cs="Arial"/>
        </w:rPr>
      </w:pPr>
      <w:r w:rsidRPr="00BE758C">
        <w:rPr>
          <w:rStyle w:val="Refdenotaalpie"/>
          <w:rFonts w:cs="Arial"/>
          <w:sz w:val="14"/>
        </w:rPr>
        <w:footnoteRef/>
      </w:r>
      <w:r w:rsidRPr="00BE758C">
        <w:rPr>
          <w:rFonts w:ascii="Arial" w:hAnsi="Arial" w:cs="Arial"/>
          <w:sz w:val="14"/>
        </w:rPr>
        <w:t xml:space="preserve"> Sentencia del Tribunal Supremo (Sala Primera, de lo Civil), núm. 29/2020, de 21 de enero de 2020, </w:t>
      </w:r>
      <w:proofErr w:type="spellStart"/>
      <w:r w:rsidRPr="00BE758C">
        <w:rPr>
          <w:rFonts w:ascii="Arial" w:hAnsi="Arial" w:cs="Arial"/>
          <w:sz w:val="14"/>
        </w:rPr>
        <w:t>rec.</w:t>
      </w:r>
      <w:proofErr w:type="spellEnd"/>
      <w:r w:rsidRPr="00BE758C">
        <w:rPr>
          <w:rFonts w:ascii="Arial" w:hAnsi="Arial" w:cs="Arial"/>
          <w:sz w:val="14"/>
        </w:rPr>
        <w:t xml:space="preserve"> núm. 6/2018, ES:TS:2020:21.</w:t>
      </w:r>
    </w:p>
  </w:footnote>
  <w:footnote w:id="51">
    <w:p w14:paraId="481D31DE" w14:textId="77777777" w:rsidR="008175AB" w:rsidRPr="00BE758C" w:rsidRDefault="008175AB" w:rsidP="008175AB">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Disposición adicional cuarta del Real Decreto 463/2020, de 14 de marzo, por el que se declara el estado de alarma para la gestión de la situación de crisis sanitaria ocasionada por el COVID (BOE núm. 67, de 14 de marzo de 2020, pág. 25390), la cual dispone que “</w:t>
      </w:r>
      <w:r w:rsidRPr="00BE758C">
        <w:rPr>
          <w:rFonts w:ascii="Arial" w:hAnsi="Arial" w:cs="Arial"/>
          <w:i/>
          <w:sz w:val="14"/>
        </w:rPr>
        <w:t>los plazos de prescripción y caducidad de cualesquiera acciones y derechos quedarán suspendidos durante el plazo de vigencia del estado de alarma y, en su caso, de las prórrogas que se adoptaren</w:t>
      </w:r>
      <w:r w:rsidRPr="00BE758C">
        <w:rPr>
          <w:rFonts w:ascii="Arial" w:hAnsi="Arial" w:cs="Arial"/>
          <w:sz w:val="14"/>
        </w:rPr>
        <w:t>”</w:t>
      </w:r>
    </w:p>
  </w:footnote>
  <w:footnote w:id="52">
    <w:p w14:paraId="230EEAD1" w14:textId="77777777" w:rsidR="008175AB" w:rsidRPr="00BE758C" w:rsidRDefault="008175AB" w:rsidP="008175AB">
      <w:pPr>
        <w:pStyle w:val="Textonotapie"/>
        <w:rPr>
          <w:rFonts w:ascii="Arial" w:hAnsi="Arial" w:cs="Arial"/>
          <w:sz w:val="14"/>
        </w:rPr>
      </w:pPr>
      <w:r w:rsidRPr="00BE758C">
        <w:rPr>
          <w:rStyle w:val="Refdenotaalpie"/>
          <w:rFonts w:cs="Arial"/>
          <w:sz w:val="14"/>
        </w:rPr>
        <w:footnoteRef/>
      </w:r>
      <w:r w:rsidRPr="00BE758C">
        <w:rPr>
          <w:rFonts w:ascii="Arial" w:hAnsi="Arial" w:cs="Arial"/>
          <w:sz w:val="14"/>
        </w:rPr>
        <w:t xml:space="preserve"> Artículo 8 del Real Decreto 537/2020, de 22 de mayo, por el que se prorroga el estado de alarma declarado por el Real Decreto 463/2020, de 14 de marzo, por el que se declara el estado de alarma para la gestión de la situación de crisis sanitaria ocasionada por el COVID-19 (BOE núm. 145, de 23 de mayo de 2020, pág. 34001).</w:t>
      </w:r>
    </w:p>
  </w:footnote>
  <w:footnote w:id="53">
    <w:p w14:paraId="0E530D40" w14:textId="77777777" w:rsidR="008175AB" w:rsidRPr="003D3B51" w:rsidRDefault="008175AB" w:rsidP="008175AB">
      <w:pPr>
        <w:pStyle w:val="Textonotapie"/>
      </w:pPr>
      <w:r w:rsidRPr="00BE758C">
        <w:rPr>
          <w:rStyle w:val="Refdenotaalpie"/>
          <w:rFonts w:cs="Arial"/>
          <w:sz w:val="14"/>
        </w:rPr>
        <w:footnoteRef/>
      </w:r>
      <w:r w:rsidRPr="00BE758C">
        <w:rPr>
          <w:rFonts w:ascii="Arial" w:hAnsi="Arial" w:cs="Arial"/>
          <w:sz w:val="14"/>
        </w:rPr>
        <w:t xml:space="preserve"> Sentencia del TJUE de 16 de julio de 2020, </w:t>
      </w:r>
      <w:proofErr w:type="spellStart"/>
      <w:r w:rsidRPr="00BE758C">
        <w:rPr>
          <w:rFonts w:ascii="Arial" w:hAnsi="Arial" w:cs="Arial"/>
          <w:i/>
          <w:sz w:val="14"/>
        </w:rPr>
        <w:t>Caixabank</w:t>
      </w:r>
      <w:proofErr w:type="spellEnd"/>
      <w:r w:rsidRPr="00BE758C">
        <w:rPr>
          <w:rFonts w:ascii="Arial" w:hAnsi="Arial" w:cs="Arial"/>
          <w:sz w:val="14"/>
        </w:rPr>
        <w:t>, C-224/19 y C-259/19, EU:C:2020:578, apartados 90 y 91.</w:t>
      </w:r>
    </w:p>
  </w:footnote>
  <w:footnote w:id="54">
    <w:p w14:paraId="23300201" w14:textId="77777777" w:rsidR="008175AB" w:rsidRPr="00D94AA2" w:rsidRDefault="008175AB" w:rsidP="008175AB">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GÓMEZ CORRALIZA, </w:t>
      </w:r>
      <w:r w:rsidRPr="00D94AA2">
        <w:rPr>
          <w:rFonts w:ascii="Arial" w:hAnsi="Arial" w:cs="Arial"/>
          <w:i/>
          <w:sz w:val="14"/>
        </w:rPr>
        <w:t>La caducidad</w:t>
      </w:r>
      <w:r w:rsidRPr="00D94AA2">
        <w:rPr>
          <w:rFonts w:ascii="Arial" w:hAnsi="Arial" w:cs="Arial"/>
          <w:sz w:val="14"/>
        </w:rPr>
        <w:t xml:space="preserve">, </w:t>
      </w:r>
      <w:proofErr w:type="spellStart"/>
      <w:r w:rsidRPr="00D94AA2">
        <w:rPr>
          <w:rFonts w:ascii="Arial" w:hAnsi="Arial" w:cs="Arial"/>
          <w:sz w:val="14"/>
        </w:rPr>
        <w:t>Montecorvo</w:t>
      </w:r>
      <w:proofErr w:type="spellEnd"/>
      <w:r w:rsidRPr="00D94AA2">
        <w:rPr>
          <w:rFonts w:ascii="Arial" w:hAnsi="Arial" w:cs="Arial"/>
          <w:sz w:val="14"/>
        </w:rPr>
        <w:t xml:space="preserve">, Madrid, 1990; UREÑA MARTÍNEZ, </w:t>
      </w:r>
      <w:r w:rsidRPr="00D94AA2">
        <w:rPr>
          <w:rFonts w:ascii="Arial" w:hAnsi="Arial" w:cs="Arial"/>
          <w:i/>
          <w:sz w:val="14"/>
        </w:rPr>
        <w:t>La suspensión de la prescripción extintiva en el Código civil</w:t>
      </w:r>
      <w:r w:rsidRPr="00D94AA2">
        <w:rPr>
          <w:rFonts w:ascii="Arial" w:hAnsi="Arial" w:cs="Arial"/>
          <w:sz w:val="14"/>
        </w:rPr>
        <w:t xml:space="preserve">, Comares, Granada, 1997; RIVERO HERNÁNDEZ, F., </w:t>
      </w:r>
      <w:r w:rsidRPr="00D94AA2">
        <w:rPr>
          <w:rFonts w:ascii="Arial" w:hAnsi="Arial" w:cs="Arial"/>
          <w:i/>
          <w:sz w:val="14"/>
        </w:rPr>
        <w:t>La suspensión de la prescripción extintiva en el Código Civil Español. Estudio crítico de la legalidad vigente</w:t>
      </w:r>
      <w:r w:rsidRPr="00D94AA2">
        <w:rPr>
          <w:rFonts w:ascii="Arial" w:hAnsi="Arial" w:cs="Arial"/>
          <w:sz w:val="14"/>
        </w:rPr>
        <w:t xml:space="preserve">, </w:t>
      </w:r>
      <w:proofErr w:type="spellStart"/>
      <w:r w:rsidRPr="00D94AA2">
        <w:rPr>
          <w:rFonts w:ascii="Arial" w:hAnsi="Arial" w:cs="Arial"/>
          <w:sz w:val="14"/>
        </w:rPr>
        <w:t>Dyckinson</w:t>
      </w:r>
      <w:proofErr w:type="spellEnd"/>
      <w:r w:rsidRPr="00D94AA2">
        <w:rPr>
          <w:rFonts w:ascii="Arial" w:hAnsi="Arial" w:cs="Arial"/>
          <w:sz w:val="14"/>
        </w:rPr>
        <w:t>, Madrid, 2002.</w:t>
      </w:r>
    </w:p>
  </w:footnote>
  <w:footnote w:id="55">
    <w:p w14:paraId="03C9AB38" w14:textId="77777777" w:rsidR="008175AB" w:rsidRPr="000B02B6" w:rsidRDefault="008175AB" w:rsidP="008175AB">
      <w:pPr>
        <w:pStyle w:val="Textonotapie"/>
        <w:rPr>
          <w:lang w:val="es-ES_tradnl"/>
        </w:rPr>
      </w:pPr>
      <w:r w:rsidRPr="00D94AA2">
        <w:rPr>
          <w:rStyle w:val="Refdenotaalpie"/>
          <w:rFonts w:cs="Arial"/>
          <w:sz w:val="14"/>
        </w:rPr>
        <w:footnoteRef/>
      </w:r>
      <w:r w:rsidRPr="00D94AA2">
        <w:rPr>
          <w:rFonts w:ascii="Arial" w:hAnsi="Arial" w:cs="Arial"/>
          <w:sz w:val="14"/>
        </w:rPr>
        <w:t xml:space="preserve"> Sentencia del Tribunal Supremo (Sala Primera, de lo Civil), núm. 728/2012, de 11 de diciembre de 2012, </w:t>
      </w:r>
      <w:proofErr w:type="spellStart"/>
      <w:r w:rsidRPr="00D94AA2">
        <w:rPr>
          <w:rFonts w:ascii="Arial" w:hAnsi="Arial" w:cs="Arial"/>
          <w:sz w:val="14"/>
        </w:rPr>
        <w:t>rec.</w:t>
      </w:r>
      <w:proofErr w:type="spellEnd"/>
      <w:r w:rsidRPr="00D94AA2">
        <w:rPr>
          <w:rFonts w:ascii="Arial" w:hAnsi="Arial" w:cs="Arial"/>
          <w:sz w:val="14"/>
        </w:rPr>
        <w:t xml:space="preserve"> núm. 1028/2010, ES:TS:2012:9198, Fundamento de Derecho Tercero, apartado 1. En el mismo sentido, Sentencias del Tribunal Supremo (Sala de lo Civil, Sección Pleno) de </w:t>
      </w:r>
      <w:r w:rsidRPr="00D94AA2">
        <w:rPr>
          <w:rFonts w:ascii="Arial" w:hAnsi="Arial" w:cs="Arial"/>
          <w:sz w:val="14"/>
          <w:lang w:val="es-ES_tradnl"/>
        </w:rPr>
        <w:t>21 de junio de 2013, RJ 8079; 2 de diciembre de 2013, RJ 7832; y 14 de enero de 2014, RJ 1</w:t>
      </w:r>
    </w:p>
  </w:footnote>
  <w:footnote w:id="56">
    <w:p w14:paraId="6ABA486D" w14:textId="77777777" w:rsidR="008175AB" w:rsidRPr="00D94AA2" w:rsidRDefault="008175AB" w:rsidP="008175AB">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Entre otras, sentencia de la Audiencia Provincial de Barcelona (Sección 15ª), núm. 1828/2020, de 10 de septiembre de 2020, </w:t>
      </w:r>
      <w:proofErr w:type="spellStart"/>
      <w:r w:rsidRPr="00D94AA2">
        <w:rPr>
          <w:rFonts w:ascii="Arial" w:hAnsi="Arial" w:cs="Arial"/>
          <w:sz w:val="14"/>
        </w:rPr>
        <w:t>rec.</w:t>
      </w:r>
      <w:proofErr w:type="spellEnd"/>
      <w:r w:rsidRPr="00D94AA2">
        <w:rPr>
          <w:rFonts w:ascii="Arial" w:hAnsi="Arial" w:cs="Arial"/>
          <w:sz w:val="14"/>
        </w:rPr>
        <w:t xml:space="preserve"> núm. 265/2020, </w:t>
      </w:r>
      <w:proofErr w:type="gramStart"/>
      <w:r w:rsidRPr="00D94AA2">
        <w:rPr>
          <w:rFonts w:ascii="Arial" w:hAnsi="Arial" w:cs="Arial"/>
          <w:sz w:val="14"/>
        </w:rPr>
        <w:t>ES:APB</w:t>
      </w:r>
      <w:proofErr w:type="gramEnd"/>
      <w:r w:rsidRPr="00D94AA2">
        <w:rPr>
          <w:rFonts w:ascii="Arial" w:hAnsi="Arial" w:cs="Arial"/>
          <w:sz w:val="14"/>
        </w:rPr>
        <w:t xml:space="preserve">:2020:7927, Fundamento de Derecho Tercero, </w:t>
      </w:r>
      <w:r w:rsidRPr="00D94AA2">
        <w:rPr>
          <w:rFonts w:ascii="Arial" w:hAnsi="Arial" w:cs="Arial"/>
          <w:sz w:val="14"/>
          <w:szCs w:val="16"/>
        </w:rPr>
        <w:t>apartados 18 y 23; sentencia de la Audiencia Provincial</w:t>
      </w:r>
      <w:r w:rsidRPr="00D94AA2">
        <w:rPr>
          <w:sz w:val="18"/>
        </w:rPr>
        <w:t xml:space="preserve"> </w:t>
      </w:r>
      <w:r w:rsidRPr="00D94AA2">
        <w:rPr>
          <w:rFonts w:ascii="Arial" w:hAnsi="Arial" w:cs="Arial"/>
          <w:sz w:val="14"/>
        </w:rPr>
        <w:t>de Madrid</w:t>
      </w:r>
      <w:r w:rsidRPr="00D94AA2">
        <w:rPr>
          <w:sz w:val="14"/>
        </w:rPr>
        <w:t xml:space="preserve"> </w:t>
      </w:r>
      <w:r w:rsidRPr="00D94AA2">
        <w:rPr>
          <w:rFonts w:ascii="Arial" w:hAnsi="Arial" w:cs="Arial"/>
          <w:sz w:val="14"/>
        </w:rPr>
        <w:t xml:space="preserve">(Sección 28ª), núm. 1098/2020, de 11 de junio de 2020, </w:t>
      </w:r>
      <w:proofErr w:type="spellStart"/>
      <w:r w:rsidRPr="00D94AA2">
        <w:rPr>
          <w:rFonts w:ascii="Arial" w:hAnsi="Arial" w:cs="Arial"/>
          <w:sz w:val="14"/>
        </w:rPr>
        <w:t>rec.</w:t>
      </w:r>
      <w:proofErr w:type="spellEnd"/>
      <w:r w:rsidRPr="00D94AA2">
        <w:rPr>
          <w:rFonts w:ascii="Arial" w:hAnsi="Arial" w:cs="Arial"/>
          <w:sz w:val="14"/>
        </w:rPr>
        <w:t xml:space="preserve"> núm. 2891/2018, </w:t>
      </w:r>
      <w:proofErr w:type="gramStart"/>
      <w:r w:rsidRPr="00D94AA2">
        <w:rPr>
          <w:rFonts w:ascii="Arial" w:hAnsi="Arial" w:cs="Arial"/>
          <w:sz w:val="14"/>
        </w:rPr>
        <w:t>ES:APM</w:t>
      </w:r>
      <w:proofErr w:type="gramEnd"/>
      <w:r w:rsidRPr="00D94AA2">
        <w:rPr>
          <w:rFonts w:ascii="Arial" w:hAnsi="Arial" w:cs="Arial"/>
          <w:sz w:val="14"/>
        </w:rPr>
        <w:t xml:space="preserve">:2020:9043, Fundamento de Derecho Segundo, penúltimo párrafo y Fundamento de Derecho Tercero, penúltimo y último párrafo; sentencia de la Audiencia Provincial de Murcia (Sección 4ª), núm. 311/2020, de 2 de abril de 2020, </w:t>
      </w:r>
      <w:proofErr w:type="spellStart"/>
      <w:r w:rsidRPr="00D94AA2">
        <w:rPr>
          <w:rFonts w:ascii="Arial" w:hAnsi="Arial" w:cs="Arial"/>
          <w:sz w:val="14"/>
        </w:rPr>
        <w:t>rec.</w:t>
      </w:r>
      <w:proofErr w:type="spellEnd"/>
      <w:r w:rsidRPr="00D94AA2">
        <w:rPr>
          <w:rFonts w:ascii="Arial" w:hAnsi="Arial" w:cs="Arial"/>
          <w:sz w:val="14"/>
        </w:rPr>
        <w:t xml:space="preserve"> núm. 1844/2019, </w:t>
      </w:r>
      <w:proofErr w:type="gramStart"/>
      <w:r w:rsidRPr="00D94AA2">
        <w:rPr>
          <w:rFonts w:ascii="Arial" w:hAnsi="Arial" w:cs="Arial"/>
          <w:sz w:val="14"/>
        </w:rPr>
        <w:t>ES:APMU</w:t>
      </w:r>
      <w:proofErr w:type="gramEnd"/>
      <w:r w:rsidRPr="00D94AA2">
        <w:rPr>
          <w:rFonts w:ascii="Arial" w:hAnsi="Arial" w:cs="Arial"/>
          <w:sz w:val="14"/>
        </w:rPr>
        <w:t xml:space="preserve">:2020:740, Fundamento de Derecho Tercero, apartado 5; o sentencia de la Audiencia Provincial de Badajoz (Sección 2ª), núm. 49/2020, de 22 de enero de 2020, </w:t>
      </w:r>
      <w:proofErr w:type="spellStart"/>
      <w:r w:rsidRPr="00D94AA2">
        <w:rPr>
          <w:rFonts w:ascii="Arial" w:hAnsi="Arial" w:cs="Arial"/>
          <w:sz w:val="14"/>
        </w:rPr>
        <w:t>rec.</w:t>
      </w:r>
      <w:proofErr w:type="spellEnd"/>
      <w:r w:rsidRPr="00D94AA2">
        <w:rPr>
          <w:rFonts w:ascii="Arial" w:hAnsi="Arial" w:cs="Arial"/>
          <w:sz w:val="14"/>
        </w:rPr>
        <w:t xml:space="preserve"> núm. 442/2019, </w:t>
      </w:r>
      <w:proofErr w:type="gramStart"/>
      <w:r w:rsidRPr="00D94AA2">
        <w:rPr>
          <w:rFonts w:ascii="Arial" w:hAnsi="Arial" w:cs="Arial"/>
          <w:sz w:val="14"/>
        </w:rPr>
        <w:t>ES:APBA</w:t>
      </w:r>
      <w:proofErr w:type="gramEnd"/>
      <w:r w:rsidRPr="00D94AA2">
        <w:rPr>
          <w:rFonts w:ascii="Arial" w:hAnsi="Arial" w:cs="Arial"/>
          <w:sz w:val="14"/>
        </w:rPr>
        <w:t>:2020:80, Fundamento de Derecho Primero.</w:t>
      </w:r>
    </w:p>
  </w:footnote>
  <w:footnote w:id="57">
    <w:p w14:paraId="07796993" w14:textId="77777777" w:rsidR="008175AB" w:rsidRPr="00D94AA2" w:rsidRDefault="008175AB" w:rsidP="008175AB">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En aquellos casos donde el cliente pagó una provisión de fondos con carácter previo a la formalización de la escritura (práctica habitual), deberá entenderse que el momento del pago efectivo es la fecha de la liquidación de las facturas emitidas contra la provisión de fondos realizada</w:t>
      </w:r>
    </w:p>
  </w:footnote>
  <w:footnote w:id="58">
    <w:p w14:paraId="57D3D610" w14:textId="77777777" w:rsidR="008175AB" w:rsidRPr="00D94AA2" w:rsidRDefault="008175AB" w:rsidP="008175AB">
      <w:pPr>
        <w:pStyle w:val="Textonotapie"/>
        <w:rPr>
          <w:rFonts w:ascii="Arial" w:hAnsi="Arial" w:cs="Arial"/>
          <w:i/>
          <w:iCs/>
          <w:sz w:val="14"/>
        </w:rPr>
      </w:pPr>
      <w:r w:rsidRPr="00D94AA2">
        <w:rPr>
          <w:rStyle w:val="Refdenotaalpie"/>
          <w:rFonts w:cs="Arial"/>
          <w:sz w:val="14"/>
        </w:rPr>
        <w:footnoteRef/>
      </w:r>
      <w:r w:rsidRPr="00D94AA2">
        <w:rPr>
          <w:rFonts w:ascii="Arial" w:hAnsi="Arial" w:cs="Arial"/>
          <w:sz w:val="14"/>
          <w:lang w:val="es-ES_tradnl"/>
        </w:rPr>
        <w:t xml:space="preserve"> Descarta el </w:t>
      </w:r>
      <w:proofErr w:type="spellStart"/>
      <w:r w:rsidRPr="00D94AA2">
        <w:rPr>
          <w:rFonts w:ascii="Arial" w:hAnsi="Arial" w:cs="Arial"/>
          <w:i/>
          <w:iCs/>
          <w:sz w:val="14"/>
          <w:lang w:val="es-ES_tradnl"/>
        </w:rPr>
        <w:t>dies</w:t>
      </w:r>
      <w:proofErr w:type="spellEnd"/>
      <w:r w:rsidRPr="00D94AA2">
        <w:rPr>
          <w:rFonts w:ascii="Arial" w:hAnsi="Arial" w:cs="Arial"/>
          <w:i/>
          <w:iCs/>
          <w:sz w:val="14"/>
          <w:lang w:val="es-ES_tradnl"/>
        </w:rPr>
        <w:t xml:space="preserve"> a quo</w:t>
      </w:r>
      <w:r w:rsidRPr="00D94AA2">
        <w:rPr>
          <w:rFonts w:ascii="Arial" w:hAnsi="Arial" w:cs="Arial"/>
          <w:sz w:val="14"/>
          <w:lang w:val="es-ES_tradnl"/>
        </w:rPr>
        <w:t xml:space="preserve"> en el momento en que se declara la nulidad de la cláusula pues, en tal caso, </w:t>
      </w:r>
      <w:r w:rsidRPr="00D94AA2">
        <w:rPr>
          <w:rFonts w:ascii="Arial" w:hAnsi="Arial" w:cs="Arial"/>
          <w:i/>
          <w:sz w:val="14"/>
        </w:rPr>
        <w:t xml:space="preserve">“si lo que es nulo no produce ningún efecto y es nulo desde el primer momento y para siempre, - de aquí a la eternidad -, resultaría que la restitución podría ejercitarse hasta la eternidad y cinco años más, lo que resulta absurdo”. </w:t>
      </w:r>
      <w:r w:rsidRPr="00D94AA2">
        <w:rPr>
          <w:rFonts w:ascii="Arial" w:hAnsi="Arial" w:cs="Arial"/>
          <w:iCs/>
          <w:sz w:val="14"/>
        </w:rPr>
        <w:t xml:space="preserve">En igual sentido se pronuncia la SAP Barcelona (Secc. 15ª) </w:t>
      </w:r>
      <w:proofErr w:type="spellStart"/>
      <w:r w:rsidRPr="00D94AA2">
        <w:rPr>
          <w:rFonts w:ascii="Arial" w:hAnsi="Arial" w:cs="Arial"/>
          <w:iCs/>
          <w:sz w:val="14"/>
        </w:rPr>
        <w:t>nº</w:t>
      </w:r>
      <w:proofErr w:type="spellEnd"/>
      <w:r w:rsidRPr="00D94AA2">
        <w:rPr>
          <w:rFonts w:ascii="Arial" w:hAnsi="Arial" w:cs="Arial"/>
          <w:iCs/>
          <w:sz w:val="14"/>
        </w:rPr>
        <w:t xml:space="preserve"> 911/2021, de 13 de mayo de 2021: </w:t>
      </w:r>
      <w:r w:rsidRPr="00D94AA2">
        <w:rPr>
          <w:rFonts w:ascii="Arial" w:hAnsi="Arial" w:cs="Arial"/>
          <w:i/>
          <w:sz w:val="14"/>
        </w:rPr>
        <w:t>“</w:t>
      </w:r>
      <w:r w:rsidRPr="00D94AA2">
        <w:rPr>
          <w:rFonts w:ascii="Arial" w:hAnsi="Arial" w:cs="Arial"/>
          <w:i/>
          <w:iCs/>
          <w:sz w:val="14"/>
        </w:rPr>
        <w:t>Tampoco podemos aceptar que el plazo se compute dese que se declara la nulidad de la cláusula, cuando dicha pretensión no siempre es preciso ejercitarla y cuando ello convertiría también en imprescriptible la acción restitutoria.</w:t>
      </w:r>
      <w:r w:rsidRPr="00D94AA2">
        <w:rPr>
          <w:rFonts w:ascii="Arial" w:hAnsi="Arial" w:cs="Arial"/>
          <w:sz w:val="14"/>
        </w:rPr>
        <w:t>”</w:t>
      </w:r>
    </w:p>
  </w:footnote>
  <w:footnote w:id="59">
    <w:p w14:paraId="74C7FD59" w14:textId="77777777" w:rsidR="008175AB" w:rsidRPr="00177619" w:rsidRDefault="008175AB" w:rsidP="008175AB">
      <w:pPr>
        <w:suppressAutoHyphens/>
        <w:jc w:val="both"/>
        <w:rPr>
          <w:rFonts w:ascii="Arial" w:eastAsia="Calibri" w:hAnsi="Arial" w:cs="Arial"/>
          <w:i/>
          <w:sz w:val="14"/>
        </w:rPr>
      </w:pPr>
      <w:r w:rsidRPr="00D94AA2">
        <w:rPr>
          <w:rStyle w:val="Refdenotaalpie"/>
          <w:rFonts w:cs="Arial"/>
          <w:sz w:val="14"/>
        </w:rPr>
        <w:footnoteRef/>
      </w:r>
      <w:r w:rsidRPr="00D94AA2">
        <w:rPr>
          <w:rFonts w:ascii="Arial" w:hAnsi="Arial" w:cs="Arial"/>
          <w:sz w:val="14"/>
        </w:rPr>
        <w:t xml:space="preserve"> </w:t>
      </w:r>
      <w:r w:rsidRPr="00D94AA2">
        <w:rPr>
          <w:rFonts w:ascii="Arial" w:eastAsia="Calibri" w:hAnsi="Arial" w:cs="Arial"/>
          <w:i/>
          <w:sz w:val="14"/>
        </w:rPr>
        <w:t xml:space="preserve">“para poder establecer una fecha cierta, que no dependa exclusivamente del adherente al contrato y que no genere inseguridad jurídica, habrá que atender principalmente a la naturaleza de la cláusula susceptible de ser anulada y la determinación del momento en el que la cláusula empezó a desplegar sus efectos. </w:t>
      </w:r>
      <w:r w:rsidRPr="00D94AA2">
        <w:rPr>
          <w:rFonts w:ascii="Arial" w:eastAsia="Calibri" w:hAnsi="Arial" w:cs="Arial"/>
          <w:iCs/>
          <w:sz w:val="14"/>
        </w:rPr>
        <w:t>(…)</w:t>
      </w:r>
      <w:r w:rsidRPr="00D94AA2">
        <w:rPr>
          <w:rFonts w:ascii="Arial" w:eastAsia="Calibri" w:hAnsi="Arial" w:cs="Arial"/>
          <w:i/>
          <w:sz w:val="14"/>
        </w:rPr>
        <w:t xml:space="preserve">. </w:t>
      </w:r>
      <w:r w:rsidRPr="00D94AA2">
        <w:rPr>
          <w:rFonts w:ascii="Arial" w:eastAsia="Calibri" w:hAnsi="Arial" w:cs="Arial"/>
          <w:i/>
          <w:sz w:val="14"/>
          <w:u w:val="single"/>
        </w:rPr>
        <w:t>La cláusula gastos</w:t>
      </w:r>
      <w:r w:rsidRPr="00D94AA2">
        <w:rPr>
          <w:rFonts w:ascii="Arial" w:eastAsia="Calibri" w:hAnsi="Arial" w:cs="Arial"/>
          <w:i/>
          <w:sz w:val="14"/>
        </w:rPr>
        <w:t xml:space="preserve">, por el contrario, </w:t>
      </w:r>
      <w:r w:rsidRPr="00D94AA2">
        <w:rPr>
          <w:rFonts w:ascii="Arial" w:eastAsia="Calibri" w:hAnsi="Arial" w:cs="Arial"/>
          <w:i/>
          <w:sz w:val="14"/>
          <w:u w:val="single"/>
        </w:rPr>
        <w:t xml:space="preserve">agota sus efectos desde que estos se abonan, por lo que </w:t>
      </w:r>
      <w:r w:rsidRPr="00D94AA2">
        <w:rPr>
          <w:rFonts w:ascii="Arial" w:eastAsia="Calibri" w:hAnsi="Arial" w:cs="Arial"/>
          <w:b/>
          <w:i/>
          <w:sz w:val="14"/>
          <w:u w:val="single"/>
        </w:rPr>
        <w:t>parece justificado que el plazo para el ejercicio de posibles acciones de resarcimiento o de devolución se vinculen al momento de efectivo pago</w:t>
      </w:r>
      <w:r w:rsidRPr="00D94AA2">
        <w:rPr>
          <w:rFonts w:ascii="Arial" w:eastAsia="Calibri" w:hAnsi="Arial" w:cs="Arial"/>
          <w:b/>
          <w:i/>
          <w:sz w:val="14"/>
        </w:rPr>
        <w:t>.</w:t>
      </w:r>
      <w:r w:rsidRPr="00D94AA2">
        <w:rPr>
          <w:rFonts w:ascii="Arial" w:eastAsia="Calibri" w:hAnsi="Arial" w:cs="Arial"/>
          <w:i/>
          <w:sz w:val="14"/>
        </w:rPr>
        <w:t xml:space="preserve"> A partir de ese momento </w:t>
      </w:r>
      <w:r w:rsidRPr="00D94AA2">
        <w:rPr>
          <w:rFonts w:ascii="Arial" w:eastAsia="Calibri" w:hAnsi="Arial" w:cs="Arial"/>
          <w:b/>
          <w:i/>
          <w:sz w:val="14"/>
          <w:u w:val="single"/>
        </w:rPr>
        <w:t>el consumidor conoce la repercusión económica de la cláusula y el desequilibrio que le genera, sin que sea preciso que el contrato se desenvuelva y concluya para que el consumidor pueda plantear la acción</w:t>
      </w:r>
      <w:r w:rsidRPr="00D94AA2">
        <w:rPr>
          <w:rFonts w:ascii="Arial" w:eastAsia="Calibri" w:hAnsi="Arial" w:cs="Arial"/>
          <w:i/>
          <w:sz w:val="14"/>
        </w:rPr>
        <w:t xml:space="preserve"> (artículo 121.23º del </w:t>
      </w:r>
      <w:proofErr w:type="spellStart"/>
      <w:r w:rsidRPr="00D94AA2">
        <w:rPr>
          <w:rFonts w:ascii="Arial" w:eastAsia="Calibri" w:hAnsi="Arial" w:cs="Arial"/>
          <w:i/>
          <w:sz w:val="14"/>
        </w:rPr>
        <w:t>Ccat</w:t>
      </w:r>
      <w:proofErr w:type="spellEnd"/>
      <w:r w:rsidRPr="00D94AA2">
        <w:rPr>
          <w:rFonts w:ascii="Arial" w:eastAsia="Calibri" w:hAnsi="Arial" w:cs="Arial"/>
          <w:i/>
          <w:sz w:val="14"/>
        </w:rPr>
        <w:t xml:space="preserve"> o artículo 1964.2 del CC)”.</w:t>
      </w:r>
    </w:p>
  </w:footnote>
  <w:footnote w:id="60">
    <w:p w14:paraId="374F41DC" w14:textId="77777777" w:rsidR="008175AB" w:rsidRPr="00D94AA2" w:rsidRDefault="008175AB" w:rsidP="008175AB">
      <w:pPr>
        <w:pStyle w:val="Textonotapie"/>
        <w:rPr>
          <w:rFonts w:ascii="Arial" w:hAnsi="Arial" w:cs="Arial"/>
          <w:sz w:val="14"/>
        </w:rPr>
      </w:pPr>
      <w:r w:rsidRPr="00D94AA2">
        <w:rPr>
          <w:rStyle w:val="Refdenotaalpie"/>
          <w:rFonts w:cs="Arial"/>
          <w:sz w:val="14"/>
        </w:rPr>
        <w:footnoteRef/>
      </w:r>
      <w:r w:rsidRPr="00D94AA2">
        <w:rPr>
          <w:rFonts w:ascii="Arial" w:hAnsi="Arial" w:cs="Arial"/>
          <w:sz w:val="14"/>
        </w:rPr>
        <w:t xml:space="preserve"> Sentencia de la Audiencia Provincial de Barcelona (Sección 15ª), núm. 1828/2020, de 10 de septiembre de 2020, </w:t>
      </w:r>
      <w:proofErr w:type="spellStart"/>
      <w:r w:rsidRPr="00D94AA2">
        <w:rPr>
          <w:rFonts w:ascii="Arial" w:hAnsi="Arial" w:cs="Arial"/>
          <w:sz w:val="14"/>
        </w:rPr>
        <w:t>rec.</w:t>
      </w:r>
      <w:proofErr w:type="spellEnd"/>
      <w:r w:rsidRPr="00D94AA2">
        <w:rPr>
          <w:rFonts w:ascii="Arial" w:hAnsi="Arial" w:cs="Arial"/>
          <w:sz w:val="14"/>
        </w:rPr>
        <w:t xml:space="preserve"> núm. 265/2020, </w:t>
      </w:r>
      <w:proofErr w:type="gramStart"/>
      <w:r w:rsidRPr="00D94AA2">
        <w:rPr>
          <w:rFonts w:ascii="Arial" w:hAnsi="Arial" w:cs="Arial"/>
          <w:sz w:val="14"/>
        </w:rPr>
        <w:t>ES:APB</w:t>
      </w:r>
      <w:proofErr w:type="gramEnd"/>
      <w:r w:rsidRPr="00D94AA2">
        <w:rPr>
          <w:rFonts w:ascii="Arial" w:hAnsi="Arial" w:cs="Arial"/>
          <w:sz w:val="14"/>
        </w:rPr>
        <w:t>:2020:7927, Fundamento de Derecho Tercero, apartado 28.</w:t>
      </w:r>
    </w:p>
  </w:footnote>
  <w:footnote w:id="61">
    <w:p w14:paraId="769E5894" w14:textId="77777777" w:rsidR="008175AB" w:rsidRPr="00D94AA2" w:rsidRDefault="008175AB" w:rsidP="008175AB">
      <w:pPr>
        <w:pStyle w:val="Textonotapie"/>
        <w:rPr>
          <w:rFonts w:ascii="Arial" w:hAnsi="Arial" w:cs="Arial"/>
          <w:sz w:val="14"/>
          <w:lang w:val="es-ES_tradnl"/>
        </w:rPr>
      </w:pPr>
      <w:r w:rsidRPr="00D94AA2">
        <w:rPr>
          <w:rStyle w:val="Refdenotaalpie"/>
          <w:rFonts w:cs="Arial"/>
          <w:sz w:val="14"/>
        </w:rPr>
        <w:footnoteRef/>
      </w:r>
      <w:r w:rsidRPr="00D94AA2">
        <w:rPr>
          <w:rFonts w:ascii="Arial" w:hAnsi="Arial" w:cs="Arial"/>
          <w:sz w:val="14"/>
          <w:lang w:val="es-ES_tradnl"/>
        </w:rPr>
        <w:t xml:space="preserve"> SAP Barcelona (Secc. 15ª) </w:t>
      </w:r>
      <w:proofErr w:type="spellStart"/>
      <w:r w:rsidRPr="00D94AA2">
        <w:rPr>
          <w:rFonts w:ascii="Arial" w:hAnsi="Arial" w:cs="Arial"/>
          <w:sz w:val="14"/>
          <w:lang w:val="es-ES_tradnl"/>
        </w:rPr>
        <w:t>nº</w:t>
      </w:r>
      <w:proofErr w:type="spellEnd"/>
      <w:r w:rsidRPr="00D94AA2">
        <w:rPr>
          <w:rFonts w:ascii="Arial" w:hAnsi="Arial" w:cs="Arial"/>
          <w:sz w:val="14"/>
          <w:lang w:val="es-ES_tradnl"/>
        </w:rPr>
        <w:t xml:space="preserve"> 911/2021, de 13 de mayo 2021 en referencia a la SAP Valencia (Secc. 9ª), de 1 de febrero de 2018 (JUR 2018, 131835).</w:t>
      </w:r>
    </w:p>
  </w:footnote>
  <w:footnote w:id="62">
    <w:p w14:paraId="33B926CB" w14:textId="77777777" w:rsidR="008175AB" w:rsidRPr="003D3B51" w:rsidRDefault="008175AB" w:rsidP="008175AB">
      <w:pPr>
        <w:pStyle w:val="Textonotapie"/>
        <w:rPr>
          <w:lang w:val="pt-PT"/>
        </w:rPr>
      </w:pPr>
      <w:r w:rsidRPr="00D94AA2">
        <w:rPr>
          <w:rStyle w:val="Refdenotaalpie"/>
          <w:rFonts w:cs="Arial"/>
          <w:sz w:val="14"/>
        </w:rPr>
        <w:footnoteRef/>
      </w:r>
      <w:r w:rsidRPr="00D94AA2">
        <w:rPr>
          <w:rFonts w:ascii="Arial" w:hAnsi="Arial" w:cs="Arial"/>
          <w:sz w:val="14"/>
        </w:rPr>
        <w:t xml:space="preserve"> Sentencias del Tribunal Supremo (Sala de lo Civil, Sección Pleno) núm. 580/2020, de 5 de noviembre de 2020, ES:TS:2020:3549 [Ponente: Excmo. Sr. D. </w:t>
      </w:r>
      <w:r w:rsidRPr="00D94AA2">
        <w:rPr>
          <w:rFonts w:ascii="Arial" w:hAnsi="Arial" w:cs="Arial"/>
          <w:i/>
          <w:sz w:val="14"/>
        </w:rPr>
        <w:t>Ignacio Sancho Gargallo</w:t>
      </w:r>
      <w:r w:rsidRPr="00D94AA2">
        <w:rPr>
          <w:rFonts w:ascii="Arial" w:hAnsi="Arial" w:cs="Arial"/>
          <w:sz w:val="14"/>
        </w:rPr>
        <w:t xml:space="preserve">], Fundamento de Derecho Tercero, apartado 6 y núm. 581/2020, de 5 de noviembre de 2020, ES:TS:2020:3593 [Ponente: Excmo. </w:t>
      </w:r>
      <w:r w:rsidRPr="00D94AA2">
        <w:rPr>
          <w:rFonts w:ascii="Arial" w:hAnsi="Arial" w:cs="Arial"/>
          <w:sz w:val="14"/>
          <w:lang w:val="pt-PT"/>
        </w:rPr>
        <w:t xml:space="preserve">Sr. D. </w:t>
      </w:r>
      <w:r w:rsidRPr="00D94AA2">
        <w:rPr>
          <w:rFonts w:ascii="Arial" w:hAnsi="Arial" w:cs="Arial"/>
          <w:i/>
          <w:sz w:val="14"/>
          <w:lang w:val="pt-PT"/>
        </w:rPr>
        <w:t>Pedro José Vela Torres</w:t>
      </w:r>
      <w:r w:rsidRPr="00D94AA2">
        <w:rPr>
          <w:rFonts w:ascii="Arial" w:hAnsi="Arial" w:cs="Arial"/>
          <w:sz w:val="14"/>
          <w:lang w:val="pt-PT"/>
        </w:rPr>
        <w:t>], Fundamento de Derecho Cuarto, apartado 5</w:t>
      </w:r>
      <w:r w:rsidRPr="003D3B51">
        <w:rPr>
          <w:lang w:val="pt-PT"/>
        </w:rPr>
        <w:t>.</w:t>
      </w:r>
    </w:p>
  </w:footnote>
  <w:footnote w:id="63">
    <w:p w14:paraId="61120B7E" w14:textId="77777777" w:rsidR="008175AB" w:rsidRPr="00D94AA2" w:rsidRDefault="008175AB" w:rsidP="008175AB">
      <w:pPr>
        <w:pStyle w:val="Textonotapie"/>
        <w:rPr>
          <w:rFonts w:ascii="Arial" w:hAnsi="Arial" w:cs="Arial"/>
          <w:lang w:val="es-ES_tradnl"/>
        </w:rPr>
      </w:pPr>
      <w:r w:rsidRPr="00D94AA2">
        <w:rPr>
          <w:rStyle w:val="Refdenotaalpie"/>
          <w:rFonts w:cs="Arial"/>
          <w:sz w:val="14"/>
        </w:rPr>
        <w:footnoteRef/>
      </w:r>
      <w:r w:rsidRPr="00D94AA2">
        <w:rPr>
          <w:rFonts w:ascii="Arial" w:hAnsi="Arial" w:cs="Arial"/>
          <w:sz w:val="14"/>
          <w:lang w:val="es-ES_tradnl"/>
        </w:rPr>
        <w:t xml:space="preserve"> </w:t>
      </w:r>
      <w:hyperlink r:id="rId3" w:history="1">
        <w:r w:rsidRPr="00D94AA2">
          <w:rPr>
            <w:rStyle w:val="Hipervnculo"/>
            <w:rFonts w:ascii="Arial" w:hAnsi="Arial" w:cs="Arial"/>
            <w:sz w:val="14"/>
            <w:lang w:val="es-ES_tradnl"/>
          </w:rPr>
          <w:t>Anuncio Arriaga Asociados &amp; Iker Casillas - #HagamosloFacil - YouTube</w:t>
        </w:r>
      </w:hyperlink>
    </w:p>
  </w:footnote>
  <w:footnote w:id="64">
    <w:p w14:paraId="0C4FC122" w14:textId="77777777" w:rsidR="008175AB" w:rsidRPr="003D3B51" w:rsidRDefault="008175AB" w:rsidP="008175AB">
      <w:pPr>
        <w:pStyle w:val="Textonotapie"/>
        <w:rPr>
          <w:lang w:val="es-ES_tradnl"/>
        </w:rPr>
      </w:pPr>
      <w:r w:rsidRPr="003D3B51">
        <w:rPr>
          <w:rStyle w:val="Refdenotaalpie"/>
        </w:rPr>
        <w:footnoteRef/>
      </w:r>
      <w:r w:rsidRPr="003D3B51">
        <w:rPr>
          <w:lang w:val="es-ES_tradnl"/>
        </w:rPr>
        <w:t xml:space="preserve"> </w:t>
      </w:r>
      <w:hyperlink r:id="rId4" w:history="1">
        <w:r w:rsidRPr="003D3B51">
          <w:rPr>
            <w:rStyle w:val="Hipervnculo"/>
            <w:lang w:val="es-ES_tradnl"/>
          </w:rPr>
          <w:t>Entrevista de 'Más vale tarde' de La Sexta a ADICAE: gastos hipotecarios y cláusulas suelo - YouTube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B1F7B" w14:textId="77777777" w:rsidR="00773FB9" w:rsidRDefault="00773FB9">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ADA1D67"/>
    <w:multiLevelType w:val="hybridMultilevel"/>
    <w:tmpl w:val="27EC084C"/>
    <w:lvl w:ilvl="0" w:tplc="BD6A3E02">
      <w:start w:val="1"/>
      <w:numFmt w:val="decimal"/>
      <w:lvlText w:val="%1."/>
      <w:lvlJc w:val="left"/>
      <w:pPr>
        <w:ind w:left="720" w:hanging="360"/>
      </w:pPr>
      <w:rPr>
        <w:rFonts w:hint="default"/>
        <w:b w:val="0"/>
        <w:bCs/>
        <w:i w:val="0"/>
      </w:rPr>
    </w:lvl>
    <w:lvl w:ilvl="1" w:tplc="46BAA2E4">
      <w:start w:val="1"/>
      <w:numFmt w:val="lowerRoman"/>
      <w:lvlText w:val="(%2)"/>
      <w:lvlJc w:val="left"/>
      <w:pPr>
        <w:ind w:left="1440" w:hanging="360"/>
      </w:pPr>
      <w:rPr>
        <w:rFonts w:asciiTheme="majorBidi" w:eastAsia="Times New Roman" w:hAnsiTheme="majorBidi" w:cstheme="majorBidi"/>
      </w:rPr>
    </w:lvl>
    <w:lvl w:ilvl="2" w:tplc="3488A6B0">
      <w:numFmt w:val="bullet"/>
      <w:lvlText w:val="-"/>
      <w:lvlJc w:val="left"/>
      <w:pPr>
        <w:ind w:left="2340" w:hanging="360"/>
      </w:pPr>
      <w:rPr>
        <w:rFonts w:ascii="Times New Roman" w:eastAsia="Times New Roman" w:hAnsi="Times New Roman" w:cs="Times New Roman"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DB95523"/>
    <w:multiLevelType w:val="hybridMultilevel"/>
    <w:tmpl w:val="CA00E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1FC48B2"/>
    <w:multiLevelType w:val="hybridMultilevel"/>
    <w:tmpl w:val="260E6FEE"/>
    <w:lvl w:ilvl="0" w:tplc="EFBCADC0">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6C01123"/>
    <w:multiLevelType w:val="hybridMultilevel"/>
    <w:tmpl w:val="B30C5C22"/>
    <w:lvl w:ilvl="0" w:tplc="719CF8EA">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370170D9"/>
    <w:multiLevelType w:val="hybridMultilevel"/>
    <w:tmpl w:val="701ECB90"/>
    <w:lvl w:ilvl="0" w:tplc="CE50482E">
      <w:start w:val="1"/>
      <w:numFmt w:val="upp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52011B7"/>
    <w:multiLevelType w:val="hybridMultilevel"/>
    <w:tmpl w:val="0E729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1212239"/>
    <w:multiLevelType w:val="hybridMultilevel"/>
    <w:tmpl w:val="9474C8EC"/>
    <w:lvl w:ilvl="0" w:tplc="39C80F12">
      <w:numFmt w:val="bullet"/>
      <w:lvlText w:val="-"/>
      <w:lvlJc w:val="left"/>
      <w:pPr>
        <w:ind w:left="720" w:hanging="360"/>
      </w:pPr>
      <w:rPr>
        <w:rFonts w:ascii="Bankinter" w:eastAsia="Times New Roman" w:hAnsi="Bankinter"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3226122"/>
    <w:multiLevelType w:val="hybridMultilevel"/>
    <w:tmpl w:val="A7A6170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60C280B"/>
    <w:multiLevelType w:val="hybridMultilevel"/>
    <w:tmpl w:val="E96A47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DCE3F04"/>
    <w:multiLevelType w:val="hybridMultilevel"/>
    <w:tmpl w:val="B0BE1A92"/>
    <w:lvl w:ilvl="0" w:tplc="C6A084EC">
      <w:start w:val="1"/>
      <w:numFmt w:val="lowerRoman"/>
      <w:lvlText w:val="(%1)"/>
      <w:lvlJc w:val="left"/>
      <w:pPr>
        <w:ind w:left="1440" w:hanging="72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53071E9"/>
    <w:multiLevelType w:val="hybridMultilevel"/>
    <w:tmpl w:val="E1922D0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68041414">
    <w:abstractNumId w:val="1"/>
  </w:num>
  <w:num w:numId="2" w16cid:durableId="792095768">
    <w:abstractNumId w:val="0"/>
  </w:num>
  <w:num w:numId="3" w16cid:durableId="2091921433">
    <w:abstractNumId w:val="13"/>
  </w:num>
  <w:num w:numId="4" w16cid:durableId="658656494">
    <w:abstractNumId w:val="8"/>
  </w:num>
  <w:num w:numId="5" w16cid:durableId="264725785">
    <w:abstractNumId w:val="9"/>
  </w:num>
  <w:num w:numId="6" w16cid:durableId="1953509404">
    <w:abstractNumId w:val="0"/>
  </w:num>
  <w:num w:numId="7" w16cid:durableId="1441996411">
    <w:abstractNumId w:val="13"/>
  </w:num>
  <w:num w:numId="8" w16cid:durableId="530147853">
    <w:abstractNumId w:val="8"/>
  </w:num>
  <w:num w:numId="9" w16cid:durableId="157235045">
    <w:abstractNumId w:val="10"/>
  </w:num>
  <w:num w:numId="10" w16cid:durableId="2032221105">
    <w:abstractNumId w:val="6"/>
  </w:num>
  <w:num w:numId="11" w16cid:durableId="998387128">
    <w:abstractNumId w:val="2"/>
  </w:num>
  <w:num w:numId="12" w16cid:durableId="1980378004">
    <w:abstractNumId w:val="5"/>
  </w:num>
  <w:num w:numId="13" w16cid:durableId="1534419382">
    <w:abstractNumId w:val="12"/>
  </w:num>
  <w:num w:numId="14" w16cid:durableId="400643764">
    <w:abstractNumId w:val="3"/>
  </w:num>
  <w:num w:numId="15" w16cid:durableId="229318098">
    <w:abstractNumId w:val="14"/>
  </w:num>
  <w:num w:numId="16" w16cid:durableId="2094551072">
    <w:abstractNumId w:val="7"/>
  </w:num>
  <w:num w:numId="17" w16cid:durableId="1792623162">
    <w:abstractNumId w:val="11"/>
  </w:num>
  <w:num w:numId="18" w16cid:durableId="21292299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11F76"/>
    <w:rsid w:val="00022879"/>
    <w:rsid w:val="00046618"/>
    <w:rsid w:val="00066C2C"/>
    <w:rsid w:val="0007081F"/>
    <w:rsid w:val="00083620"/>
    <w:rsid w:val="000A40E8"/>
    <w:rsid w:val="000B1C86"/>
    <w:rsid w:val="000F48AE"/>
    <w:rsid w:val="000F76CB"/>
    <w:rsid w:val="00122255"/>
    <w:rsid w:val="00131F6D"/>
    <w:rsid w:val="00147EF0"/>
    <w:rsid w:val="00152B9F"/>
    <w:rsid w:val="00153C66"/>
    <w:rsid w:val="00156398"/>
    <w:rsid w:val="001613FC"/>
    <w:rsid w:val="001811B8"/>
    <w:rsid w:val="00194523"/>
    <w:rsid w:val="001C25D6"/>
    <w:rsid w:val="001E03DE"/>
    <w:rsid w:val="00207101"/>
    <w:rsid w:val="00217208"/>
    <w:rsid w:val="00224A72"/>
    <w:rsid w:val="00254AF1"/>
    <w:rsid w:val="002569D8"/>
    <w:rsid w:val="00256CB3"/>
    <w:rsid w:val="0028798D"/>
    <w:rsid w:val="002A5A1E"/>
    <w:rsid w:val="002F2EE3"/>
    <w:rsid w:val="0031211C"/>
    <w:rsid w:val="003231DE"/>
    <w:rsid w:val="00333421"/>
    <w:rsid w:val="00362EA8"/>
    <w:rsid w:val="003A29E8"/>
    <w:rsid w:val="003A55AD"/>
    <w:rsid w:val="003F4929"/>
    <w:rsid w:val="0041335A"/>
    <w:rsid w:val="00415550"/>
    <w:rsid w:val="0042285E"/>
    <w:rsid w:val="004327DB"/>
    <w:rsid w:val="00450281"/>
    <w:rsid w:val="00453B7E"/>
    <w:rsid w:val="00476C24"/>
    <w:rsid w:val="00487904"/>
    <w:rsid w:val="004B653E"/>
    <w:rsid w:val="004C46CA"/>
    <w:rsid w:val="004D3175"/>
    <w:rsid w:val="004F1ED9"/>
    <w:rsid w:val="004F2038"/>
    <w:rsid w:val="00557CD6"/>
    <w:rsid w:val="00560EE3"/>
    <w:rsid w:val="00584010"/>
    <w:rsid w:val="005846AD"/>
    <w:rsid w:val="005A4B7A"/>
    <w:rsid w:val="005A7BBD"/>
    <w:rsid w:val="005B3233"/>
    <w:rsid w:val="005B4485"/>
    <w:rsid w:val="005B588A"/>
    <w:rsid w:val="005C4DAC"/>
    <w:rsid w:val="005D5FFD"/>
    <w:rsid w:val="005F7B4B"/>
    <w:rsid w:val="00616FC6"/>
    <w:rsid w:val="00621717"/>
    <w:rsid w:val="006243C3"/>
    <w:rsid w:val="00625042"/>
    <w:rsid w:val="00641415"/>
    <w:rsid w:val="00657A58"/>
    <w:rsid w:val="006A3653"/>
    <w:rsid w:val="006B79BC"/>
    <w:rsid w:val="006D5B0E"/>
    <w:rsid w:val="006F46EB"/>
    <w:rsid w:val="00712058"/>
    <w:rsid w:val="00715F52"/>
    <w:rsid w:val="00724D91"/>
    <w:rsid w:val="00735EFF"/>
    <w:rsid w:val="00766594"/>
    <w:rsid w:val="00773FB9"/>
    <w:rsid w:val="007A0B8E"/>
    <w:rsid w:val="007B55BA"/>
    <w:rsid w:val="00811B18"/>
    <w:rsid w:val="008175AB"/>
    <w:rsid w:val="00817697"/>
    <w:rsid w:val="00865C86"/>
    <w:rsid w:val="00876B04"/>
    <w:rsid w:val="008A54C7"/>
    <w:rsid w:val="00933C70"/>
    <w:rsid w:val="00981C21"/>
    <w:rsid w:val="00986A68"/>
    <w:rsid w:val="009C33E9"/>
    <w:rsid w:val="009E49B4"/>
    <w:rsid w:val="00A26E54"/>
    <w:rsid w:val="00A36184"/>
    <w:rsid w:val="00A37E25"/>
    <w:rsid w:val="00A47385"/>
    <w:rsid w:val="00A557E7"/>
    <w:rsid w:val="00A806DA"/>
    <w:rsid w:val="00A951D0"/>
    <w:rsid w:val="00AB5607"/>
    <w:rsid w:val="00AB7475"/>
    <w:rsid w:val="00AC5EE4"/>
    <w:rsid w:val="00AD0BA2"/>
    <w:rsid w:val="00AD67D0"/>
    <w:rsid w:val="00AF7066"/>
    <w:rsid w:val="00B077BD"/>
    <w:rsid w:val="00B43E83"/>
    <w:rsid w:val="00B747A5"/>
    <w:rsid w:val="00B8070C"/>
    <w:rsid w:val="00B842FC"/>
    <w:rsid w:val="00BA7EAC"/>
    <w:rsid w:val="00BB7B90"/>
    <w:rsid w:val="00BC05AE"/>
    <w:rsid w:val="00BC7E2D"/>
    <w:rsid w:val="00BD7CC7"/>
    <w:rsid w:val="00BF225B"/>
    <w:rsid w:val="00BF6DAC"/>
    <w:rsid w:val="00C0756F"/>
    <w:rsid w:val="00C3270D"/>
    <w:rsid w:val="00C4049F"/>
    <w:rsid w:val="00C4100F"/>
    <w:rsid w:val="00C73D3E"/>
    <w:rsid w:val="00C8367A"/>
    <w:rsid w:val="00CA7416"/>
    <w:rsid w:val="00CB314E"/>
    <w:rsid w:val="00CD42E9"/>
    <w:rsid w:val="00D0492B"/>
    <w:rsid w:val="00D13C1E"/>
    <w:rsid w:val="00D1504C"/>
    <w:rsid w:val="00D20932"/>
    <w:rsid w:val="00D26B59"/>
    <w:rsid w:val="00D46F95"/>
    <w:rsid w:val="00D76F7F"/>
    <w:rsid w:val="00DA6773"/>
    <w:rsid w:val="00DB06EB"/>
    <w:rsid w:val="00DB31B0"/>
    <w:rsid w:val="00DC4F92"/>
    <w:rsid w:val="00E04512"/>
    <w:rsid w:val="00E354C2"/>
    <w:rsid w:val="00E363EC"/>
    <w:rsid w:val="00E56753"/>
    <w:rsid w:val="00EB030B"/>
    <w:rsid w:val="00EB48EA"/>
    <w:rsid w:val="00EB69DE"/>
    <w:rsid w:val="00ED4F53"/>
    <w:rsid w:val="00EE10F5"/>
    <w:rsid w:val="00F267CD"/>
    <w:rsid w:val="00F27E2B"/>
    <w:rsid w:val="00F33B0C"/>
    <w:rsid w:val="00F62F50"/>
    <w:rsid w:val="00F6598B"/>
    <w:rsid w:val="00F80A4E"/>
    <w:rsid w:val="00F84CCE"/>
    <w:rsid w:val="00F90552"/>
    <w:rsid w:val="00FA7196"/>
    <w:rsid w:val="00FC599A"/>
    <w:rsid w:val="00FE66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6380"/>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34"/>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character" w:styleId="Textoennegrita">
    <w:name w:val="Strong"/>
    <w:basedOn w:val="Fuentedeprrafopredeter"/>
    <w:uiPriority w:val="22"/>
    <w:qFormat/>
    <w:rsid w:val="00453B7E"/>
    <w:rPr>
      <w:b/>
      <w:bCs/>
    </w:rPr>
  </w:style>
  <w:style w:type="paragraph" w:styleId="Textonotapie">
    <w:name w:val="footnote text"/>
    <w:aliases w:val="Texto nota pie Car2,Texto nota pie Car Car1,Texto nota pie Car1 Car Car,Texto nota pie Car Car Car Car,Texto nota pie Car1 Car1,Texto nota pie Car Car Car1,Footnote Text Char Car,Footnote Text Char Char,Footnote Text Char2 Char Char,fn,ft"/>
    <w:basedOn w:val="Normal"/>
    <w:link w:val="TextonotapieCar"/>
    <w:uiPriority w:val="99"/>
    <w:unhideWhenUsed/>
    <w:qFormat/>
    <w:rsid w:val="00BC7E2D"/>
  </w:style>
  <w:style w:type="character" w:customStyle="1" w:styleId="TextonotapieCar">
    <w:name w:val="Texto nota pie Car"/>
    <w:aliases w:val="Texto nota pie Car2 Car,Texto nota pie Car Car1 Car,Texto nota pie Car1 Car Car Car,Texto nota pie Car Car Car Car Car,Texto nota pie Car1 Car1 Car,Texto nota pie Car Car Car1 Car,Footnote Text Char Car Car,Footnote Text Char Char Car"/>
    <w:basedOn w:val="Fuentedeprrafopredeter"/>
    <w:link w:val="Textonotapie"/>
    <w:uiPriority w:val="99"/>
    <w:rsid w:val="00BC7E2D"/>
    <w:rPr>
      <w:rFonts w:ascii="Times New Roman" w:eastAsia="Times New Roman" w:hAnsi="Times New Roman" w:cs="Times New Roman"/>
      <w:color w:val="000000"/>
      <w:sz w:val="20"/>
      <w:szCs w:val="20"/>
      <w:lang w:eastAsia="es-ES"/>
    </w:rPr>
  </w:style>
  <w:style w:type="character" w:styleId="Refdenotaalpie">
    <w:name w:val="footnote reference"/>
    <w:aliases w:val="fr,Footnote ReferenceW,Style 13,Ref. de nota al pie1"/>
    <w:basedOn w:val="Fuentedeprrafopredeter"/>
    <w:uiPriority w:val="99"/>
    <w:unhideWhenUsed/>
    <w:rsid w:val="00BC7E2D"/>
    <w:rPr>
      <w:vertAlign w:val="superscript"/>
    </w:rPr>
  </w:style>
  <w:style w:type="character" w:customStyle="1" w:styleId="PrrafodelistaCar">
    <w:name w:val="Párrafo de lista Car"/>
    <w:aliases w:val="GCC. Instructa numeración general Car"/>
    <w:link w:val="Prrafodelista"/>
    <w:uiPriority w:val="34"/>
    <w:locked/>
    <w:rsid w:val="00B8070C"/>
    <w:rPr>
      <w:rFonts w:ascii="Verdana" w:eastAsia="Calibri" w:hAnsi="Verdana" w:cs="Arial"/>
      <w:spacing w:val="4"/>
      <w:sz w:val="20"/>
      <w:szCs w:val="21"/>
    </w:rPr>
  </w:style>
  <w:style w:type="paragraph" w:styleId="Sinespaciado">
    <w:name w:val="No Spacing"/>
    <w:qFormat/>
    <w:rsid w:val="00254AF1"/>
    <w:pPr>
      <w:suppressAutoHyphens/>
      <w:spacing w:after="0" w:line="240" w:lineRule="auto"/>
    </w:pPr>
    <w:rPr>
      <w:rFonts w:ascii="Times New Roman" w:eastAsia="Calibri" w:hAnsi="Times New Roman" w:cs="DejaVu Sans"/>
      <w:sz w:val="24"/>
    </w:rPr>
  </w:style>
  <w:style w:type="paragraph" w:customStyle="1" w:styleId="Default">
    <w:name w:val="Default"/>
    <w:rsid w:val="00147EF0"/>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BD7C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05485">
      <w:bodyDiv w:val="1"/>
      <w:marLeft w:val="0"/>
      <w:marRight w:val="0"/>
      <w:marTop w:val="0"/>
      <w:marBottom w:val="0"/>
      <w:divBdr>
        <w:top w:val="none" w:sz="0" w:space="0" w:color="auto"/>
        <w:left w:val="none" w:sz="0" w:space="0" w:color="auto"/>
        <w:bottom w:val="none" w:sz="0" w:space="0" w:color="auto"/>
        <w:right w:val="none" w:sz="0" w:space="0" w:color="auto"/>
      </w:divBdr>
    </w:div>
    <w:div w:id="488521510">
      <w:bodyDiv w:val="1"/>
      <w:marLeft w:val="0"/>
      <w:marRight w:val="0"/>
      <w:marTop w:val="0"/>
      <w:marBottom w:val="0"/>
      <w:divBdr>
        <w:top w:val="none" w:sz="0" w:space="0" w:color="auto"/>
        <w:left w:val="none" w:sz="0" w:space="0" w:color="auto"/>
        <w:bottom w:val="none" w:sz="0" w:space="0" w:color="auto"/>
        <w:right w:val="none" w:sz="0" w:space="0" w:color="auto"/>
      </w:divBdr>
    </w:div>
    <w:div w:id="494343689">
      <w:bodyDiv w:val="1"/>
      <w:marLeft w:val="0"/>
      <w:marRight w:val="0"/>
      <w:marTop w:val="0"/>
      <w:marBottom w:val="0"/>
      <w:divBdr>
        <w:top w:val="none" w:sz="0" w:space="0" w:color="auto"/>
        <w:left w:val="none" w:sz="0" w:space="0" w:color="auto"/>
        <w:bottom w:val="none" w:sz="0" w:space="0" w:color="auto"/>
        <w:right w:val="none" w:sz="0" w:space="0" w:color="auto"/>
      </w:divBdr>
    </w:div>
    <w:div w:id="548301446">
      <w:bodyDiv w:val="1"/>
      <w:marLeft w:val="0"/>
      <w:marRight w:val="0"/>
      <w:marTop w:val="0"/>
      <w:marBottom w:val="0"/>
      <w:divBdr>
        <w:top w:val="none" w:sz="0" w:space="0" w:color="auto"/>
        <w:left w:val="none" w:sz="0" w:space="0" w:color="auto"/>
        <w:bottom w:val="none" w:sz="0" w:space="0" w:color="auto"/>
        <w:right w:val="none" w:sz="0" w:space="0" w:color="auto"/>
      </w:divBdr>
    </w:div>
    <w:div w:id="830365317">
      <w:bodyDiv w:val="1"/>
      <w:marLeft w:val="0"/>
      <w:marRight w:val="0"/>
      <w:marTop w:val="0"/>
      <w:marBottom w:val="0"/>
      <w:divBdr>
        <w:top w:val="none" w:sz="0" w:space="0" w:color="auto"/>
        <w:left w:val="none" w:sz="0" w:space="0" w:color="auto"/>
        <w:bottom w:val="none" w:sz="0" w:space="0" w:color="auto"/>
        <w:right w:val="none" w:sz="0" w:space="0" w:color="auto"/>
      </w:divBdr>
    </w:div>
    <w:div w:id="874348128">
      <w:bodyDiv w:val="1"/>
      <w:marLeft w:val="0"/>
      <w:marRight w:val="0"/>
      <w:marTop w:val="0"/>
      <w:marBottom w:val="0"/>
      <w:divBdr>
        <w:top w:val="none" w:sz="0" w:space="0" w:color="auto"/>
        <w:left w:val="none" w:sz="0" w:space="0" w:color="auto"/>
        <w:bottom w:val="none" w:sz="0" w:space="0" w:color="auto"/>
        <w:right w:val="none" w:sz="0" w:space="0" w:color="auto"/>
      </w:divBdr>
    </w:div>
    <w:div w:id="938609229">
      <w:bodyDiv w:val="1"/>
      <w:marLeft w:val="0"/>
      <w:marRight w:val="0"/>
      <w:marTop w:val="0"/>
      <w:marBottom w:val="0"/>
      <w:divBdr>
        <w:top w:val="none" w:sz="0" w:space="0" w:color="auto"/>
        <w:left w:val="none" w:sz="0" w:space="0" w:color="auto"/>
        <w:bottom w:val="none" w:sz="0" w:space="0" w:color="auto"/>
        <w:right w:val="none" w:sz="0" w:space="0" w:color="auto"/>
      </w:divBdr>
    </w:div>
    <w:div w:id="1058354932">
      <w:bodyDiv w:val="1"/>
      <w:marLeft w:val="0"/>
      <w:marRight w:val="0"/>
      <w:marTop w:val="0"/>
      <w:marBottom w:val="0"/>
      <w:divBdr>
        <w:top w:val="none" w:sz="0" w:space="0" w:color="auto"/>
        <w:left w:val="none" w:sz="0" w:space="0" w:color="auto"/>
        <w:bottom w:val="none" w:sz="0" w:space="0" w:color="auto"/>
        <w:right w:val="none" w:sz="0" w:space="0" w:color="auto"/>
      </w:divBdr>
    </w:div>
    <w:div w:id="1060133444">
      <w:bodyDiv w:val="1"/>
      <w:marLeft w:val="0"/>
      <w:marRight w:val="0"/>
      <w:marTop w:val="0"/>
      <w:marBottom w:val="0"/>
      <w:divBdr>
        <w:top w:val="none" w:sz="0" w:space="0" w:color="auto"/>
        <w:left w:val="none" w:sz="0" w:space="0" w:color="auto"/>
        <w:bottom w:val="none" w:sz="0" w:space="0" w:color="auto"/>
        <w:right w:val="none" w:sz="0" w:space="0" w:color="auto"/>
      </w:divBdr>
    </w:div>
    <w:div w:id="1264142746">
      <w:bodyDiv w:val="1"/>
      <w:marLeft w:val="0"/>
      <w:marRight w:val="0"/>
      <w:marTop w:val="0"/>
      <w:marBottom w:val="0"/>
      <w:divBdr>
        <w:top w:val="none" w:sz="0" w:space="0" w:color="auto"/>
        <w:left w:val="none" w:sz="0" w:space="0" w:color="auto"/>
        <w:bottom w:val="none" w:sz="0" w:space="0" w:color="auto"/>
        <w:right w:val="none" w:sz="0" w:space="0" w:color="auto"/>
      </w:divBdr>
    </w:div>
    <w:div w:id="1271085283">
      <w:bodyDiv w:val="1"/>
      <w:marLeft w:val="0"/>
      <w:marRight w:val="0"/>
      <w:marTop w:val="0"/>
      <w:marBottom w:val="0"/>
      <w:divBdr>
        <w:top w:val="none" w:sz="0" w:space="0" w:color="auto"/>
        <w:left w:val="none" w:sz="0" w:space="0" w:color="auto"/>
        <w:bottom w:val="none" w:sz="0" w:space="0" w:color="auto"/>
        <w:right w:val="none" w:sz="0" w:space="0" w:color="auto"/>
      </w:divBdr>
    </w:div>
    <w:div w:id="1334601592">
      <w:bodyDiv w:val="1"/>
      <w:marLeft w:val="0"/>
      <w:marRight w:val="0"/>
      <w:marTop w:val="0"/>
      <w:marBottom w:val="0"/>
      <w:divBdr>
        <w:top w:val="none" w:sz="0" w:space="0" w:color="auto"/>
        <w:left w:val="none" w:sz="0" w:space="0" w:color="auto"/>
        <w:bottom w:val="none" w:sz="0" w:space="0" w:color="auto"/>
        <w:right w:val="none" w:sz="0" w:space="0" w:color="auto"/>
      </w:divBdr>
    </w:div>
    <w:div w:id="1375421106">
      <w:bodyDiv w:val="1"/>
      <w:marLeft w:val="0"/>
      <w:marRight w:val="0"/>
      <w:marTop w:val="0"/>
      <w:marBottom w:val="0"/>
      <w:divBdr>
        <w:top w:val="none" w:sz="0" w:space="0" w:color="auto"/>
        <w:left w:val="none" w:sz="0" w:space="0" w:color="auto"/>
        <w:bottom w:val="none" w:sz="0" w:space="0" w:color="auto"/>
        <w:right w:val="none" w:sz="0" w:space="0" w:color="auto"/>
      </w:divBdr>
    </w:div>
    <w:div w:id="1410879934">
      <w:bodyDiv w:val="1"/>
      <w:marLeft w:val="0"/>
      <w:marRight w:val="0"/>
      <w:marTop w:val="0"/>
      <w:marBottom w:val="0"/>
      <w:divBdr>
        <w:top w:val="none" w:sz="0" w:space="0" w:color="auto"/>
        <w:left w:val="none" w:sz="0" w:space="0" w:color="auto"/>
        <w:bottom w:val="none" w:sz="0" w:space="0" w:color="auto"/>
        <w:right w:val="none" w:sz="0" w:space="0" w:color="auto"/>
      </w:divBdr>
    </w:div>
    <w:div w:id="1477837560">
      <w:bodyDiv w:val="1"/>
      <w:marLeft w:val="0"/>
      <w:marRight w:val="0"/>
      <w:marTop w:val="0"/>
      <w:marBottom w:val="0"/>
      <w:divBdr>
        <w:top w:val="none" w:sz="0" w:space="0" w:color="auto"/>
        <w:left w:val="none" w:sz="0" w:space="0" w:color="auto"/>
        <w:bottom w:val="none" w:sz="0" w:space="0" w:color="auto"/>
        <w:right w:val="none" w:sz="0" w:space="0" w:color="auto"/>
      </w:divBdr>
    </w:div>
    <w:div w:id="1478957694">
      <w:bodyDiv w:val="1"/>
      <w:marLeft w:val="0"/>
      <w:marRight w:val="0"/>
      <w:marTop w:val="0"/>
      <w:marBottom w:val="0"/>
      <w:divBdr>
        <w:top w:val="none" w:sz="0" w:space="0" w:color="auto"/>
        <w:left w:val="none" w:sz="0" w:space="0" w:color="auto"/>
        <w:bottom w:val="none" w:sz="0" w:space="0" w:color="auto"/>
        <w:right w:val="none" w:sz="0" w:space="0" w:color="auto"/>
      </w:divBdr>
    </w:div>
    <w:div w:id="1619796288">
      <w:bodyDiv w:val="1"/>
      <w:marLeft w:val="0"/>
      <w:marRight w:val="0"/>
      <w:marTop w:val="0"/>
      <w:marBottom w:val="0"/>
      <w:divBdr>
        <w:top w:val="none" w:sz="0" w:space="0" w:color="auto"/>
        <w:left w:val="none" w:sz="0" w:space="0" w:color="auto"/>
        <w:bottom w:val="none" w:sz="0" w:space="0" w:color="auto"/>
        <w:right w:val="none" w:sz="0" w:space="0" w:color="auto"/>
      </w:divBdr>
    </w:div>
    <w:div w:id="1678580139">
      <w:bodyDiv w:val="1"/>
      <w:marLeft w:val="0"/>
      <w:marRight w:val="0"/>
      <w:marTop w:val="0"/>
      <w:marBottom w:val="0"/>
      <w:divBdr>
        <w:top w:val="none" w:sz="0" w:space="0" w:color="auto"/>
        <w:left w:val="none" w:sz="0" w:space="0" w:color="auto"/>
        <w:bottom w:val="none" w:sz="0" w:space="0" w:color="auto"/>
        <w:right w:val="none" w:sz="0" w:space="0" w:color="auto"/>
      </w:divBdr>
    </w:div>
    <w:div w:id="1925534357">
      <w:bodyDiv w:val="1"/>
      <w:marLeft w:val="0"/>
      <w:marRight w:val="0"/>
      <w:marTop w:val="0"/>
      <w:marBottom w:val="0"/>
      <w:divBdr>
        <w:top w:val="none" w:sz="0" w:space="0" w:color="auto"/>
        <w:left w:val="none" w:sz="0" w:space="0" w:color="auto"/>
        <w:bottom w:val="none" w:sz="0" w:space="0" w:color="auto"/>
        <w:right w:val="none" w:sz="0" w:space="0" w:color="auto"/>
      </w:divBdr>
    </w:div>
    <w:div w:id="1960722194">
      <w:bodyDiv w:val="1"/>
      <w:marLeft w:val="0"/>
      <w:marRight w:val="0"/>
      <w:marTop w:val="0"/>
      <w:marBottom w:val="0"/>
      <w:divBdr>
        <w:top w:val="none" w:sz="0" w:space="0" w:color="auto"/>
        <w:left w:val="none" w:sz="0" w:space="0" w:color="auto"/>
        <w:bottom w:val="none" w:sz="0" w:space="0" w:color="auto"/>
        <w:right w:val="none" w:sz="0" w:space="0" w:color="auto"/>
      </w:divBdr>
    </w:div>
    <w:div w:id="1967273660">
      <w:bodyDiv w:val="1"/>
      <w:marLeft w:val="0"/>
      <w:marRight w:val="0"/>
      <w:marTop w:val="0"/>
      <w:marBottom w:val="0"/>
      <w:divBdr>
        <w:top w:val="none" w:sz="0" w:space="0" w:color="auto"/>
        <w:left w:val="none" w:sz="0" w:space="0" w:color="auto"/>
        <w:bottom w:val="none" w:sz="0" w:space="0" w:color="auto"/>
        <w:right w:val="none" w:sz="0" w:space="0" w:color="auto"/>
      </w:divBdr>
    </w:div>
    <w:div w:id="206598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Redirection('LE0000560108_Vigente.HTML')" TargetMode="External"/><Relationship Id="rId13" Type="http://schemas.openxmlformats.org/officeDocument/2006/relationships/hyperlink" Target="javascript:Redirection('LE0000560108_Vigente.HTML')" TargetMode="External"/><Relationship Id="rId18" Type="http://schemas.openxmlformats.org/officeDocument/2006/relationships/hyperlink" Target="https://www.youtube.com/watch?v=gVswvCloLHY"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youtube.com/watch?v=PeenOmdp9xk" TargetMode="External"/><Relationship Id="rId17" Type="http://schemas.openxmlformats.org/officeDocument/2006/relationships/hyperlink" Target="https://www.youtube.com/watch?v=arv2SD2tyUA" TargetMode="External"/><Relationship Id="rId2" Type="http://schemas.openxmlformats.org/officeDocument/2006/relationships/numbering" Target="numbering.xml"/><Relationship Id="rId16" Type="http://schemas.openxmlformats.org/officeDocument/2006/relationships/hyperlink" Target="https://www.youtube.com/watch?v=jdGJlUUIiqA"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gVswvCloLHY" TargetMode="External"/><Relationship Id="rId5" Type="http://schemas.openxmlformats.org/officeDocument/2006/relationships/webSettings" Target="webSettings.xml"/><Relationship Id="rId15" Type="http://schemas.openxmlformats.org/officeDocument/2006/relationships/hyperlink" Target="javascript:Redirection('LE0000013389_Vigente.HTML" TargetMode="External"/><Relationship Id="rId23" Type="http://schemas.openxmlformats.org/officeDocument/2006/relationships/theme" Target="theme/theme1.xml"/><Relationship Id="rId10" Type="http://schemas.openxmlformats.org/officeDocument/2006/relationships/hyperlink" Target="https://www.youtube.com/watch?v=arv2SD2tyUA" TargetMode="External"/><Relationship Id="rId19" Type="http://schemas.openxmlformats.org/officeDocument/2006/relationships/hyperlink" Target="https://www.youtube.com/watch?v=PeenOmdp9xk" TargetMode="External"/><Relationship Id="rId4" Type="http://schemas.openxmlformats.org/officeDocument/2006/relationships/settings" Target="settings.xml"/><Relationship Id="rId9" Type="http://schemas.openxmlformats.org/officeDocument/2006/relationships/hyperlink" Target="https://www.youtube.com/watch?v=jdGJlUUIiqA" TargetMode="External"/><Relationship Id="rId14" Type="http://schemas.openxmlformats.org/officeDocument/2006/relationships/hyperlink" Target="javascript:Redirection('LE0000013389_Vigente.HTML"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youtube.com/watch?v=y-NJA6YfY5o" TargetMode="External"/><Relationship Id="rId2" Type="http://schemas.openxmlformats.org/officeDocument/2006/relationships/hyperlink" Target="https://www.youtube.com/watch?v=nMLgXqrXNeg" TargetMode="External"/><Relationship Id="rId1" Type="http://schemas.openxmlformats.org/officeDocument/2006/relationships/hyperlink" Target="https://www.youtube.com/watch?v=y-NJA6YfY5o" TargetMode="External"/><Relationship Id="rId4" Type="http://schemas.openxmlformats.org/officeDocument/2006/relationships/hyperlink" Target="https://www.youtube.com/watch?v=nMLgXqrXNe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79EFA-0C68-483E-92DB-BEEA1FCC5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47</Pages>
  <Words>18644</Words>
  <Characters>102543</Characters>
  <Application>Microsoft Office Word</Application>
  <DocSecurity>0</DocSecurity>
  <Lines>854</Lines>
  <Paragraphs>241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FRANCISCO JAVIER FERRÁNDEZ PINA</cp:lastModifiedBy>
  <cp:revision>20</cp:revision>
  <cp:lastPrinted>2020-08-03T11:44:00Z</cp:lastPrinted>
  <dcterms:created xsi:type="dcterms:W3CDTF">2023-09-18T08:58:00Z</dcterms:created>
  <dcterms:modified xsi:type="dcterms:W3CDTF">2023-09-29T12:01:00Z</dcterms:modified>
</cp:coreProperties>
</file>