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CA8A1" w14:textId="120950A0" w:rsidR="0028798D" w:rsidRPr="007D401C" w:rsidRDefault="00F33B0C" w:rsidP="00FC3EF0">
      <w:pPr>
        <w:spacing w:line="360" w:lineRule="auto"/>
        <w:rPr>
          <w:rFonts w:ascii="Arial" w:hAnsi="Arial" w:cs="Arial"/>
          <w:b/>
          <w:bCs/>
          <w:color w:val="auto"/>
          <w:highlight w:val="yellow"/>
        </w:rPr>
      </w:pPr>
      <w:r w:rsidRPr="004A0A03">
        <w:rPr>
          <w:rFonts w:ascii="Arial" w:hAnsi="Arial" w:cs="Arial"/>
          <w:color w:val="auto"/>
          <w:highlight w:val="yellow"/>
        </w:rPr>
        <w:t>EXP.</w:t>
      </w:r>
      <w:r w:rsidRPr="007D401C">
        <w:rPr>
          <w:rFonts w:ascii="Arial" w:hAnsi="Arial" w:cs="Arial"/>
          <w:b/>
          <w:bCs/>
          <w:color w:val="auto"/>
          <w:highlight w:val="yellow"/>
        </w:rPr>
        <w:t xml:space="preserve"> </w:t>
      </w:r>
      <w:r w:rsidR="0098757C">
        <w:rPr>
          <w:rFonts w:ascii="Arial" w:hAnsi="Arial" w:cs="Arial"/>
          <w:b/>
          <w:bCs/>
          <w:color w:val="auto"/>
          <w:highlight w:val="yellow"/>
        </w:rPr>
        <w:fldChar w:fldCharType="begin"/>
      </w:r>
      <w:r w:rsidR="00660615">
        <w:rPr>
          <w:rFonts w:ascii="Arial" w:hAnsi="Arial" w:cs="Arial"/>
          <w:b/>
          <w:bCs/>
          <w:color w:val="auto"/>
          <w:highlight w:val="yellow"/>
        </w:rPr>
        <w:instrText>expedien_srefcliente</w:instrText>
      </w:r>
      <w:r w:rsidR="0098757C">
        <w:rPr>
          <w:rFonts w:ascii="Arial" w:hAnsi="Arial" w:cs="Arial"/>
          <w:b/>
          <w:bCs/>
          <w:color w:val="auto"/>
          <w:highlight w:val="yellow"/>
        </w:rPr>
        <w:fldChar w:fldCharType="separate"/>
      </w:r>
      <w:r w:rsidR="0098757C">
        <w:rPr>
          <w:rFonts w:ascii="Arial" w:hAnsi="Arial" w:cs="Arial"/>
          <w:b/>
          <w:bCs/>
          <w:noProof/>
          <w:color w:val="auto"/>
          <w:highlight w:val="yellow"/>
        </w:rPr>
        <w:t>«Datos_del_Expediente_Ref._Expediente»</w:t>
      </w:r>
      <w:r w:rsidR="0098757C">
        <w:rPr>
          <w:rFonts w:ascii="Arial" w:hAnsi="Arial" w:cs="Arial"/>
          <w:b/>
          <w:bCs/>
          <w:color w:val="auto"/>
          <w:highlight w:val="yellow"/>
        </w:rPr>
        <w:fldChar w:fldCharType="end"/>
      </w:r>
    </w:p>
    <w:p w14:paraId="59310BCC" w14:textId="77777777" w:rsidR="0095036A" w:rsidRDefault="00F33B0C" w:rsidP="001811B8">
      <w:pPr>
        <w:spacing w:line="360" w:lineRule="auto"/>
        <w:rPr>
          <w:rFonts w:ascii="Arial" w:hAnsi="Arial" w:cs="Arial"/>
          <w:b/>
          <w:bCs/>
          <w:color w:val="auto"/>
          <w:highlight w:val="yellow"/>
        </w:rPr>
      </w:pPr>
      <w:r w:rsidRPr="004A0A03">
        <w:rPr>
          <w:rFonts w:ascii="Arial" w:hAnsi="Arial" w:cs="Arial"/>
          <w:color w:val="auto"/>
          <w:highlight w:val="yellow"/>
        </w:rPr>
        <w:t>PROCEDIMIENTO ORDINARIO</w:t>
      </w:r>
      <w:r w:rsidRPr="007D401C">
        <w:rPr>
          <w:rFonts w:ascii="Arial" w:hAnsi="Arial" w:cs="Arial"/>
          <w:b/>
          <w:bCs/>
          <w:color w:val="auto"/>
          <w:highlight w:val="yellow"/>
        </w:rPr>
        <w:t xml:space="preserve"> </w:t>
      </w:r>
      <w:r w:rsidR="00660615">
        <w:rPr>
          <w:rFonts w:ascii="Arial" w:hAnsi="Arial" w:cs="Arial"/>
          <w:b/>
          <w:bCs/>
          <w:color w:val="auto"/>
          <w:highlight w:val="yellow"/>
        </w:rPr>
        <w:fldChar w:fldCharType="begin"/>
      </w:r>
      <w:r w:rsidR="00660615">
        <w:rPr>
          <w:rFonts w:ascii="Arial" w:hAnsi="Arial" w:cs="Arial"/>
          <w:b/>
          <w:bCs/>
          <w:color w:val="auto"/>
          <w:highlight w:val="yellow"/>
        </w:rPr>
        <w:instrText>expedien_snumasunto</w:instrText>
      </w:r>
      <w:r w:rsidR="00660615">
        <w:rPr>
          <w:rFonts w:ascii="Arial" w:hAnsi="Arial" w:cs="Arial"/>
          <w:b/>
          <w:bCs/>
          <w:color w:val="auto"/>
          <w:highlight w:val="yellow"/>
        </w:rPr>
        <w:fldChar w:fldCharType="separate"/>
      </w:r>
      <w:r w:rsidR="00660615">
        <w:rPr>
          <w:rFonts w:ascii="Arial" w:hAnsi="Arial" w:cs="Arial"/>
          <w:b/>
          <w:bCs/>
          <w:noProof/>
          <w:color w:val="auto"/>
          <w:highlight w:val="yellow"/>
        </w:rPr>
        <w:t>«Datos_del_Expediente_Núm._Autos»</w:t>
      </w:r>
      <w:r w:rsidR="00660615">
        <w:rPr>
          <w:rFonts w:ascii="Arial" w:hAnsi="Arial" w:cs="Arial"/>
          <w:b/>
          <w:bCs/>
          <w:color w:val="auto"/>
          <w:highlight w:val="yellow"/>
        </w:rPr>
        <w:fldChar w:fldCharType="end"/>
      </w:r>
    </w:p>
    <w:p w14:paraId="7CEA8E84" w14:textId="0BF9D459" w:rsidR="00F33B0C" w:rsidRDefault="00F33B0C" w:rsidP="0095036A">
      <w:pPr>
        <w:spacing w:line="360" w:lineRule="auto"/>
        <w:rPr>
          <w:rFonts w:ascii="Arial" w:hAnsi="Arial" w:cs="Arial"/>
          <w:b/>
          <w:bCs/>
          <w:color w:val="auto"/>
        </w:rPr>
      </w:pPr>
      <w:r w:rsidRPr="004A0A03">
        <w:rPr>
          <w:rFonts w:ascii="Arial" w:hAnsi="Arial" w:cs="Arial"/>
          <w:color w:val="auto"/>
          <w:highlight w:val="yellow"/>
        </w:rPr>
        <w:t>PROCURADOR CONTRARIO</w:t>
      </w:r>
      <w:r w:rsidRPr="007D401C">
        <w:rPr>
          <w:rFonts w:ascii="Arial" w:hAnsi="Arial" w:cs="Arial"/>
          <w:b/>
          <w:bCs/>
          <w:color w:val="auto"/>
          <w:highlight w:val="yellow"/>
        </w:rPr>
        <w:t xml:space="preserve"> </w:t>
      </w:r>
      <w:r w:rsidR="006D7E64">
        <w:rPr>
          <w:rFonts w:ascii="Arial" w:hAnsi="Arial" w:cs="Arial"/>
          <w:b/>
          <w:bCs/>
          <w:color w:val="auto"/>
          <w:highlight w:val="yellow"/>
        </w:rPr>
        <w:fldChar w:fldCharType="begin"/>
      </w:r>
      <w:r w:rsidR="005A1725">
        <w:rPr>
          <w:rFonts w:ascii="Arial" w:hAnsi="Arial" w:cs="Arial"/>
          <w:b/>
          <w:bCs/>
          <w:color w:val="auto"/>
          <w:highlight w:val="yellow"/>
        </w:rPr>
        <w:instrText>proconprincipal_snombrepro</w:instrText>
      </w:r>
      <w:r w:rsidR="006D7E64">
        <w:rPr>
          <w:rFonts w:ascii="Arial" w:hAnsi="Arial" w:cs="Arial"/>
          <w:b/>
          <w:bCs/>
          <w:color w:val="auto"/>
          <w:highlight w:val="yellow"/>
        </w:rPr>
        <w:fldChar w:fldCharType="separate"/>
      </w:r>
      <w:r w:rsidR="006D7E64">
        <w:rPr>
          <w:rFonts w:ascii="Arial" w:hAnsi="Arial" w:cs="Arial"/>
          <w:b/>
          <w:bCs/>
          <w:noProof/>
          <w:color w:val="auto"/>
          <w:highlight w:val="yellow"/>
        </w:rPr>
        <w:t>«Procurador_Contrario_Principal_Nombre»</w:t>
      </w:r>
      <w:r w:rsidR="006D7E64">
        <w:rPr>
          <w:rFonts w:ascii="Arial" w:hAnsi="Arial" w:cs="Arial"/>
          <w:b/>
          <w:bCs/>
          <w:color w:val="auto"/>
          <w:highlight w:val="yellow"/>
        </w:rPr>
        <w:fldChar w:fldCharType="end"/>
      </w:r>
    </w:p>
    <w:p w14:paraId="3CBDD02F" w14:textId="77777777" w:rsidR="007D401C" w:rsidRPr="007360B4" w:rsidRDefault="007D401C" w:rsidP="00FC3EF0">
      <w:pPr>
        <w:spacing w:line="360" w:lineRule="auto"/>
        <w:ind w:right="140"/>
        <w:jc w:val="both"/>
        <w:rPr>
          <w:rFonts w:ascii="Arial" w:hAnsi="Arial" w:cs="Arial"/>
          <w:b/>
          <w:bCs/>
          <w:color w:val="auto"/>
        </w:rPr>
      </w:pPr>
    </w:p>
    <w:p w14:paraId="59FE18BC" w14:textId="1243835E" w:rsidR="0028798D" w:rsidRPr="007360B4" w:rsidRDefault="0028798D" w:rsidP="001811B8">
      <w:pPr>
        <w:spacing w:line="360" w:lineRule="auto"/>
        <w:ind w:right="140"/>
        <w:jc w:val="center"/>
        <w:rPr>
          <w:rFonts w:ascii="Arial" w:hAnsi="Arial" w:cs="Arial"/>
          <w:b/>
          <w:bCs/>
          <w:color w:val="auto"/>
          <w:lang w:val="es-ES_tradnl"/>
        </w:rPr>
      </w:pPr>
      <w:r w:rsidRPr="00FB0057">
        <w:rPr>
          <w:rFonts w:ascii="Arial" w:hAnsi="Arial" w:cs="Arial"/>
          <w:b/>
          <w:bCs/>
          <w:color w:val="auto"/>
          <w:highlight w:val="yellow"/>
          <w:lang w:val="es-ES_tradnl"/>
        </w:rPr>
        <w:t xml:space="preserve">AL </w:t>
      </w:r>
      <w:r w:rsidR="00FB0057" w:rsidRPr="00FB0057">
        <w:rPr>
          <w:rFonts w:ascii="Arial" w:hAnsi="Arial" w:cs="Arial"/>
          <w:b/>
          <w:bCs/>
          <w:color w:val="auto"/>
          <w:highlight w:val="yellow"/>
          <w:lang w:val="es-ES_tradnl"/>
        </w:rPr>
        <w:fldChar w:fldCharType="begin"/>
      </w:r>
      <w:r w:rsidR="00FB0057" w:rsidRPr="00FB0057">
        <w:rPr>
          <w:rFonts w:ascii="Arial" w:hAnsi="Arial" w:cs="Arial"/>
          <w:b/>
          <w:bCs/>
          <w:color w:val="auto"/>
          <w:highlight w:val="yellow"/>
          <w:lang w:val="es-ES_tradnl"/>
        </w:rPr>
        <w:instrText>juzgadoprincipal_juzgado</w:instrText>
      </w:r>
      <w:r w:rsidR="00FB0057" w:rsidRPr="00FB0057">
        <w:rPr>
          <w:rFonts w:ascii="Arial" w:hAnsi="Arial" w:cs="Arial"/>
          <w:b/>
          <w:bCs/>
          <w:color w:val="auto"/>
          <w:highlight w:val="yellow"/>
          <w:lang w:val="es-ES_tradnl"/>
        </w:rPr>
        <w:fldChar w:fldCharType="separate"/>
      </w:r>
      <w:r w:rsidR="00FB0057" w:rsidRPr="00FB0057">
        <w:rPr>
          <w:rFonts w:ascii="Arial" w:hAnsi="Arial" w:cs="Arial"/>
          <w:b/>
          <w:bCs/>
          <w:noProof/>
          <w:color w:val="auto"/>
          <w:highlight w:val="yellow"/>
          <w:lang w:val="es-ES_tradnl"/>
        </w:rPr>
        <w:t>«Juzgado_Principal_Nombre»</w:t>
      </w:r>
      <w:r w:rsidR="00FB0057" w:rsidRPr="00FB0057">
        <w:rPr>
          <w:rFonts w:ascii="Arial" w:hAnsi="Arial" w:cs="Arial"/>
          <w:b/>
          <w:bCs/>
          <w:color w:val="auto"/>
          <w:highlight w:val="yellow"/>
          <w:lang w:val="es-ES_tradnl"/>
        </w:rPr>
        <w:fldChar w:fldCharType="end"/>
      </w:r>
    </w:p>
    <w:p w14:paraId="7D28D0FF" w14:textId="1B425AEC" w:rsidR="00724D91" w:rsidRPr="007360B4" w:rsidRDefault="00724D91" w:rsidP="001811B8">
      <w:pPr>
        <w:spacing w:line="360" w:lineRule="auto"/>
        <w:ind w:right="140"/>
        <w:rPr>
          <w:rFonts w:ascii="Arial" w:hAnsi="Arial" w:cs="Arial"/>
          <w:b/>
          <w:bCs/>
          <w:color w:val="auto"/>
          <w:lang w:val="es-ES_tradnl"/>
        </w:rPr>
      </w:pPr>
    </w:p>
    <w:p w14:paraId="39918551" w14:textId="7116D3BB" w:rsidR="0028798D" w:rsidRPr="001811B8" w:rsidRDefault="00FB0057" w:rsidP="001811B8">
      <w:pPr>
        <w:tabs>
          <w:tab w:val="left" w:pos="180"/>
        </w:tabs>
        <w:spacing w:line="360" w:lineRule="auto"/>
        <w:ind w:right="140"/>
        <w:jc w:val="both"/>
        <w:rPr>
          <w:rFonts w:ascii="Arial" w:hAnsi="Arial" w:cs="Arial"/>
          <w:b/>
          <w:bCs/>
          <w:color w:val="auto"/>
          <w:lang w:val="es-ES_tradnl"/>
        </w:rPr>
      </w:pPr>
      <w:r>
        <w:rPr>
          <w:rFonts w:ascii="Arial" w:hAnsi="Arial" w:cs="Arial"/>
          <w:b/>
          <w:bCs/>
          <w:color w:val="auto"/>
          <w:highlight w:val="yellow"/>
          <w:lang w:val="es-ES_tradnl"/>
        </w:rPr>
        <w:fldChar w:fldCharType="begin"/>
      </w:r>
      <w:r>
        <w:rPr>
          <w:rFonts w:ascii="Arial" w:hAnsi="Arial" w:cs="Arial"/>
          <w:b/>
          <w:bCs/>
          <w:color w:val="auto"/>
          <w:highlight w:val="yellow"/>
          <w:lang w:val="es-ES_tradnl"/>
        </w:rPr>
        <w:instrText>proproprincipal_snombrepro</w:instrText>
      </w:r>
      <w:r>
        <w:rPr>
          <w:rFonts w:ascii="Arial" w:hAnsi="Arial" w:cs="Arial"/>
          <w:b/>
          <w:bCs/>
          <w:color w:val="auto"/>
          <w:highlight w:val="yellow"/>
          <w:lang w:val="es-ES_tradnl"/>
        </w:rPr>
        <w:fldChar w:fldCharType="separate"/>
      </w:r>
      <w:r>
        <w:rPr>
          <w:rFonts w:ascii="Arial" w:hAnsi="Arial" w:cs="Arial"/>
          <w:b/>
          <w:bCs/>
          <w:noProof/>
          <w:color w:val="auto"/>
          <w:highlight w:val="yellow"/>
          <w:lang w:val="es-ES_tradnl"/>
        </w:rPr>
        <w:t>«Procurador_Propio_Principal_Nombre»</w:t>
      </w:r>
      <w:r>
        <w:rPr>
          <w:rFonts w:ascii="Arial" w:hAnsi="Arial" w:cs="Arial"/>
          <w:b/>
          <w:bCs/>
          <w:color w:val="auto"/>
          <w:highlight w:val="yellow"/>
          <w:lang w:val="es-ES_tradnl"/>
        </w:rPr>
        <w:fldChar w:fldCharType="end"/>
      </w:r>
      <w:r w:rsidR="0028798D" w:rsidRPr="007360B4">
        <w:rPr>
          <w:rFonts w:ascii="Arial" w:hAnsi="Arial" w:cs="Arial"/>
          <w:color w:val="auto"/>
          <w:lang w:val="es-ES_tradnl"/>
        </w:rPr>
        <w:t>, Procuradora de los Tribunales y de BANKINTER, S.A. según consta en escritura de aportado</w:t>
      </w:r>
      <w:r w:rsidR="0028798D" w:rsidRPr="001811B8">
        <w:rPr>
          <w:rFonts w:ascii="Arial" w:hAnsi="Arial" w:cs="Arial"/>
          <w:color w:val="auto"/>
          <w:lang w:val="es-ES_tradnl"/>
        </w:rPr>
        <w:t xml:space="preserve"> que acompaño junto a su copia para que una vez sea testimoniada su original me sea devuelta por necesitarla para otros usos, en </w:t>
      </w:r>
      <w:r w:rsidR="0028798D" w:rsidRPr="001811B8">
        <w:rPr>
          <w:rFonts w:ascii="Arial" w:hAnsi="Arial" w:cs="Arial"/>
          <w:b/>
          <w:color w:val="auto"/>
          <w:lang w:val="es-ES_tradnl"/>
        </w:rPr>
        <w:t xml:space="preserve">Autos </w:t>
      </w:r>
      <w:r w:rsidR="00034DD3">
        <w:rPr>
          <w:rFonts w:ascii="Arial" w:hAnsi="Arial" w:cs="Arial"/>
          <w:b/>
          <w:color w:val="auto"/>
          <w:highlight w:val="yellow"/>
          <w:lang w:val="es-ES_tradnl"/>
        </w:rPr>
        <w:fldChar w:fldCharType="begin"/>
      </w:r>
      <w:r w:rsidR="00034DD3">
        <w:rPr>
          <w:rFonts w:ascii="Arial" w:hAnsi="Arial" w:cs="Arial"/>
          <w:b/>
          <w:color w:val="auto"/>
          <w:highlight w:val="yellow"/>
          <w:lang w:val="es-ES_tradnl"/>
        </w:rPr>
        <w:instrText>juzgadoprincipal_numasunto</w:instrText>
      </w:r>
      <w:r w:rsidR="00034DD3">
        <w:rPr>
          <w:rFonts w:ascii="Arial" w:hAnsi="Arial" w:cs="Arial"/>
          <w:b/>
          <w:color w:val="auto"/>
          <w:highlight w:val="yellow"/>
          <w:lang w:val="es-ES_tradnl"/>
        </w:rPr>
        <w:fldChar w:fldCharType="separate"/>
      </w:r>
      <w:r w:rsidR="00034DD3">
        <w:rPr>
          <w:rFonts w:ascii="Arial" w:hAnsi="Arial" w:cs="Arial"/>
          <w:b/>
          <w:noProof/>
          <w:color w:val="auto"/>
          <w:highlight w:val="yellow"/>
          <w:lang w:val="es-ES_tradnl"/>
        </w:rPr>
        <w:t>«Juzgado_Principal_Núm_Autos»</w:t>
      </w:r>
      <w:r w:rsidR="00034DD3">
        <w:rPr>
          <w:rFonts w:ascii="Arial" w:hAnsi="Arial" w:cs="Arial"/>
          <w:b/>
          <w:color w:val="auto"/>
          <w:highlight w:val="yellow"/>
          <w:lang w:val="es-ES_tradnl"/>
        </w:rPr>
        <w:fldChar w:fldCharType="end"/>
      </w:r>
      <w:r w:rsidR="00034DD3">
        <w:rPr>
          <w:rFonts w:ascii="Arial" w:hAnsi="Arial" w:cs="Arial"/>
          <w:b/>
          <w:color w:val="auto"/>
          <w:lang w:val="es-ES_tradnl"/>
        </w:rPr>
        <w:t xml:space="preserve"> </w:t>
      </w:r>
      <w:r w:rsidR="0028798D" w:rsidRPr="001811B8">
        <w:rPr>
          <w:rFonts w:ascii="Arial" w:hAnsi="Arial" w:cs="Arial"/>
          <w:b/>
          <w:color w:val="auto"/>
          <w:lang w:val="es-ES_tradnl"/>
        </w:rPr>
        <w:t>de Juicio Ordinario</w:t>
      </w:r>
      <w:r w:rsidR="0028798D" w:rsidRPr="001811B8">
        <w:rPr>
          <w:rFonts w:ascii="Arial" w:hAnsi="Arial" w:cs="Arial"/>
          <w:color w:val="auto"/>
          <w:lang w:val="es-ES_tradnl"/>
        </w:rPr>
        <w:t xml:space="preserve"> que se sigue en este Juzgado, ante el mismo </w:t>
      </w:r>
      <w:r w:rsidR="0028798D" w:rsidRPr="001811B8">
        <w:rPr>
          <w:rFonts w:ascii="Arial" w:hAnsi="Arial" w:cs="Arial"/>
          <w:b/>
          <w:color w:val="auto"/>
          <w:lang w:val="es-ES_tradnl"/>
        </w:rPr>
        <w:t xml:space="preserve">COMPAREZCO y </w:t>
      </w:r>
      <w:r w:rsidR="0028798D" w:rsidRPr="001811B8">
        <w:rPr>
          <w:rFonts w:ascii="Arial" w:hAnsi="Arial" w:cs="Arial"/>
          <w:color w:val="auto"/>
          <w:lang w:val="es-ES_tradnl"/>
        </w:rPr>
        <w:t xml:space="preserve">como más procedente sea y en Derecho haya lugar, siguiendo </w:t>
      </w:r>
      <w:r w:rsidR="00A36184" w:rsidRPr="001811B8">
        <w:rPr>
          <w:rFonts w:ascii="Arial" w:hAnsi="Arial" w:cs="Arial"/>
          <w:color w:val="auto"/>
          <w:lang w:val="es-ES_tradnl"/>
        </w:rPr>
        <w:t>la dirección técnica de</w:t>
      </w:r>
      <w:r w:rsidR="00F33B0C" w:rsidRPr="001811B8">
        <w:rPr>
          <w:rFonts w:ascii="Arial" w:hAnsi="Arial" w:cs="Arial"/>
          <w:color w:val="auto"/>
          <w:lang w:val="es-ES_tradnl"/>
        </w:rPr>
        <w:t xml:space="preserve">l letrado del Ilustre Colegio de Abogados de Valencia, </w:t>
      </w:r>
      <w:r w:rsidR="00A36184" w:rsidRPr="001811B8">
        <w:rPr>
          <w:rFonts w:ascii="Arial" w:hAnsi="Arial" w:cs="Arial"/>
          <w:color w:val="auto"/>
          <w:lang w:val="es-ES_tradnl"/>
        </w:rPr>
        <w:t xml:space="preserve"> D</w:t>
      </w:r>
      <w:r w:rsidR="00557CD6" w:rsidRPr="001811B8">
        <w:rPr>
          <w:rFonts w:ascii="Arial" w:hAnsi="Arial" w:cs="Arial"/>
          <w:color w:val="auto"/>
          <w:lang w:val="es-ES_tradnl"/>
        </w:rPr>
        <w:t>ña</w:t>
      </w:r>
      <w:r w:rsidR="00A36184" w:rsidRPr="001811B8">
        <w:rPr>
          <w:rFonts w:ascii="Arial" w:hAnsi="Arial" w:cs="Arial"/>
          <w:color w:val="auto"/>
          <w:lang w:val="es-ES_tradnl"/>
        </w:rPr>
        <w:t>.</w:t>
      </w:r>
      <w:r w:rsidR="00F33B0C" w:rsidRPr="001811B8">
        <w:rPr>
          <w:rFonts w:ascii="Arial" w:hAnsi="Arial" w:cs="Arial"/>
          <w:color w:val="auto"/>
          <w:lang w:val="es-ES_tradnl"/>
        </w:rPr>
        <w:t xml:space="preserve"> </w:t>
      </w:r>
      <w:r w:rsidR="004F1869">
        <w:rPr>
          <w:rFonts w:ascii="Arial" w:hAnsi="Arial" w:cs="Arial"/>
          <w:color w:val="auto"/>
          <w:lang w:val="es-ES_tradnl"/>
        </w:rPr>
        <w:t>Rocío Grondona Vives</w:t>
      </w:r>
      <w:r w:rsidR="0028798D" w:rsidRPr="001811B8">
        <w:rPr>
          <w:rFonts w:ascii="Arial" w:hAnsi="Arial" w:cs="Arial"/>
          <w:color w:val="auto"/>
          <w:lang w:val="es-ES_tradnl"/>
        </w:rPr>
        <w:t>,</w:t>
      </w:r>
      <w:r w:rsidR="00A36184" w:rsidRPr="001811B8">
        <w:rPr>
          <w:rFonts w:ascii="Arial" w:hAnsi="Arial" w:cs="Arial"/>
          <w:color w:val="auto"/>
          <w:lang w:val="es-ES_tradnl"/>
        </w:rPr>
        <w:t xml:space="preserve"> </w:t>
      </w:r>
      <w:r w:rsidR="0028798D" w:rsidRPr="001811B8">
        <w:rPr>
          <w:rFonts w:ascii="Arial" w:hAnsi="Arial" w:cs="Arial"/>
          <w:color w:val="auto"/>
          <w:lang w:val="es-ES_tradnl"/>
        </w:rPr>
        <w:t xml:space="preserve"> bajo la dependencia laboral de Lexer Abogados, S.L. </w:t>
      </w:r>
      <w:r w:rsidR="0028798D" w:rsidRPr="001811B8">
        <w:rPr>
          <w:rFonts w:ascii="Arial" w:hAnsi="Arial" w:cs="Arial"/>
          <w:b/>
          <w:bCs/>
          <w:color w:val="auto"/>
          <w:lang w:val="es-ES_tradnl"/>
        </w:rPr>
        <w:t>DIGO</w:t>
      </w:r>
    </w:p>
    <w:p w14:paraId="0511A50E"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10F5AAFC" w14:textId="5758D2E0"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mi representada ha sido emplazada a contestar a la Demanda inter</w:t>
      </w:r>
      <w:r w:rsidR="00A36184" w:rsidRPr="001811B8">
        <w:rPr>
          <w:rFonts w:ascii="Arial" w:hAnsi="Arial" w:cs="Arial"/>
          <w:color w:val="auto"/>
          <w:lang w:val="es-ES_tradnl"/>
        </w:rPr>
        <w:t xml:space="preserve">puesta frente a ella por </w:t>
      </w:r>
      <w:r w:rsidR="006C3B9C" w:rsidRPr="007D401C">
        <w:rPr>
          <w:rFonts w:ascii="Arial" w:hAnsi="Arial" w:cs="Arial"/>
          <w:b/>
          <w:bCs/>
          <w:color w:val="auto"/>
          <w:highlight w:val="yellow"/>
          <w:lang w:val="es-ES_tradnl"/>
        </w:rPr>
        <w:t>D</w:t>
      </w:r>
      <w:r w:rsidR="007D401C" w:rsidRPr="007D401C">
        <w:rPr>
          <w:rFonts w:ascii="Arial" w:hAnsi="Arial" w:cs="Arial"/>
          <w:b/>
          <w:bCs/>
          <w:color w:val="auto"/>
          <w:highlight w:val="yellow"/>
          <w:lang w:val="es-ES_tradnl"/>
        </w:rPr>
        <w:t>./D</w:t>
      </w:r>
      <w:r w:rsidR="004F1869" w:rsidRPr="007D401C">
        <w:rPr>
          <w:rFonts w:ascii="Arial" w:hAnsi="Arial" w:cs="Arial"/>
          <w:b/>
          <w:bCs/>
          <w:color w:val="auto"/>
          <w:highlight w:val="yellow"/>
          <w:lang w:val="es-ES_tradnl"/>
        </w:rPr>
        <w:t xml:space="preserve">ÑA. </w:t>
      </w:r>
      <w:r w:rsidR="00CB1EE1">
        <w:rPr>
          <w:rFonts w:ascii="Arial" w:hAnsi="Arial" w:cs="Arial"/>
          <w:b/>
          <w:bCs/>
          <w:color w:val="auto"/>
          <w:highlight w:val="yellow"/>
          <w:lang w:val="es-ES_tradnl"/>
        </w:rPr>
        <w:fldChar w:fldCharType="begin"/>
      </w:r>
      <w:r w:rsidR="00610AD2">
        <w:rPr>
          <w:rFonts w:ascii="Arial" w:hAnsi="Arial" w:cs="Arial"/>
          <w:b/>
          <w:bCs/>
          <w:color w:val="auto"/>
          <w:highlight w:val="yellow"/>
          <w:lang w:val="es-ES_tradnl"/>
        </w:rPr>
        <w:instrText>cliecont_snombreclicon__1</w:instrText>
      </w:r>
      <w:r w:rsidR="00CB1EE1">
        <w:rPr>
          <w:rFonts w:ascii="Arial" w:hAnsi="Arial" w:cs="Arial"/>
          <w:b/>
          <w:bCs/>
          <w:color w:val="auto"/>
          <w:highlight w:val="yellow"/>
          <w:lang w:val="es-ES_tradnl"/>
        </w:rPr>
        <w:fldChar w:fldCharType="separate"/>
      </w:r>
      <w:r w:rsidR="00CB1EE1">
        <w:rPr>
          <w:rFonts w:ascii="Arial" w:hAnsi="Arial" w:cs="Arial"/>
          <w:b/>
          <w:bCs/>
          <w:noProof/>
          <w:color w:val="auto"/>
          <w:highlight w:val="yellow"/>
          <w:lang w:val="es-ES_tradnl"/>
        </w:rPr>
        <w:t>«Contrarios_Nombre»</w:t>
      </w:r>
      <w:r w:rsidR="00CB1EE1">
        <w:rPr>
          <w:rFonts w:ascii="Arial" w:hAnsi="Arial" w:cs="Arial"/>
          <w:b/>
          <w:bCs/>
          <w:color w:val="auto"/>
          <w:highlight w:val="yellow"/>
          <w:lang w:val="es-ES_tradnl"/>
        </w:rPr>
        <w:fldChar w:fldCharType="end"/>
      </w:r>
      <w:r w:rsidR="00610AD2">
        <w:rPr>
          <w:rFonts w:ascii="Arial" w:hAnsi="Arial" w:cs="Arial"/>
          <w:b/>
          <w:bCs/>
          <w:color w:val="auto"/>
          <w:lang w:val="es-ES_tradnl"/>
        </w:rPr>
        <w:t xml:space="preserve"> </w:t>
      </w:r>
      <w:r w:rsidRPr="001811B8">
        <w:rPr>
          <w:rFonts w:ascii="Arial" w:hAnsi="Arial" w:cs="Arial"/>
          <w:color w:val="auto"/>
          <w:lang w:val="es-ES_tradnl"/>
        </w:rPr>
        <w:t>de la que da cuenta el Decreto de admisión a trámite y del que se no da traslado en los términos del artículo 404 de la Ley de Enjuiciamiento Civil para contestarla.</w:t>
      </w:r>
    </w:p>
    <w:p w14:paraId="3BAD2F0F"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7DF31E0C"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antes del transcurso de los veinte días que refiere el indicado precepto, esta parte viene a realizar, siguiendo expresas instrucciones de mi patrocinada, las siguientes</w:t>
      </w:r>
    </w:p>
    <w:p w14:paraId="66685DBF" w14:textId="77777777" w:rsidR="0028798D" w:rsidRDefault="0028798D" w:rsidP="001811B8">
      <w:pPr>
        <w:tabs>
          <w:tab w:val="left" w:pos="180"/>
        </w:tabs>
        <w:spacing w:line="360" w:lineRule="auto"/>
        <w:ind w:right="140"/>
        <w:jc w:val="both"/>
        <w:rPr>
          <w:rFonts w:ascii="Arial" w:hAnsi="Arial" w:cs="Arial"/>
          <w:color w:val="auto"/>
          <w:lang w:val="es-ES_tradnl"/>
        </w:rPr>
      </w:pPr>
    </w:p>
    <w:p w14:paraId="659E2BEC" w14:textId="77777777" w:rsidR="007D401C" w:rsidRPr="001811B8" w:rsidRDefault="007D401C" w:rsidP="001811B8">
      <w:pPr>
        <w:tabs>
          <w:tab w:val="left" w:pos="180"/>
        </w:tabs>
        <w:spacing w:line="360" w:lineRule="auto"/>
        <w:ind w:right="140"/>
        <w:jc w:val="both"/>
        <w:rPr>
          <w:rFonts w:ascii="Arial" w:hAnsi="Arial" w:cs="Arial"/>
          <w:color w:val="auto"/>
          <w:lang w:val="es-ES_tradnl"/>
        </w:rPr>
      </w:pPr>
    </w:p>
    <w:p w14:paraId="098F0554" w14:textId="4EAEA134" w:rsidR="0028798D" w:rsidRPr="001811B8" w:rsidRDefault="0028798D" w:rsidP="001811B8">
      <w:pPr>
        <w:tabs>
          <w:tab w:val="left" w:pos="180"/>
        </w:tabs>
        <w:spacing w:line="360" w:lineRule="auto"/>
        <w:ind w:right="140"/>
        <w:jc w:val="center"/>
        <w:rPr>
          <w:rFonts w:ascii="Arial" w:hAnsi="Arial" w:cs="Arial"/>
          <w:color w:val="auto"/>
        </w:rPr>
      </w:pPr>
      <w:r w:rsidRPr="001811B8">
        <w:rPr>
          <w:rFonts w:ascii="Arial" w:hAnsi="Arial" w:cs="Arial"/>
          <w:b/>
          <w:color w:val="auto"/>
          <w:lang w:val="es-ES_tradnl"/>
        </w:rPr>
        <w:t>MANIFESTACIONES</w:t>
      </w:r>
    </w:p>
    <w:p w14:paraId="0B945065" w14:textId="37EF0A4B" w:rsidR="00F84CCE" w:rsidRDefault="00F84CCE" w:rsidP="001811B8">
      <w:pPr>
        <w:spacing w:line="360" w:lineRule="auto"/>
        <w:jc w:val="center"/>
        <w:rPr>
          <w:rFonts w:ascii="Arial" w:hAnsi="Arial" w:cs="Arial"/>
          <w:b/>
          <w:bCs/>
          <w:color w:val="auto"/>
        </w:rPr>
      </w:pPr>
    </w:p>
    <w:p w14:paraId="55DCEC70" w14:textId="6CCFEDB5" w:rsidR="00FC3EF0" w:rsidRPr="001811B8" w:rsidRDefault="00FC3EF0" w:rsidP="00FC3EF0">
      <w:pPr>
        <w:spacing w:line="360" w:lineRule="auto"/>
        <w:jc w:val="center"/>
        <w:rPr>
          <w:rFonts w:ascii="Arial" w:hAnsi="Arial" w:cs="Arial"/>
          <w:b/>
          <w:bCs/>
          <w:color w:val="auto"/>
        </w:rPr>
      </w:pPr>
      <w:r>
        <w:rPr>
          <w:rFonts w:ascii="Arial" w:hAnsi="Arial" w:cs="Arial"/>
          <w:b/>
          <w:bCs/>
          <w:color w:val="auto"/>
        </w:rPr>
        <w:t>A</w:t>
      </w:r>
    </w:p>
    <w:p w14:paraId="176760DA" w14:textId="77777777" w:rsidR="00FC3EF0" w:rsidRPr="001811B8" w:rsidRDefault="00FC3EF0" w:rsidP="00FC3EF0">
      <w:pPr>
        <w:spacing w:line="360" w:lineRule="auto"/>
        <w:jc w:val="center"/>
        <w:rPr>
          <w:rFonts w:ascii="Arial" w:hAnsi="Arial" w:cs="Arial"/>
          <w:b/>
          <w:bCs/>
          <w:color w:val="auto"/>
        </w:rPr>
      </w:pPr>
    </w:p>
    <w:p w14:paraId="73FB4EB4" w14:textId="77777777" w:rsidR="00FC3EF0" w:rsidRPr="001811B8" w:rsidRDefault="00FC3EF0" w:rsidP="00FC3EF0">
      <w:pPr>
        <w:suppressAutoHyphens/>
        <w:spacing w:line="360" w:lineRule="auto"/>
        <w:ind w:right="6" w:firstLine="708"/>
        <w:jc w:val="both"/>
        <w:rPr>
          <w:rFonts w:ascii="Arial" w:hAnsi="Arial" w:cs="Arial"/>
          <w:b/>
          <w:color w:val="auto"/>
          <w:u w:val="single"/>
        </w:rPr>
      </w:pPr>
      <w:r w:rsidRPr="001811B8">
        <w:rPr>
          <w:rFonts w:ascii="Arial" w:hAnsi="Arial" w:cs="Arial"/>
          <w:b/>
          <w:color w:val="auto"/>
          <w:u w:val="single"/>
        </w:rPr>
        <w:t>De las pretensiones del actor/demandante y el allanamiento (PARCIAL) de BANKINTER, S.A.</w:t>
      </w:r>
    </w:p>
    <w:p w14:paraId="0B07427C" w14:textId="77777777" w:rsidR="00FC3EF0" w:rsidRPr="001811B8" w:rsidRDefault="00FC3EF0" w:rsidP="00FC3EF0">
      <w:pPr>
        <w:suppressAutoHyphens/>
        <w:spacing w:line="360" w:lineRule="auto"/>
        <w:ind w:right="6"/>
        <w:jc w:val="both"/>
        <w:rPr>
          <w:rFonts w:ascii="Arial" w:hAnsi="Arial" w:cs="Arial"/>
          <w:color w:val="auto"/>
        </w:rPr>
      </w:pPr>
    </w:p>
    <w:p w14:paraId="3654FF0F" w14:textId="7B639CCE" w:rsidR="00FC3EF0" w:rsidRDefault="00FC3EF0" w:rsidP="00FC3EF0">
      <w:pPr>
        <w:suppressAutoHyphens/>
        <w:spacing w:line="360" w:lineRule="auto"/>
        <w:ind w:right="6"/>
        <w:jc w:val="both"/>
        <w:rPr>
          <w:rFonts w:ascii="Arial" w:hAnsi="Arial" w:cs="Arial"/>
          <w:color w:val="auto"/>
        </w:rPr>
      </w:pPr>
      <w:r w:rsidRPr="001811B8">
        <w:rPr>
          <w:rFonts w:ascii="Arial" w:hAnsi="Arial" w:cs="Arial"/>
          <w:color w:val="auto"/>
        </w:rPr>
        <w:t xml:space="preserve">Tal y como se desprende del escrito de </w:t>
      </w:r>
      <w:r w:rsidRPr="004F1869">
        <w:rPr>
          <w:rFonts w:ascii="Arial" w:hAnsi="Arial" w:cs="Arial"/>
          <w:color w:val="auto"/>
        </w:rPr>
        <w:t xml:space="preserve">Demanda, las pretensiones de los actores son </w:t>
      </w:r>
      <w:r w:rsidRPr="007D401C">
        <w:rPr>
          <w:rFonts w:ascii="Arial" w:hAnsi="Arial" w:cs="Arial"/>
          <w:color w:val="auto"/>
          <w:highlight w:val="yellow"/>
        </w:rPr>
        <w:t>dos</w:t>
      </w:r>
      <w:r w:rsidRPr="004F1869">
        <w:rPr>
          <w:rFonts w:ascii="Arial" w:hAnsi="Arial" w:cs="Arial"/>
          <w:color w:val="auto"/>
        </w:rPr>
        <w:t xml:space="preserve">. De un lado, </w:t>
      </w:r>
      <w:r w:rsidRPr="007D401C">
        <w:rPr>
          <w:rFonts w:ascii="Arial" w:hAnsi="Arial" w:cs="Arial"/>
          <w:color w:val="auto"/>
          <w:highlight w:val="yellow"/>
        </w:rPr>
        <w:t xml:space="preserve">la declaración de nulidad de </w:t>
      </w:r>
      <w:r w:rsidR="005A1725">
        <w:rPr>
          <w:rFonts w:ascii="Arial" w:hAnsi="Arial" w:cs="Arial"/>
          <w:color w:val="auto"/>
          <w:highlight w:val="yellow"/>
        </w:rPr>
        <w:t>la cláusula de gastos, interés de demora y comisión de apertura</w:t>
      </w:r>
      <w:r w:rsidR="00082BFC">
        <w:rPr>
          <w:rFonts w:ascii="Arial" w:hAnsi="Arial" w:cs="Arial"/>
          <w:color w:val="auto"/>
          <w:highlight w:val="yellow"/>
        </w:rPr>
        <w:t xml:space="preserve"> </w:t>
      </w:r>
      <w:r w:rsidRPr="007D401C">
        <w:rPr>
          <w:rFonts w:ascii="Arial" w:hAnsi="Arial" w:cs="Arial"/>
          <w:color w:val="auto"/>
          <w:highlight w:val="yellow"/>
        </w:rPr>
        <w:t xml:space="preserve">del </w:t>
      </w:r>
      <w:r w:rsidRPr="007D401C">
        <w:rPr>
          <w:rFonts w:ascii="Arial" w:hAnsi="Arial" w:cs="Arial"/>
          <w:b/>
          <w:color w:val="auto"/>
          <w:highlight w:val="yellow"/>
        </w:rPr>
        <w:t>préstamo hipotecario suscrito entre los hoy contendientes</w:t>
      </w:r>
      <w:r w:rsidRPr="007D401C">
        <w:rPr>
          <w:rFonts w:ascii="Arial" w:hAnsi="Arial" w:cs="Arial"/>
          <w:color w:val="auto"/>
          <w:highlight w:val="yellow"/>
          <w:shd w:val="clear" w:color="auto" w:fill="FFFFFF" w:themeFill="background1"/>
        </w:rPr>
        <w:t>. Y</w:t>
      </w:r>
      <w:r w:rsidRPr="007D401C">
        <w:rPr>
          <w:rFonts w:ascii="Arial" w:hAnsi="Arial" w:cs="Arial"/>
          <w:color w:val="auto"/>
          <w:highlight w:val="yellow"/>
        </w:rPr>
        <w:t>, de otro lado, la restitución económica de los citados gastos.</w:t>
      </w:r>
    </w:p>
    <w:p w14:paraId="7522FC65" w14:textId="4D81E35E" w:rsidR="00FC3EF0" w:rsidRPr="001811B8" w:rsidRDefault="00FC3EF0" w:rsidP="00FC3EF0">
      <w:pPr>
        <w:suppressAutoHyphens/>
        <w:spacing w:line="360" w:lineRule="auto"/>
        <w:ind w:right="6"/>
        <w:jc w:val="both"/>
        <w:rPr>
          <w:rFonts w:ascii="Arial" w:hAnsi="Arial" w:cs="Arial"/>
          <w:color w:val="auto"/>
        </w:rPr>
      </w:pPr>
    </w:p>
    <w:p w14:paraId="5A39AAB2" w14:textId="123CA64A" w:rsidR="00FC3EF0" w:rsidRPr="001811B8" w:rsidRDefault="00FC3EF0" w:rsidP="00FC3EF0">
      <w:pPr>
        <w:suppressAutoHyphens/>
        <w:spacing w:line="360" w:lineRule="auto"/>
        <w:ind w:right="6"/>
        <w:jc w:val="both"/>
        <w:rPr>
          <w:rFonts w:ascii="Arial" w:hAnsi="Arial" w:cs="Arial"/>
          <w:color w:val="auto"/>
        </w:rPr>
      </w:pPr>
      <w:r w:rsidRPr="001811B8">
        <w:rPr>
          <w:rFonts w:ascii="Arial" w:hAnsi="Arial" w:cs="Arial"/>
          <w:b/>
          <w:bCs/>
          <w:color w:val="auto"/>
        </w:rPr>
        <w:t xml:space="preserve">Teniendo en cuenta que la reclamación de cantidad que sustancia la pretensión de condena formulada en la Demanda no se ajusta en exactitud a los límites y participación porcentual que, según el caso de los anteriores conceptos, determina la jurisprudencia creada a partir de las Sentencias </w:t>
      </w:r>
      <w:proofErr w:type="spellStart"/>
      <w:r w:rsidRPr="001811B8">
        <w:rPr>
          <w:rFonts w:ascii="Arial" w:hAnsi="Arial" w:cs="Arial"/>
          <w:b/>
          <w:bCs/>
          <w:color w:val="auto"/>
        </w:rPr>
        <w:t>nº</w:t>
      </w:r>
      <w:proofErr w:type="spellEnd"/>
      <w:r w:rsidRPr="001811B8">
        <w:rPr>
          <w:rFonts w:ascii="Arial" w:hAnsi="Arial" w:cs="Arial"/>
          <w:b/>
          <w:bCs/>
          <w:color w:val="auto"/>
        </w:rPr>
        <w:t xml:space="preserve"> 44 y 46 a 49 del Tribunal Supremo, todas ellas de fecha 23 de enero de 2019, ratificada mediante Sentencia del Alto Tribunal núm. 457/2020, de 24 </w:t>
      </w:r>
      <w:r w:rsidRPr="001811B8">
        <w:rPr>
          <w:rFonts w:ascii="Arial" w:hAnsi="Arial" w:cs="Arial"/>
          <w:b/>
          <w:bCs/>
          <w:color w:val="auto"/>
        </w:rPr>
        <w:lastRenderedPageBreak/>
        <w:t xml:space="preserve">de julio, Rec. 1053/2018, en ejercicio de las facultades dispositivas que los artículos 19.1 y 21.1 de la Ley de Enjuiciamiento Civil reconocen a las partes </w:t>
      </w:r>
      <w:r w:rsidRPr="001811B8">
        <w:rPr>
          <w:rFonts w:ascii="Arial" w:hAnsi="Arial" w:cs="Arial"/>
          <w:color w:val="auto"/>
        </w:rPr>
        <w:t xml:space="preserve">sobre lo que es objeto de procedimiento, </w:t>
      </w:r>
      <w:r w:rsidRPr="001811B8">
        <w:rPr>
          <w:rFonts w:ascii="Arial" w:hAnsi="Arial" w:cs="Arial"/>
          <w:b/>
          <w:color w:val="auto"/>
          <w:u w:val="single"/>
        </w:rPr>
        <w:t xml:space="preserve">BANKINTER, S.A. se allana </w:t>
      </w:r>
      <w:r>
        <w:rPr>
          <w:rFonts w:ascii="Arial" w:hAnsi="Arial" w:cs="Arial"/>
          <w:b/>
          <w:color w:val="auto"/>
          <w:u w:val="single"/>
        </w:rPr>
        <w:t xml:space="preserve">a la declaración de nulidad de la cláusula de gastos, así como, </w:t>
      </w:r>
      <w:r w:rsidRPr="001811B8">
        <w:rPr>
          <w:rFonts w:ascii="Arial" w:hAnsi="Arial" w:cs="Arial"/>
          <w:b/>
          <w:color w:val="auto"/>
          <w:u w:val="single"/>
        </w:rPr>
        <w:t>parcialmente a la pretensión económica observando la referida doctrina</w:t>
      </w:r>
      <w:r w:rsidRPr="001811B8">
        <w:rPr>
          <w:rFonts w:ascii="Arial" w:hAnsi="Arial" w:cs="Arial"/>
          <w:color w:val="auto"/>
        </w:rPr>
        <w:t xml:space="preserve"> que se concreta, en el caso que nos ocupa, </w:t>
      </w:r>
      <w:r w:rsidRPr="001811B8">
        <w:rPr>
          <w:rFonts w:ascii="Arial" w:hAnsi="Arial" w:cs="Arial"/>
          <w:b/>
          <w:bCs/>
          <w:color w:val="auto"/>
        </w:rPr>
        <w:t>en los siguientes términos</w:t>
      </w:r>
      <w:r w:rsidRPr="001811B8">
        <w:rPr>
          <w:rFonts w:ascii="Arial" w:hAnsi="Arial" w:cs="Arial"/>
          <w:color w:val="auto"/>
        </w:rPr>
        <w:t>:</w:t>
      </w:r>
    </w:p>
    <w:p w14:paraId="7156602E" w14:textId="77777777" w:rsidR="00FC3EF0" w:rsidRPr="001811B8" w:rsidRDefault="00FC3EF0" w:rsidP="00FC3EF0">
      <w:pPr>
        <w:suppressAutoHyphens/>
        <w:spacing w:line="360" w:lineRule="auto"/>
        <w:ind w:right="6"/>
        <w:jc w:val="both"/>
        <w:rPr>
          <w:rFonts w:ascii="Arial" w:hAnsi="Arial" w:cs="Arial"/>
          <w:color w:val="auto"/>
        </w:rPr>
      </w:pPr>
    </w:p>
    <w:p w14:paraId="19B4A5AC" w14:textId="5B1B6A54" w:rsidR="00FC3EF0" w:rsidRPr="007D401C" w:rsidRDefault="00FC3EF0" w:rsidP="00FC3EF0">
      <w:pPr>
        <w:pStyle w:val="Prrafodelista"/>
        <w:numPr>
          <w:ilvl w:val="0"/>
          <w:numId w:val="1"/>
        </w:numPr>
        <w:spacing w:line="360" w:lineRule="auto"/>
        <w:ind w:right="6"/>
        <w:jc w:val="both"/>
        <w:rPr>
          <w:rFonts w:ascii="Arial" w:eastAsia="Times New Roman" w:hAnsi="Arial"/>
          <w:b/>
          <w:bCs/>
          <w:spacing w:val="0"/>
          <w:szCs w:val="20"/>
          <w:highlight w:val="yellow"/>
          <w:lang w:eastAsia="es-ES"/>
        </w:rPr>
      </w:pPr>
      <w:r w:rsidRPr="007D401C">
        <w:rPr>
          <w:rFonts w:ascii="Arial" w:eastAsia="Times New Roman" w:hAnsi="Arial"/>
          <w:spacing w:val="0"/>
          <w:szCs w:val="20"/>
          <w:highlight w:val="yellow"/>
          <w:lang w:eastAsia="es-ES"/>
        </w:rPr>
        <w:t>Notaría (50% de lo desembolsado en su día)</w:t>
      </w:r>
      <w:r w:rsidR="00F758AB" w:rsidRPr="007D401C">
        <w:rPr>
          <w:rFonts w:ascii="Arial" w:eastAsia="Times New Roman" w:hAnsi="Arial"/>
          <w:spacing w:val="0"/>
          <w:szCs w:val="20"/>
          <w:highlight w:val="yellow"/>
          <w:lang w:eastAsia="es-ES"/>
        </w:rPr>
        <w:t xml:space="preserve">: importa </w:t>
      </w:r>
      <w:r w:rsidR="00F30DD4">
        <w:rPr>
          <w:rFonts w:ascii="Arial" w:eastAsia="Times New Roman" w:hAnsi="Arial"/>
          <w:b/>
          <w:bCs/>
          <w:spacing w:val="0"/>
          <w:szCs w:val="20"/>
          <w:highlight w:val="green"/>
          <w:lang w:eastAsia="es-ES"/>
        </w:rPr>
        <w:fldChar w:fldCharType="begin"/>
      </w:r>
      <w:r w:rsidR="00F30DD4">
        <w:rPr>
          <w:rFonts w:ascii="Arial" w:eastAsia="Times New Roman" w:hAnsi="Arial"/>
          <w:b/>
          <w:bCs/>
          <w:spacing w:val="0"/>
          <w:szCs w:val="20"/>
          <w:highlight w:val="green"/>
          <w:lang w:eastAsia="es-ES"/>
        </w:rPr>
        <w:instrText>persovalores_personalizable1287</w:instrText>
      </w:r>
      <w:r w:rsidR="00F30DD4">
        <w:rPr>
          <w:rFonts w:ascii="Arial" w:eastAsia="Times New Roman" w:hAnsi="Arial"/>
          <w:b/>
          <w:bCs/>
          <w:spacing w:val="0"/>
          <w:szCs w:val="20"/>
          <w:highlight w:val="green"/>
          <w:lang w:eastAsia="es-ES"/>
        </w:rPr>
        <w:fldChar w:fldCharType="separate"/>
      </w:r>
      <w:r w:rsidR="00F30DD4">
        <w:rPr>
          <w:rFonts w:ascii="Arial" w:eastAsia="Times New Roman" w:hAnsi="Arial"/>
          <w:b/>
          <w:bCs/>
          <w:noProof/>
          <w:spacing w:val="0"/>
          <w:szCs w:val="20"/>
          <w:highlight w:val="green"/>
          <w:lang w:eastAsia="es-ES"/>
        </w:rPr>
        <w:t>«BANKINTER_CLAUSULAS_NOTARIA_ALLANADA»</w:t>
      </w:r>
      <w:r w:rsidR="00F30DD4">
        <w:rPr>
          <w:rFonts w:ascii="Arial" w:eastAsia="Times New Roman" w:hAnsi="Arial"/>
          <w:b/>
          <w:bCs/>
          <w:spacing w:val="0"/>
          <w:szCs w:val="20"/>
          <w:highlight w:val="green"/>
          <w:lang w:eastAsia="es-ES"/>
        </w:rPr>
        <w:fldChar w:fldCharType="end"/>
      </w:r>
      <w:r w:rsidR="00F758AB" w:rsidRPr="007D401C">
        <w:rPr>
          <w:rFonts w:ascii="Arial" w:eastAsia="Times New Roman" w:hAnsi="Arial"/>
          <w:b/>
          <w:bCs/>
          <w:spacing w:val="0"/>
          <w:szCs w:val="20"/>
          <w:highlight w:val="yellow"/>
          <w:lang w:eastAsia="es-ES"/>
        </w:rPr>
        <w:t xml:space="preserve"> euros.</w:t>
      </w:r>
    </w:p>
    <w:p w14:paraId="42446CC2" w14:textId="675AE1E8" w:rsidR="00FC3EF0" w:rsidRPr="007D401C" w:rsidRDefault="00FC3EF0" w:rsidP="00FC3EF0">
      <w:pPr>
        <w:pStyle w:val="Prrafodelista"/>
        <w:numPr>
          <w:ilvl w:val="0"/>
          <w:numId w:val="1"/>
        </w:numPr>
        <w:spacing w:line="360" w:lineRule="auto"/>
        <w:ind w:right="6"/>
        <w:jc w:val="both"/>
        <w:rPr>
          <w:rFonts w:ascii="Arial" w:eastAsia="Times New Roman" w:hAnsi="Arial"/>
          <w:b/>
          <w:bCs/>
          <w:spacing w:val="0"/>
          <w:szCs w:val="20"/>
          <w:highlight w:val="yellow"/>
          <w:lang w:eastAsia="es-ES"/>
        </w:rPr>
      </w:pPr>
      <w:r w:rsidRPr="007D401C">
        <w:rPr>
          <w:rFonts w:ascii="Arial" w:eastAsia="Times New Roman" w:hAnsi="Arial"/>
          <w:spacing w:val="0"/>
          <w:szCs w:val="20"/>
          <w:highlight w:val="yellow"/>
          <w:lang w:eastAsia="es-ES"/>
        </w:rPr>
        <w:t>Registro de la propiedad (100% de lo desembolsado en su día)</w:t>
      </w:r>
      <w:r w:rsidR="00F758AB" w:rsidRPr="007D401C">
        <w:rPr>
          <w:rFonts w:ascii="Arial" w:eastAsia="Times New Roman" w:hAnsi="Arial"/>
          <w:spacing w:val="0"/>
          <w:szCs w:val="20"/>
          <w:highlight w:val="yellow"/>
          <w:lang w:eastAsia="es-ES"/>
        </w:rPr>
        <w:t xml:space="preserve">: importa </w:t>
      </w:r>
      <w:r w:rsidR="0019766A">
        <w:rPr>
          <w:rFonts w:ascii="Arial" w:eastAsia="Times New Roman" w:hAnsi="Arial"/>
          <w:b/>
          <w:bCs/>
          <w:spacing w:val="0"/>
          <w:szCs w:val="20"/>
          <w:highlight w:val="green"/>
          <w:lang w:eastAsia="es-ES"/>
        </w:rPr>
        <w:fldChar w:fldCharType="begin"/>
      </w:r>
      <w:r w:rsidR="0019766A">
        <w:rPr>
          <w:rFonts w:ascii="Arial" w:eastAsia="Times New Roman" w:hAnsi="Arial"/>
          <w:b/>
          <w:bCs/>
          <w:spacing w:val="0"/>
          <w:szCs w:val="20"/>
          <w:highlight w:val="green"/>
          <w:lang w:eastAsia="es-ES"/>
        </w:rPr>
        <w:instrText>persovalores_personalizable1288</w:instrText>
      </w:r>
      <w:r w:rsidR="0019766A">
        <w:rPr>
          <w:rFonts w:ascii="Arial" w:eastAsia="Times New Roman" w:hAnsi="Arial"/>
          <w:b/>
          <w:bCs/>
          <w:spacing w:val="0"/>
          <w:szCs w:val="20"/>
          <w:highlight w:val="green"/>
          <w:lang w:eastAsia="es-ES"/>
        </w:rPr>
        <w:fldChar w:fldCharType="separate"/>
      </w:r>
      <w:r w:rsidR="0019766A">
        <w:rPr>
          <w:rFonts w:ascii="Arial" w:eastAsia="Times New Roman" w:hAnsi="Arial"/>
          <w:b/>
          <w:bCs/>
          <w:noProof/>
          <w:spacing w:val="0"/>
          <w:szCs w:val="20"/>
          <w:highlight w:val="green"/>
          <w:lang w:eastAsia="es-ES"/>
        </w:rPr>
        <w:t>«BANKINTER_CLAUSULAS_REGISTRO_ALLANADO»</w:t>
      </w:r>
      <w:r w:rsidR="0019766A">
        <w:rPr>
          <w:rFonts w:ascii="Arial" w:eastAsia="Times New Roman" w:hAnsi="Arial"/>
          <w:b/>
          <w:bCs/>
          <w:spacing w:val="0"/>
          <w:szCs w:val="20"/>
          <w:highlight w:val="green"/>
          <w:lang w:eastAsia="es-ES"/>
        </w:rPr>
        <w:fldChar w:fldCharType="end"/>
      </w:r>
      <w:r w:rsidR="00F758AB" w:rsidRPr="007D401C">
        <w:rPr>
          <w:rFonts w:ascii="Arial" w:eastAsia="Times New Roman" w:hAnsi="Arial"/>
          <w:b/>
          <w:bCs/>
          <w:spacing w:val="0"/>
          <w:szCs w:val="20"/>
          <w:highlight w:val="yellow"/>
          <w:lang w:eastAsia="es-ES"/>
        </w:rPr>
        <w:t xml:space="preserve"> euros.</w:t>
      </w:r>
    </w:p>
    <w:p w14:paraId="560D2DEF" w14:textId="5D7AC520" w:rsidR="00FC3EF0" w:rsidRPr="007D401C" w:rsidRDefault="00FC3EF0" w:rsidP="00FC3EF0">
      <w:pPr>
        <w:pStyle w:val="Prrafodelista"/>
        <w:numPr>
          <w:ilvl w:val="0"/>
          <w:numId w:val="1"/>
        </w:numPr>
        <w:spacing w:line="360" w:lineRule="auto"/>
        <w:ind w:right="6"/>
        <w:jc w:val="both"/>
        <w:rPr>
          <w:rFonts w:ascii="Arial" w:eastAsia="Times New Roman" w:hAnsi="Arial"/>
          <w:spacing w:val="0"/>
          <w:szCs w:val="20"/>
          <w:highlight w:val="yellow"/>
          <w:lang w:eastAsia="es-ES"/>
        </w:rPr>
      </w:pPr>
      <w:r w:rsidRPr="007D401C">
        <w:rPr>
          <w:rFonts w:ascii="Arial" w:eastAsia="Times New Roman" w:hAnsi="Arial"/>
          <w:spacing w:val="0"/>
          <w:szCs w:val="20"/>
          <w:highlight w:val="yellow"/>
          <w:lang w:eastAsia="es-ES"/>
        </w:rPr>
        <w:t>Gestoría (100% de lo desembolsado en su día)</w:t>
      </w:r>
      <w:r w:rsidR="00F758AB" w:rsidRPr="007D401C">
        <w:rPr>
          <w:rFonts w:ascii="Arial" w:eastAsia="Times New Roman" w:hAnsi="Arial"/>
          <w:spacing w:val="0"/>
          <w:szCs w:val="20"/>
          <w:highlight w:val="yellow"/>
          <w:lang w:eastAsia="es-ES"/>
        </w:rPr>
        <w:t xml:space="preserve">: importa </w:t>
      </w:r>
      <w:r w:rsidR="0019766A">
        <w:rPr>
          <w:rFonts w:ascii="Arial" w:eastAsia="Times New Roman" w:hAnsi="Arial"/>
          <w:b/>
          <w:bCs/>
          <w:spacing w:val="0"/>
          <w:szCs w:val="20"/>
          <w:highlight w:val="green"/>
          <w:lang w:eastAsia="es-ES"/>
        </w:rPr>
        <w:fldChar w:fldCharType="begin"/>
      </w:r>
      <w:r w:rsidR="0019766A">
        <w:rPr>
          <w:rFonts w:ascii="Arial" w:eastAsia="Times New Roman" w:hAnsi="Arial"/>
          <w:b/>
          <w:bCs/>
          <w:spacing w:val="0"/>
          <w:szCs w:val="20"/>
          <w:highlight w:val="green"/>
          <w:lang w:eastAsia="es-ES"/>
        </w:rPr>
        <w:instrText>persovalores_personalizable1290</w:instrText>
      </w:r>
      <w:r w:rsidR="0019766A">
        <w:rPr>
          <w:rFonts w:ascii="Arial" w:eastAsia="Times New Roman" w:hAnsi="Arial"/>
          <w:b/>
          <w:bCs/>
          <w:spacing w:val="0"/>
          <w:szCs w:val="20"/>
          <w:highlight w:val="green"/>
          <w:lang w:eastAsia="es-ES"/>
        </w:rPr>
        <w:fldChar w:fldCharType="separate"/>
      </w:r>
      <w:r w:rsidR="0019766A">
        <w:rPr>
          <w:rFonts w:ascii="Arial" w:eastAsia="Times New Roman" w:hAnsi="Arial"/>
          <w:b/>
          <w:bCs/>
          <w:noProof/>
          <w:spacing w:val="0"/>
          <w:szCs w:val="20"/>
          <w:highlight w:val="green"/>
          <w:lang w:eastAsia="es-ES"/>
        </w:rPr>
        <w:t>«BANKINTER_CLAUSULAS_GESTORÍA_ALLANADA»</w:t>
      </w:r>
      <w:r w:rsidR="0019766A">
        <w:rPr>
          <w:rFonts w:ascii="Arial" w:eastAsia="Times New Roman" w:hAnsi="Arial"/>
          <w:b/>
          <w:bCs/>
          <w:spacing w:val="0"/>
          <w:szCs w:val="20"/>
          <w:highlight w:val="green"/>
          <w:lang w:eastAsia="es-ES"/>
        </w:rPr>
        <w:fldChar w:fldCharType="end"/>
      </w:r>
      <w:r w:rsidR="00F758AB" w:rsidRPr="007D401C">
        <w:rPr>
          <w:rFonts w:ascii="Arial" w:eastAsia="Times New Roman" w:hAnsi="Arial"/>
          <w:b/>
          <w:bCs/>
          <w:spacing w:val="0"/>
          <w:szCs w:val="20"/>
          <w:highlight w:val="yellow"/>
          <w:lang w:eastAsia="es-ES"/>
        </w:rPr>
        <w:t>euros.</w:t>
      </w:r>
    </w:p>
    <w:p w14:paraId="14FD0746" w14:textId="77777777" w:rsidR="00FC3EF0" w:rsidRPr="00F758AB" w:rsidRDefault="00FC3EF0" w:rsidP="00FC3EF0">
      <w:pPr>
        <w:suppressAutoHyphens/>
        <w:spacing w:line="360" w:lineRule="auto"/>
        <w:ind w:right="6"/>
        <w:jc w:val="both"/>
        <w:rPr>
          <w:rFonts w:ascii="Arial" w:hAnsi="Arial" w:cs="Arial"/>
          <w:bCs/>
          <w:color w:val="auto"/>
        </w:rPr>
      </w:pPr>
    </w:p>
    <w:p w14:paraId="4A0CCC64" w14:textId="77777777" w:rsidR="00FC3EF0" w:rsidRPr="001811B8" w:rsidRDefault="00FC3EF0" w:rsidP="00FC3EF0">
      <w:pPr>
        <w:spacing w:line="360" w:lineRule="auto"/>
        <w:ind w:right="6"/>
        <w:jc w:val="both"/>
        <w:rPr>
          <w:rFonts w:ascii="Arial" w:hAnsi="Arial" w:cs="Arial"/>
          <w:color w:val="auto"/>
        </w:rPr>
      </w:pPr>
      <w:r w:rsidRPr="00F758AB">
        <w:rPr>
          <w:rFonts w:ascii="Arial" w:hAnsi="Arial" w:cs="Arial"/>
          <w:color w:val="auto"/>
        </w:rPr>
        <w:t>Habida cuenta de lo anterior interesa realizar las siguientes</w:t>
      </w:r>
      <w:r w:rsidRPr="001811B8">
        <w:rPr>
          <w:rFonts w:ascii="Arial" w:hAnsi="Arial" w:cs="Arial"/>
          <w:color w:val="auto"/>
        </w:rPr>
        <w:t xml:space="preserve"> apreciaciones:</w:t>
      </w:r>
    </w:p>
    <w:p w14:paraId="6809E880" w14:textId="77777777" w:rsidR="00FC3EF0" w:rsidRPr="001811B8" w:rsidRDefault="00FC3EF0" w:rsidP="00FC3EF0">
      <w:pPr>
        <w:spacing w:line="360" w:lineRule="auto"/>
        <w:ind w:right="6"/>
        <w:jc w:val="both"/>
        <w:rPr>
          <w:rFonts w:ascii="Arial" w:hAnsi="Arial" w:cs="Arial"/>
          <w:color w:val="auto"/>
        </w:rPr>
      </w:pPr>
    </w:p>
    <w:p w14:paraId="5F295DF9" w14:textId="77777777" w:rsidR="00FC3EF0" w:rsidRPr="001811B8" w:rsidRDefault="00FC3EF0" w:rsidP="00FC3EF0">
      <w:pPr>
        <w:pStyle w:val="Sinespaciado"/>
        <w:numPr>
          <w:ilvl w:val="0"/>
          <w:numId w:val="9"/>
        </w:numPr>
        <w:tabs>
          <w:tab w:val="left" w:pos="851"/>
        </w:tabs>
        <w:spacing w:line="360" w:lineRule="auto"/>
        <w:ind w:left="0" w:firstLine="567"/>
        <w:jc w:val="both"/>
        <w:rPr>
          <w:rFonts w:ascii="Arial" w:hAnsi="Arial" w:cs="Arial"/>
          <w:sz w:val="20"/>
          <w:szCs w:val="20"/>
        </w:rPr>
      </w:pPr>
      <w:r w:rsidRPr="001811B8">
        <w:rPr>
          <w:rFonts w:ascii="Arial" w:hAnsi="Arial" w:cs="Arial"/>
          <w:sz w:val="20"/>
          <w:szCs w:val="20"/>
          <w:u w:val="single"/>
        </w:rPr>
        <w:t>En cuanto a los aranceles notariales,</w:t>
      </w:r>
      <w:r w:rsidRPr="001811B8">
        <w:rPr>
          <w:rFonts w:ascii="Arial" w:hAnsi="Arial" w:cs="Arial"/>
          <w:sz w:val="20"/>
          <w:szCs w:val="20"/>
        </w:rPr>
        <w:t xml:space="preserve"> el Real Decreto 1426/1989, de 17 de noviembre, por el que se aprueba el Arancel de los Notarios establece expresamente en la norma Sexta del Anexo II que la obligación de pago de los derechos que hubieren requerido la intervención notarial corresponde </w:t>
      </w:r>
      <w:r w:rsidRPr="001811B8">
        <w:rPr>
          <w:rFonts w:ascii="Arial" w:hAnsi="Arial" w:cs="Arial"/>
          <w:i/>
          <w:sz w:val="20"/>
          <w:szCs w:val="20"/>
        </w:rPr>
        <w:t xml:space="preserve">“a los que hubiere requerido la prestación de sus funciones o </w:t>
      </w:r>
      <w:r w:rsidRPr="001811B8">
        <w:rPr>
          <w:rFonts w:ascii="Arial" w:hAnsi="Arial" w:cs="Arial"/>
          <w:i/>
          <w:spacing w:val="4"/>
          <w:sz w:val="20"/>
          <w:szCs w:val="20"/>
          <w:lang w:eastAsia="es-ES"/>
        </w:rPr>
        <w:t>servicios y, en su caso, a los interesados según las normas sustantivas y fiscales, y si fueren varios, a todos ellos solidariamente”</w:t>
      </w:r>
    </w:p>
    <w:p w14:paraId="510713BD" w14:textId="77777777" w:rsidR="00FC3EF0" w:rsidRPr="001811B8" w:rsidRDefault="00FC3EF0" w:rsidP="00FC3EF0">
      <w:pPr>
        <w:pStyle w:val="Sinespaciado"/>
        <w:spacing w:line="360" w:lineRule="auto"/>
        <w:jc w:val="both"/>
        <w:rPr>
          <w:rFonts w:ascii="Arial" w:hAnsi="Arial" w:cs="Arial"/>
          <w:spacing w:val="-3"/>
          <w:sz w:val="20"/>
          <w:szCs w:val="20"/>
          <w:lang w:eastAsia="es-ES"/>
        </w:rPr>
      </w:pPr>
    </w:p>
    <w:p w14:paraId="178D2449" w14:textId="77777777" w:rsidR="00FC3EF0" w:rsidRPr="001811B8" w:rsidRDefault="00FC3EF0" w:rsidP="00FC3EF0">
      <w:pPr>
        <w:pStyle w:val="Sinespaciado"/>
        <w:spacing w:line="360" w:lineRule="auto"/>
        <w:jc w:val="both"/>
        <w:rPr>
          <w:rFonts w:ascii="Arial" w:hAnsi="Arial" w:cs="Arial"/>
          <w:spacing w:val="-3"/>
          <w:sz w:val="20"/>
          <w:szCs w:val="20"/>
          <w:lang w:eastAsia="es-ES"/>
        </w:rPr>
      </w:pPr>
      <w:r w:rsidRPr="001811B8">
        <w:rPr>
          <w:rFonts w:ascii="Arial" w:hAnsi="Arial" w:cs="Arial"/>
          <w:spacing w:val="-3"/>
          <w:sz w:val="20"/>
          <w:szCs w:val="20"/>
          <w:lang w:eastAsia="es-ES"/>
        </w:rPr>
        <w:t xml:space="preserve">Pues bien, el concepto de “interesado” fue desarrollado por las Sentencias del Tribunal Supremo de 23 de enero de 2020 (Sentencias </w:t>
      </w:r>
      <w:proofErr w:type="spellStart"/>
      <w:r w:rsidRPr="001811B8">
        <w:rPr>
          <w:rFonts w:ascii="Arial" w:hAnsi="Arial" w:cs="Arial"/>
          <w:spacing w:val="-3"/>
          <w:sz w:val="20"/>
          <w:szCs w:val="20"/>
          <w:lang w:eastAsia="es-ES"/>
        </w:rPr>
        <w:t>nº</w:t>
      </w:r>
      <w:proofErr w:type="spellEnd"/>
      <w:r w:rsidRPr="001811B8">
        <w:rPr>
          <w:rFonts w:ascii="Arial" w:hAnsi="Arial" w:cs="Arial"/>
          <w:spacing w:val="-3"/>
          <w:sz w:val="20"/>
          <w:szCs w:val="20"/>
          <w:lang w:eastAsia="es-ES"/>
        </w:rPr>
        <w:t xml:space="preserve"> 44 y 46 a 49), considerando que, en las </w:t>
      </w:r>
      <w:r w:rsidRPr="001811B8">
        <w:rPr>
          <w:rFonts w:ascii="Arial" w:hAnsi="Arial" w:cs="Arial"/>
          <w:sz w:val="20"/>
          <w:szCs w:val="20"/>
        </w:rPr>
        <w:t xml:space="preserve">escrituras de constitución de préstamo con garantía hipotecaria, </w:t>
      </w:r>
      <w:r w:rsidRPr="001811B8">
        <w:rPr>
          <w:rFonts w:ascii="Arial" w:hAnsi="Arial" w:cs="Arial"/>
          <w:spacing w:val="-3"/>
          <w:sz w:val="20"/>
          <w:szCs w:val="20"/>
          <w:lang w:eastAsia="es-ES"/>
        </w:rPr>
        <w:t xml:space="preserve">las dos partes intervinientes (prestatario y prestamista) </w:t>
      </w:r>
      <w:r w:rsidRPr="001811B8">
        <w:rPr>
          <w:rFonts w:ascii="Arial" w:hAnsi="Arial" w:cs="Arial"/>
          <w:sz w:val="20"/>
          <w:szCs w:val="20"/>
        </w:rPr>
        <w:t>tienen interés en la intervención notarial y, por ello, debe repartirse entre ambas los gastos que generan el otorgamiento de dicha escritura:</w:t>
      </w:r>
    </w:p>
    <w:p w14:paraId="1CB5CA35" w14:textId="77777777" w:rsidR="00FC3EF0" w:rsidRPr="001811B8" w:rsidRDefault="00FC3EF0" w:rsidP="00FC3EF0">
      <w:pPr>
        <w:pStyle w:val="Sinespaciado"/>
        <w:spacing w:line="360" w:lineRule="auto"/>
        <w:ind w:left="709" w:right="707"/>
        <w:jc w:val="both"/>
        <w:rPr>
          <w:rFonts w:ascii="Arial" w:hAnsi="Arial" w:cs="Arial"/>
          <w:i/>
          <w:spacing w:val="-3"/>
          <w:sz w:val="20"/>
          <w:szCs w:val="20"/>
          <w:lang w:eastAsia="es-ES"/>
        </w:rPr>
      </w:pPr>
    </w:p>
    <w:p w14:paraId="7870CA84" w14:textId="65FA3ADD" w:rsidR="00FC3EF0" w:rsidRPr="001811B8" w:rsidRDefault="00FC3EF0" w:rsidP="007D401C">
      <w:pPr>
        <w:pStyle w:val="Sinespaciado"/>
        <w:spacing w:line="360" w:lineRule="auto"/>
        <w:ind w:left="709" w:right="707"/>
        <w:jc w:val="both"/>
        <w:rPr>
          <w:rFonts w:ascii="Arial" w:hAnsi="Arial" w:cs="Arial"/>
          <w:i/>
          <w:sz w:val="20"/>
          <w:szCs w:val="20"/>
        </w:rPr>
      </w:pPr>
      <w:r w:rsidRPr="001811B8">
        <w:rPr>
          <w:rFonts w:ascii="Arial" w:hAnsi="Arial" w:cs="Arial"/>
          <w:i/>
          <w:sz w:val="20"/>
          <w:szCs w:val="20"/>
        </w:rPr>
        <w:t xml:space="preserve">“13.- Desde este punto de vista, la intervención notarial interesa a ambas partes, por lo que los costes de la matriz de la escritura de préstamo hipotecario deben distribuirse por mitad. El interés del prestamista reside en la obtención de un título ejecutivo (art. 517.2.4.ª de la Ley de Enjuiciamiento Civil) y de un documento que le permita la inscripción de la hipoteca en el Registro de la Propiedad para que quede válidamente constituida (art. 1875 del Código Civil en relación con el art. 3 de la Ley Hipotecaria), mientras que el interés del prestatario radica en la obtención del préstamo que, por contar con garantía hipotecaria, se concede a un tipo de interés habitualmente más bajo que el que se establece en los préstamos sin esa garantía. </w:t>
      </w:r>
    </w:p>
    <w:p w14:paraId="1A162CDB" w14:textId="77777777" w:rsidR="00FC3EF0" w:rsidRPr="001811B8" w:rsidRDefault="00FC3EF0" w:rsidP="00FC3EF0">
      <w:pPr>
        <w:pStyle w:val="Sinespaciado"/>
        <w:spacing w:line="360" w:lineRule="auto"/>
        <w:ind w:left="709" w:right="707"/>
        <w:jc w:val="both"/>
        <w:rPr>
          <w:rFonts w:ascii="Arial" w:hAnsi="Arial" w:cs="Arial"/>
          <w:i/>
          <w:sz w:val="20"/>
          <w:szCs w:val="20"/>
        </w:rPr>
      </w:pPr>
      <w:r w:rsidRPr="001811B8">
        <w:rPr>
          <w:rFonts w:ascii="Arial" w:hAnsi="Arial" w:cs="Arial"/>
          <w:i/>
          <w:sz w:val="20"/>
          <w:szCs w:val="20"/>
        </w:rPr>
        <w:t xml:space="preserve">14.- Es decir, como la normativa notarial vigente habla en general de «interesados», pero no especifica si, a estos efectos de redacción de la matriz, </w:t>
      </w:r>
      <w:r w:rsidRPr="001811B8">
        <w:rPr>
          <w:rFonts w:ascii="Arial" w:hAnsi="Arial" w:cs="Arial"/>
          <w:i/>
          <w:sz w:val="20"/>
          <w:szCs w:val="20"/>
        </w:rPr>
        <w:lastRenderedPageBreak/>
        <w:t>el interesado es el prestatario o el prestamista, y el préstamo hipotecario es una realidad inescindible, en la que están interesados tanto el consumidor (por la obtención del préstamo) como el prestamista (por la garantía hipotecaria), es razonable distribuir por mitad el pago de los gastos que genera su otorgamiento, que fue la solución adoptada por la sentencia del Juzgado de Primera Instancia.”</w:t>
      </w:r>
    </w:p>
    <w:p w14:paraId="5FC38D9F" w14:textId="77777777" w:rsidR="00FC3EF0" w:rsidRPr="001811B8" w:rsidRDefault="00FC3EF0" w:rsidP="00FC3EF0">
      <w:pPr>
        <w:pStyle w:val="Sinespaciado"/>
        <w:spacing w:line="360" w:lineRule="auto"/>
        <w:ind w:right="707"/>
        <w:jc w:val="both"/>
        <w:rPr>
          <w:rFonts w:ascii="Arial" w:hAnsi="Arial" w:cs="Arial"/>
          <w:i/>
          <w:sz w:val="20"/>
          <w:szCs w:val="20"/>
        </w:rPr>
      </w:pPr>
    </w:p>
    <w:p w14:paraId="6C1CF236" w14:textId="77777777" w:rsidR="00FC3EF0" w:rsidRPr="001811B8" w:rsidRDefault="00FC3EF0" w:rsidP="00FC3EF0">
      <w:pPr>
        <w:pStyle w:val="Sinespaciado"/>
        <w:spacing w:line="360" w:lineRule="auto"/>
        <w:ind w:right="-1"/>
        <w:jc w:val="both"/>
        <w:rPr>
          <w:rFonts w:ascii="Arial" w:hAnsi="Arial" w:cs="Arial"/>
          <w:b/>
          <w:bCs/>
          <w:sz w:val="20"/>
          <w:szCs w:val="20"/>
        </w:rPr>
      </w:pPr>
      <w:r w:rsidRPr="001811B8">
        <w:rPr>
          <w:rFonts w:ascii="Arial" w:hAnsi="Arial" w:cs="Arial"/>
          <w:sz w:val="20"/>
          <w:szCs w:val="20"/>
        </w:rPr>
        <w:t xml:space="preserve">Y todo ello ha sido ratificado recientemente por el </w:t>
      </w:r>
      <w:r w:rsidRPr="001811B8">
        <w:rPr>
          <w:rFonts w:ascii="Arial" w:hAnsi="Arial" w:cs="Arial"/>
          <w:b/>
          <w:sz w:val="20"/>
          <w:szCs w:val="20"/>
        </w:rPr>
        <w:t xml:space="preserve">Alto Tribunal en Sentencia </w:t>
      </w:r>
      <w:r w:rsidRPr="001811B8">
        <w:rPr>
          <w:rFonts w:ascii="Arial" w:hAnsi="Arial" w:cs="Arial"/>
          <w:b/>
          <w:bCs/>
          <w:sz w:val="20"/>
          <w:szCs w:val="20"/>
        </w:rPr>
        <w:t xml:space="preserve">núm. 457/2020, de 24 de julio, Rec. 1053/2018. </w:t>
      </w:r>
    </w:p>
    <w:p w14:paraId="2D84FF93" w14:textId="77777777" w:rsidR="00FC3EF0" w:rsidRPr="001811B8" w:rsidRDefault="00FC3EF0" w:rsidP="00FC3EF0">
      <w:pPr>
        <w:suppressAutoHyphens/>
        <w:spacing w:line="360" w:lineRule="auto"/>
        <w:ind w:right="6"/>
        <w:jc w:val="both"/>
        <w:rPr>
          <w:rFonts w:ascii="Arial" w:hAnsi="Arial" w:cs="Arial"/>
          <w:bCs/>
          <w:color w:val="auto"/>
        </w:rPr>
      </w:pPr>
    </w:p>
    <w:p w14:paraId="624D6AEA" w14:textId="08D1812F" w:rsidR="00FC3EF0" w:rsidRPr="001811B8" w:rsidRDefault="00FC3EF0" w:rsidP="00FC3EF0">
      <w:pPr>
        <w:suppressAutoHyphens/>
        <w:spacing w:line="360" w:lineRule="auto"/>
        <w:ind w:right="6"/>
        <w:jc w:val="both"/>
        <w:rPr>
          <w:rFonts w:ascii="Arial" w:hAnsi="Arial" w:cs="Arial"/>
          <w:b/>
          <w:bCs/>
          <w:color w:val="auto"/>
        </w:rPr>
      </w:pPr>
      <w:r w:rsidRPr="007360B4">
        <w:rPr>
          <w:rFonts w:ascii="Arial" w:hAnsi="Arial" w:cs="Arial"/>
          <w:bCs/>
          <w:color w:val="auto"/>
        </w:rPr>
        <w:t>En consecuencia,</w:t>
      </w:r>
      <w:r w:rsidRPr="007360B4">
        <w:rPr>
          <w:rFonts w:ascii="Arial" w:hAnsi="Arial" w:cs="Arial"/>
          <w:b/>
          <w:bCs/>
          <w:color w:val="auto"/>
        </w:rPr>
        <w:t xml:space="preserve"> </w:t>
      </w:r>
      <w:r w:rsidRPr="007360B4">
        <w:rPr>
          <w:rFonts w:ascii="Arial" w:hAnsi="Arial" w:cs="Arial"/>
          <w:bCs/>
          <w:color w:val="auto"/>
        </w:rPr>
        <w:t>es por lo que</w:t>
      </w:r>
      <w:r w:rsidRPr="007360B4">
        <w:rPr>
          <w:rFonts w:ascii="Arial" w:hAnsi="Arial" w:cs="Arial"/>
          <w:b/>
          <w:bCs/>
          <w:color w:val="auto"/>
        </w:rPr>
        <w:t xml:space="preserve"> </w:t>
      </w:r>
      <w:r w:rsidRPr="007360B4">
        <w:rPr>
          <w:rFonts w:ascii="Arial" w:hAnsi="Arial" w:cs="Arial"/>
          <w:b/>
          <w:bCs/>
          <w:color w:val="auto"/>
          <w:u w:val="single"/>
        </w:rPr>
        <w:t>esta parte demandada se allana únicamente</w:t>
      </w:r>
      <w:r w:rsidR="007360B4" w:rsidRPr="007360B4">
        <w:rPr>
          <w:rFonts w:ascii="Arial" w:hAnsi="Arial" w:cs="Arial"/>
          <w:b/>
          <w:bCs/>
          <w:color w:val="auto"/>
          <w:u w:val="single"/>
        </w:rPr>
        <w:t xml:space="preserve"> a la declaración de nulidad de la cláusula de gastos</w:t>
      </w:r>
      <w:r w:rsidR="004F1869">
        <w:rPr>
          <w:rFonts w:ascii="Arial" w:hAnsi="Arial" w:cs="Arial"/>
          <w:b/>
          <w:bCs/>
          <w:color w:val="auto"/>
          <w:u w:val="single"/>
        </w:rPr>
        <w:t xml:space="preserve"> y de interés de demora</w:t>
      </w:r>
      <w:r w:rsidR="007360B4">
        <w:rPr>
          <w:rFonts w:ascii="Arial" w:hAnsi="Arial" w:cs="Arial"/>
          <w:b/>
          <w:bCs/>
          <w:color w:val="auto"/>
        </w:rPr>
        <w:t>,</w:t>
      </w:r>
      <w:r w:rsidR="007360B4" w:rsidRPr="007360B4">
        <w:rPr>
          <w:rFonts w:ascii="Arial" w:hAnsi="Arial" w:cs="Arial"/>
          <w:b/>
          <w:bCs/>
          <w:color w:val="auto"/>
        </w:rPr>
        <w:t xml:space="preserve"> </w:t>
      </w:r>
      <w:r w:rsidRPr="007360B4">
        <w:rPr>
          <w:rFonts w:ascii="Arial" w:hAnsi="Arial" w:cs="Arial"/>
          <w:b/>
          <w:bCs/>
          <w:color w:val="auto"/>
          <w:u w:val="single"/>
        </w:rPr>
        <w:t>así como a los intereses legales devengados. No se allana esta representación a la nulidad de la comisión de apertura.</w:t>
      </w:r>
      <w:r w:rsidRPr="001811B8">
        <w:rPr>
          <w:rFonts w:ascii="Arial" w:hAnsi="Arial" w:cs="Arial"/>
          <w:b/>
          <w:bCs/>
          <w:color w:val="auto"/>
          <w:u w:val="single"/>
        </w:rPr>
        <w:t xml:space="preserve"> </w:t>
      </w:r>
    </w:p>
    <w:p w14:paraId="15FB6BAF" w14:textId="77777777" w:rsidR="00FC3EF0" w:rsidRDefault="00FC3EF0" w:rsidP="00173E72">
      <w:pPr>
        <w:spacing w:before="240" w:after="240" w:line="360" w:lineRule="auto"/>
        <w:jc w:val="center"/>
        <w:rPr>
          <w:rFonts w:ascii="Arial" w:hAnsi="Arial" w:cs="Arial"/>
          <w:b/>
          <w:bCs/>
          <w:color w:val="auto"/>
        </w:rPr>
      </w:pPr>
    </w:p>
    <w:p w14:paraId="14CCE04E" w14:textId="1CB8ED4E" w:rsidR="00173E72" w:rsidRPr="00173E72" w:rsidRDefault="00FC3EF0" w:rsidP="00173E72">
      <w:pPr>
        <w:spacing w:before="240" w:after="240" w:line="360" w:lineRule="auto"/>
        <w:jc w:val="center"/>
        <w:rPr>
          <w:rFonts w:ascii="Arial" w:hAnsi="Arial" w:cs="Arial"/>
          <w:b/>
        </w:rPr>
      </w:pPr>
      <w:r>
        <w:rPr>
          <w:rFonts w:ascii="Arial" w:hAnsi="Arial" w:cs="Arial"/>
          <w:b/>
        </w:rPr>
        <w:t>B</w:t>
      </w:r>
    </w:p>
    <w:p w14:paraId="6A5274E1" w14:textId="77777777" w:rsidR="007360B4" w:rsidRPr="002B08B6" w:rsidRDefault="007360B4" w:rsidP="007360B4">
      <w:pPr>
        <w:spacing w:line="360" w:lineRule="auto"/>
        <w:ind w:right="140"/>
        <w:jc w:val="both"/>
        <w:rPr>
          <w:rFonts w:ascii="Arial" w:hAnsi="Arial" w:cs="Arial"/>
          <w:b/>
          <w:lang w:val="es-ES_tradnl"/>
        </w:rPr>
      </w:pPr>
      <w:r w:rsidRPr="007360B4">
        <w:rPr>
          <w:rFonts w:ascii="Arial" w:hAnsi="Arial" w:cs="Arial"/>
          <w:b/>
          <w:u w:val="single"/>
          <w:lang w:val="es-ES_tradnl"/>
        </w:rPr>
        <w:t>Improcedente declaración de nulidad de la cláusula que establece una comisión de apertura. De la Sentencia del Tribunal de Justicia de la Unión Europea de 16 de marzo de 2023, asunto C</w:t>
      </w:r>
      <w:r w:rsidRPr="007360B4">
        <w:rPr>
          <w:rFonts w:ascii="Cambria Math" w:hAnsi="Cambria Math" w:cs="Cambria Math"/>
          <w:b/>
          <w:u w:val="single"/>
          <w:lang w:val="es-ES_tradnl"/>
        </w:rPr>
        <w:t>‑</w:t>
      </w:r>
      <w:r w:rsidRPr="007360B4">
        <w:rPr>
          <w:rFonts w:ascii="Arial" w:hAnsi="Arial" w:cs="Arial"/>
          <w:b/>
          <w:u w:val="single"/>
          <w:lang w:val="es-ES_tradnl"/>
        </w:rPr>
        <w:t>565/21 y de la Sentencia núm. 816/2023, del Tribunal Supremo, Sala de lo Civil, de 29 de mayo</w:t>
      </w:r>
      <w:r>
        <w:rPr>
          <w:rFonts w:ascii="Arial" w:hAnsi="Arial" w:cs="Arial"/>
          <w:b/>
          <w:lang w:val="es-ES_tradnl"/>
        </w:rPr>
        <w:t>.</w:t>
      </w:r>
    </w:p>
    <w:p w14:paraId="785AD68B" w14:textId="77777777" w:rsidR="007360B4" w:rsidRPr="002B08B6" w:rsidRDefault="007360B4" w:rsidP="007360B4">
      <w:pPr>
        <w:spacing w:line="360" w:lineRule="auto"/>
        <w:ind w:left="-567" w:right="140"/>
        <w:jc w:val="both"/>
        <w:rPr>
          <w:rFonts w:ascii="Arial" w:hAnsi="Arial" w:cs="Arial"/>
          <w:b/>
          <w:u w:val="thick"/>
          <w:lang w:val="es-ES_tradnl"/>
        </w:rPr>
      </w:pPr>
    </w:p>
    <w:p w14:paraId="4FE58789" w14:textId="6E407D17" w:rsidR="007360B4" w:rsidRPr="002B08B6" w:rsidRDefault="007360B4" w:rsidP="007360B4">
      <w:pPr>
        <w:autoSpaceDE w:val="0"/>
        <w:autoSpaceDN w:val="0"/>
        <w:adjustRightInd w:val="0"/>
        <w:spacing w:line="360" w:lineRule="auto"/>
        <w:ind w:left="-567"/>
        <w:jc w:val="both"/>
        <w:rPr>
          <w:rFonts w:ascii="Arial" w:hAnsi="Arial" w:cs="Arial"/>
          <w:lang w:val="es-ES_tradnl"/>
        </w:rPr>
      </w:pPr>
      <w:r w:rsidRPr="002B08B6">
        <w:rPr>
          <w:rFonts w:ascii="Arial" w:hAnsi="Arial" w:cs="Arial"/>
        </w:rPr>
        <w:t xml:space="preserve">Esta parte se opone a la interpretación jurisprudencial recogida en </w:t>
      </w:r>
      <w:r w:rsidRPr="007360B4">
        <w:rPr>
          <w:rFonts w:ascii="Arial" w:hAnsi="Arial" w:cs="Arial"/>
        </w:rPr>
        <w:t>la demanda y</w:t>
      </w:r>
      <w:r w:rsidRPr="002B08B6">
        <w:rPr>
          <w:rFonts w:ascii="Arial" w:hAnsi="Arial" w:cs="Arial"/>
        </w:rPr>
        <w:t xml:space="preserve"> todo ello habida cuenta de la reciente </w:t>
      </w:r>
      <w:r w:rsidRPr="002B08B6">
        <w:rPr>
          <w:rFonts w:ascii="Arial" w:hAnsi="Arial" w:cs="Arial"/>
          <w:b/>
        </w:rPr>
        <w:t xml:space="preserve">Sentencia núm. 816/2023 del Tribunal Supremo, </w:t>
      </w:r>
      <w:r w:rsidRPr="002B08B6">
        <w:rPr>
          <w:rFonts w:ascii="Arial" w:hAnsi="Arial" w:cs="Arial"/>
          <w:b/>
          <w:lang w:val="es-ES_tradnl"/>
        </w:rPr>
        <w:t>Sala de lo Civil, de 29 de mayo,</w:t>
      </w:r>
      <w:r w:rsidRPr="002B08B6">
        <w:rPr>
          <w:rFonts w:ascii="Arial" w:hAnsi="Arial" w:cs="Arial"/>
          <w:lang w:val="es-ES_tradnl"/>
        </w:rPr>
        <w:t xml:space="preserve"> dictada en aplicación de la también reciente</w:t>
      </w:r>
      <w:r w:rsidRPr="002B08B6">
        <w:rPr>
          <w:rFonts w:ascii="Arial" w:hAnsi="Arial" w:cs="Arial"/>
          <w:b/>
          <w:lang w:val="es-ES_tradnl"/>
        </w:rPr>
        <w:t xml:space="preserve"> Sentencia del Tribunal de Justicia de la Unión Europea de 16 de marzo de 2023, asunto C</w:t>
      </w:r>
      <w:r w:rsidRPr="002B08B6">
        <w:rPr>
          <w:rFonts w:ascii="Cambria Math" w:hAnsi="Cambria Math" w:cs="Cambria Math"/>
          <w:b/>
          <w:lang w:val="es-ES_tradnl"/>
        </w:rPr>
        <w:t>‑</w:t>
      </w:r>
      <w:r w:rsidRPr="002B08B6">
        <w:rPr>
          <w:rFonts w:ascii="Arial" w:hAnsi="Arial" w:cs="Arial"/>
          <w:b/>
          <w:lang w:val="es-ES_tradnl"/>
        </w:rPr>
        <w:t>565/21</w:t>
      </w:r>
      <w:r w:rsidRPr="002B08B6">
        <w:rPr>
          <w:rFonts w:ascii="Arial" w:hAnsi="Arial" w:cs="Arial"/>
          <w:lang w:val="es-ES_tradnl"/>
        </w:rPr>
        <w:t>.</w:t>
      </w:r>
    </w:p>
    <w:p w14:paraId="338D621F" w14:textId="77777777" w:rsidR="007360B4" w:rsidRPr="002B08B6" w:rsidRDefault="007360B4" w:rsidP="007360B4">
      <w:pPr>
        <w:spacing w:line="360" w:lineRule="auto"/>
        <w:ind w:left="-567" w:right="140"/>
        <w:jc w:val="both"/>
        <w:rPr>
          <w:rFonts w:ascii="Arial" w:hAnsi="Arial" w:cs="Arial"/>
          <w:b/>
          <w:u w:val="thick"/>
          <w:lang w:val="es-ES_tradnl"/>
        </w:rPr>
      </w:pPr>
    </w:p>
    <w:p w14:paraId="51FA0073" w14:textId="77777777" w:rsidR="007360B4" w:rsidRPr="002B08B6" w:rsidRDefault="007360B4" w:rsidP="007360B4">
      <w:pPr>
        <w:widowControl/>
        <w:numPr>
          <w:ilvl w:val="0"/>
          <w:numId w:val="24"/>
        </w:numPr>
        <w:spacing w:line="360" w:lineRule="auto"/>
        <w:ind w:right="140"/>
        <w:jc w:val="both"/>
        <w:rPr>
          <w:rFonts w:ascii="Arial" w:hAnsi="Arial" w:cs="Arial"/>
          <w:b/>
          <w:lang w:val="es-ES_tradnl"/>
        </w:rPr>
      </w:pPr>
      <w:r w:rsidRPr="002B08B6">
        <w:rPr>
          <w:rFonts w:ascii="Arial" w:hAnsi="Arial" w:cs="Arial"/>
          <w:b/>
          <w:lang w:val="es-ES_tradnl"/>
        </w:rPr>
        <w:t>La comisión de apertura no forma parte del precio. Control de transparencia y control de contenido (</w:t>
      </w:r>
      <w:proofErr w:type="spellStart"/>
      <w:r w:rsidRPr="002B08B6">
        <w:rPr>
          <w:rFonts w:ascii="Arial" w:hAnsi="Arial" w:cs="Arial"/>
          <w:b/>
          <w:lang w:val="es-ES_tradnl"/>
        </w:rPr>
        <w:t>abusividad</w:t>
      </w:r>
      <w:proofErr w:type="spellEnd"/>
      <w:r w:rsidRPr="002B08B6">
        <w:rPr>
          <w:rFonts w:ascii="Arial" w:hAnsi="Arial" w:cs="Arial"/>
          <w:b/>
          <w:lang w:val="es-ES_tradnl"/>
        </w:rPr>
        <w:t>).</w:t>
      </w:r>
    </w:p>
    <w:p w14:paraId="7EF016A9" w14:textId="77777777" w:rsidR="007360B4" w:rsidRPr="002B08B6" w:rsidRDefault="007360B4" w:rsidP="007360B4">
      <w:pPr>
        <w:spacing w:line="360" w:lineRule="auto"/>
        <w:ind w:left="-567" w:right="140"/>
        <w:jc w:val="both"/>
        <w:rPr>
          <w:rFonts w:ascii="Arial" w:hAnsi="Arial" w:cs="Arial"/>
          <w:lang w:val="es-ES_tradnl"/>
        </w:rPr>
      </w:pPr>
    </w:p>
    <w:p w14:paraId="5BA25E42" w14:textId="77777777" w:rsidR="007360B4" w:rsidRPr="002B08B6" w:rsidRDefault="007360B4" w:rsidP="007360B4">
      <w:pPr>
        <w:spacing w:line="360" w:lineRule="auto"/>
        <w:ind w:left="-567" w:right="140"/>
        <w:jc w:val="both"/>
        <w:rPr>
          <w:rFonts w:ascii="Arial" w:hAnsi="Arial" w:cs="Arial"/>
          <w:lang w:val="es-ES_tradnl"/>
        </w:rPr>
      </w:pPr>
      <w:r w:rsidRPr="002B08B6">
        <w:rPr>
          <w:rFonts w:ascii="Arial" w:hAnsi="Arial" w:cs="Arial"/>
          <w:lang w:val="es-ES_tradnl"/>
        </w:rPr>
        <w:t xml:space="preserve">Como primer hecho novedoso de esta jurisprudencia, procede destacar que la STJUE de 16 de </w:t>
      </w:r>
      <w:r>
        <w:rPr>
          <w:rFonts w:ascii="Arial" w:hAnsi="Arial" w:cs="Arial"/>
          <w:lang w:val="es-ES_tradnl"/>
        </w:rPr>
        <w:t>marzo de 2023 (</w:t>
      </w:r>
      <w:r w:rsidRPr="002B08B6">
        <w:rPr>
          <w:rFonts w:ascii="Arial" w:hAnsi="Arial" w:cs="Arial"/>
          <w:lang w:val="es-ES_tradnl"/>
        </w:rPr>
        <w:t>asunto C-565/21</w:t>
      </w:r>
      <w:r>
        <w:rPr>
          <w:rFonts w:ascii="Arial" w:hAnsi="Arial" w:cs="Arial"/>
          <w:lang w:val="es-ES_tradnl"/>
        </w:rPr>
        <w:t>)</w:t>
      </w:r>
      <w:r w:rsidRPr="002B08B6">
        <w:rPr>
          <w:rFonts w:ascii="Arial" w:hAnsi="Arial" w:cs="Arial"/>
          <w:lang w:val="es-ES_tradnl"/>
        </w:rPr>
        <w:t xml:space="preserve"> descarta que la comisión de apertura forme parte del precio:</w:t>
      </w:r>
    </w:p>
    <w:p w14:paraId="7F06F665" w14:textId="77777777" w:rsidR="007360B4" w:rsidRPr="002B08B6" w:rsidRDefault="007360B4" w:rsidP="007360B4">
      <w:pPr>
        <w:pStyle w:val="Sinespaciado"/>
        <w:spacing w:line="360" w:lineRule="auto"/>
        <w:ind w:left="-567"/>
        <w:jc w:val="center"/>
        <w:rPr>
          <w:rFonts w:ascii="Arial" w:hAnsi="Arial"/>
          <w:szCs w:val="20"/>
          <w:lang w:eastAsia="es-ES"/>
        </w:rPr>
      </w:pPr>
    </w:p>
    <w:p w14:paraId="49277A86" w14:textId="77777777" w:rsidR="007360B4" w:rsidRPr="002B08B6" w:rsidRDefault="007360B4" w:rsidP="007360B4">
      <w:pPr>
        <w:pStyle w:val="Sinespaciado"/>
        <w:spacing w:line="360" w:lineRule="auto"/>
        <w:jc w:val="both"/>
        <w:rPr>
          <w:rFonts w:ascii="Arial" w:hAnsi="Arial"/>
          <w:i/>
          <w:szCs w:val="20"/>
          <w:lang w:eastAsia="es-ES"/>
        </w:rPr>
      </w:pPr>
      <w:bookmarkStart w:id="0" w:name="point24"/>
      <w:r w:rsidRPr="007360B4">
        <w:rPr>
          <w:rFonts w:ascii="Arial" w:hAnsi="Arial"/>
          <w:i/>
          <w:sz w:val="20"/>
          <w:szCs w:val="20"/>
          <w:lang w:eastAsia="es-ES"/>
        </w:rPr>
        <w:t>24</w:t>
      </w:r>
      <w:bookmarkEnd w:id="0"/>
      <w:r w:rsidRPr="007360B4">
        <w:rPr>
          <w:rFonts w:ascii="Arial" w:hAnsi="Arial"/>
          <w:i/>
          <w:sz w:val="20"/>
          <w:szCs w:val="20"/>
          <w:lang w:eastAsia="es-ES"/>
        </w:rPr>
        <w:t xml:space="preserve">      Habida cuenta de los motivos anteriores, procede responder a la primera cuestión prejudicial que el artículo 4, apartado 2, de la Directiva 93/13 debe interpretarse en el sentido de que </w:t>
      </w:r>
      <w:r w:rsidRPr="007360B4">
        <w:rPr>
          <w:rFonts w:ascii="Arial" w:hAnsi="Arial"/>
          <w:b/>
          <w:i/>
          <w:sz w:val="20"/>
          <w:szCs w:val="20"/>
          <w:lang w:eastAsia="es-ES"/>
        </w:rPr>
        <w:t>se opone a una jurisprudencia nacional que</w:t>
      </w:r>
      <w:r w:rsidRPr="007360B4">
        <w:rPr>
          <w:rFonts w:ascii="Arial" w:hAnsi="Arial"/>
          <w:i/>
          <w:sz w:val="20"/>
          <w:szCs w:val="20"/>
          <w:lang w:eastAsia="es-ES"/>
        </w:rPr>
        <w:t xml:space="preserve">, a la vista de la normativa nacional que preceptúa que la comisión de apertura retribuye los servicios relacionados con el estudio, la concesión o la tramitación del préstamo o crédito hipotecario u otros servicios similares, </w:t>
      </w:r>
      <w:r w:rsidRPr="007360B4">
        <w:rPr>
          <w:rFonts w:ascii="Arial" w:hAnsi="Arial"/>
          <w:b/>
          <w:i/>
          <w:sz w:val="20"/>
          <w:szCs w:val="20"/>
          <w:lang w:eastAsia="es-ES"/>
        </w:rPr>
        <w:t xml:space="preserve">considera que la cláusula que establece esa comisión forma parte del «objeto principal </w:t>
      </w:r>
      <w:r w:rsidRPr="007360B4">
        <w:rPr>
          <w:rFonts w:ascii="Arial" w:hAnsi="Arial"/>
          <w:b/>
          <w:i/>
          <w:sz w:val="20"/>
          <w:szCs w:val="20"/>
          <w:lang w:eastAsia="es-ES"/>
        </w:rPr>
        <w:lastRenderedPageBreak/>
        <w:t>del contrato»</w:t>
      </w:r>
      <w:r w:rsidRPr="007360B4">
        <w:rPr>
          <w:rFonts w:ascii="Arial" w:hAnsi="Arial"/>
          <w:i/>
          <w:sz w:val="20"/>
          <w:szCs w:val="20"/>
          <w:lang w:eastAsia="es-ES"/>
        </w:rPr>
        <w:t xml:space="preserve"> a efectos de dicha disposición, por entender que tal comisión constituye una de las partidas principales del precio.</w:t>
      </w:r>
    </w:p>
    <w:p w14:paraId="0A944E02" w14:textId="77777777" w:rsidR="007360B4" w:rsidRPr="002B08B6" w:rsidRDefault="007360B4" w:rsidP="007360B4">
      <w:pPr>
        <w:pStyle w:val="Sinespaciado"/>
        <w:spacing w:line="360" w:lineRule="auto"/>
        <w:rPr>
          <w:rFonts w:ascii="Arial" w:hAnsi="Arial"/>
          <w:i/>
          <w:szCs w:val="20"/>
          <w:lang w:eastAsia="es-ES"/>
        </w:rPr>
      </w:pPr>
    </w:p>
    <w:p w14:paraId="768168B5" w14:textId="77777777" w:rsidR="007360B4" w:rsidRPr="002B08B6" w:rsidRDefault="007360B4" w:rsidP="007360B4">
      <w:pPr>
        <w:autoSpaceDE w:val="0"/>
        <w:autoSpaceDN w:val="0"/>
        <w:adjustRightInd w:val="0"/>
        <w:spacing w:line="360" w:lineRule="auto"/>
        <w:ind w:left="-567"/>
        <w:jc w:val="both"/>
        <w:rPr>
          <w:rFonts w:ascii="Arial" w:hAnsi="Arial" w:cs="Arial"/>
        </w:rPr>
      </w:pPr>
      <w:r w:rsidRPr="002B08B6">
        <w:rPr>
          <w:rFonts w:ascii="Arial" w:hAnsi="Arial" w:cs="Arial"/>
        </w:rPr>
        <w:t xml:space="preserve">Por consiguiente, la cláusula debe ser sometida a un examen individualizado de transparencia y </w:t>
      </w:r>
      <w:proofErr w:type="spellStart"/>
      <w:r w:rsidRPr="002B08B6">
        <w:rPr>
          <w:rFonts w:ascii="Arial" w:hAnsi="Arial" w:cs="Arial"/>
        </w:rPr>
        <w:t>abusividad</w:t>
      </w:r>
      <w:proofErr w:type="spellEnd"/>
      <w:r w:rsidRPr="002B08B6">
        <w:rPr>
          <w:rFonts w:ascii="Arial" w:hAnsi="Arial" w:cs="Arial"/>
        </w:rPr>
        <w:t>.</w:t>
      </w:r>
    </w:p>
    <w:p w14:paraId="5D9ADA9E" w14:textId="77777777" w:rsidR="007360B4" w:rsidRPr="002B08B6" w:rsidRDefault="007360B4" w:rsidP="007360B4">
      <w:pPr>
        <w:autoSpaceDE w:val="0"/>
        <w:autoSpaceDN w:val="0"/>
        <w:adjustRightInd w:val="0"/>
        <w:spacing w:line="360" w:lineRule="auto"/>
        <w:ind w:left="-567"/>
        <w:jc w:val="both"/>
        <w:rPr>
          <w:rFonts w:ascii="Arial" w:hAnsi="Arial" w:cs="Arial"/>
        </w:rPr>
      </w:pPr>
    </w:p>
    <w:p w14:paraId="18C1CAC6" w14:textId="77777777" w:rsidR="007360B4" w:rsidRPr="002B08B6" w:rsidRDefault="007360B4" w:rsidP="007360B4">
      <w:pPr>
        <w:widowControl/>
        <w:numPr>
          <w:ilvl w:val="0"/>
          <w:numId w:val="24"/>
        </w:numPr>
        <w:spacing w:line="360" w:lineRule="auto"/>
        <w:ind w:right="140"/>
        <w:jc w:val="both"/>
        <w:rPr>
          <w:rFonts w:ascii="Arial" w:hAnsi="Arial" w:cs="Arial"/>
          <w:b/>
          <w:lang w:val="es-ES_tradnl"/>
        </w:rPr>
      </w:pPr>
      <w:r w:rsidRPr="002B08B6">
        <w:rPr>
          <w:rFonts w:ascii="Arial" w:hAnsi="Arial" w:cs="Arial"/>
          <w:b/>
          <w:lang w:val="es-ES_tradnl"/>
        </w:rPr>
        <w:t xml:space="preserve">La cláusula de comisión de apertura </w:t>
      </w:r>
      <w:r w:rsidRPr="007360B4">
        <w:rPr>
          <w:rFonts w:ascii="Arial" w:hAnsi="Arial" w:cs="Arial"/>
          <w:b/>
          <w:lang w:val="es-ES_tradnl"/>
        </w:rPr>
        <w:t>recogida en el préstamo hipotecario objeto de controversia supera el control de transparencia.</w:t>
      </w:r>
    </w:p>
    <w:p w14:paraId="5D8CCC91" w14:textId="77777777" w:rsidR="007360B4" w:rsidRPr="002B08B6" w:rsidRDefault="007360B4" w:rsidP="007360B4">
      <w:pPr>
        <w:autoSpaceDE w:val="0"/>
        <w:autoSpaceDN w:val="0"/>
        <w:adjustRightInd w:val="0"/>
        <w:spacing w:line="360" w:lineRule="auto"/>
        <w:ind w:left="-567"/>
        <w:jc w:val="both"/>
        <w:rPr>
          <w:rFonts w:ascii="Arial" w:hAnsi="Arial" w:cs="Arial"/>
          <w:lang w:val="es-ES_tradnl"/>
        </w:rPr>
      </w:pPr>
    </w:p>
    <w:p w14:paraId="7D90D12E" w14:textId="3D3D4BB6" w:rsidR="007360B4" w:rsidRPr="00410B48" w:rsidRDefault="007360B4" w:rsidP="007360B4">
      <w:pPr>
        <w:spacing w:line="360" w:lineRule="auto"/>
        <w:ind w:left="-567" w:right="140"/>
        <w:jc w:val="both"/>
        <w:rPr>
          <w:rFonts w:ascii="Arial" w:hAnsi="Arial" w:cs="Arial"/>
        </w:rPr>
      </w:pPr>
      <w:r w:rsidRPr="00D116E7">
        <w:rPr>
          <w:rFonts w:ascii="Arial" w:hAnsi="Arial" w:cs="Arial"/>
          <w:lang w:val="es-ES_tradnl"/>
        </w:rPr>
        <w:t>Analizada la cláusula controvertida, no cabe duda de que la misma supera el control de transparencia formal y material, teniendo en cuenta los elementos que destaca la STJUE de 16 de marzo de 2023 (asunto C-565/21) y que la Sentencia núm. 816/2023 del Tribunal Supremo, Sala de lo Civil, de 29 de mayo resu</w:t>
      </w:r>
      <w:r>
        <w:rPr>
          <w:rFonts w:ascii="Arial" w:hAnsi="Arial" w:cs="Arial"/>
          <w:lang w:val="es-ES_tradnl"/>
        </w:rPr>
        <w:t xml:space="preserve">me, así como por cuanto </w:t>
      </w:r>
      <w:r>
        <w:rPr>
          <w:rFonts w:ascii="Arial" w:hAnsi="Arial" w:cs="Arial"/>
        </w:rPr>
        <w:t>s</w:t>
      </w:r>
      <w:r w:rsidRPr="00410B48">
        <w:rPr>
          <w:rFonts w:ascii="Arial" w:hAnsi="Arial" w:cs="Arial"/>
        </w:rPr>
        <w:t xml:space="preserve">e cumplen los requisitos de </w:t>
      </w:r>
      <w:r w:rsidRPr="007360B4">
        <w:rPr>
          <w:rFonts w:ascii="Arial" w:hAnsi="Arial" w:cs="Arial"/>
        </w:rPr>
        <w:t>transparencia que exigía la normativa bancaria vigente a la fecha del contrato (</w:t>
      </w:r>
      <w:r w:rsidRPr="007360B4">
        <w:rPr>
          <w:rFonts w:ascii="Arial" w:hAnsi="Arial" w:cs="Arial"/>
          <w:b/>
        </w:rPr>
        <w:t>Orden de 5 de mayo de 1994 sobre transparencia de las condiciones financieras de los préstamos hipotecarios (apartado 4 de su Anexo II)</w:t>
      </w:r>
      <w:r w:rsidRPr="007360B4">
        <w:rPr>
          <w:rFonts w:ascii="Arial" w:hAnsi="Arial" w:cs="Arial"/>
        </w:rPr>
        <w:t>.</w:t>
      </w:r>
    </w:p>
    <w:p w14:paraId="37B5D13D" w14:textId="77777777" w:rsidR="007360B4" w:rsidRDefault="007360B4" w:rsidP="007360B4">
      <w:pPr>
        <w:spacing w:line="360" w:lineRule="auto"/>
        <w:ind w:left="-567" w:right="140"/>
        <w:jc w:val="both"/>
        <w:rPr>
          <w:rFonts w:ascii="Arial" w:hAnsi="Arial" w:cs="Arial"/>
          <w:lang w:val="es-ES_tradnl"/>
        </w:rPr>
      </w:pPr>
    </w:p>
    <w:p w14:paraId="5528F0FE" w14:textId="77777777" w:rsidR="007360B4" w:rsidRPr="00D116E7" w:rsidRDefault="007360B4" w:rsidP="007360B4">
      <w:pPr>
        <w:spacing w:line="360" w:lineRule="auto"/>
        <w:ind w:left="-567" w:right="140"/>
        <w:jc w:val="both"/>
        <w:rPr>
          <w:rFonts w:ascii="Arial" w:hAnsi="Arial" w:cs="Arial"/>
        </w:rPr>
      </w:pPr>
      <w:r w:rsidRPr="00D116E7">
        <w:rPr>
          <w:rFonts w:ascii="Arial" w:hAnsi="Arial" w:cs="Arial"/>
        </w:rPr>
        <w:t>Conforme la STJUE</w:t>
      </w:r>
      <w:r w:rsidRPr="00D116E7">
        <w:rPr>
          <w:rFonts w:ascii="Arial" w:hAnsi="Arial" w:cs="Arial"/>
          <w:lang w:val="es-ES_tradnl"/>
        </w:rPr>
        <w:t xml:space="preserve"> de 16 de marzo de 2023 (asunto C-565/21)</w:t>
      </w:r>
      <w:r w:rsidRPr="00D116E7">
        <w:rPr>
          <w:rFonts w:ascii="Arial" w:hAnsi="Arial" w:cs="Arial"/>
        </w:rPr>
        <w:t>, la comisión de apertura es clara y comprensible si:</w:t>
      </w:r>
    </w:p>
    <w:p w14:paraId="1EB22654" w14:textId="77777777" w:rsidR="007360B4" w:rsidRPr="002B08B6" w:rsidRDefault="007360B4" w:rsidP="007360B4">
      <w:pPr>
        <w:spacing w:line="360" w:lineRule="auto"/>
        <w:ind w:left="-567" w:right="140"/>
        <w:jc w:val="both"/>
        <w:rPr>
          <w:rFonts w:ascii="Arial" w:hAnsi="Arial" w:cs="Arial"/>
          <w:lang w:val="es-ES_tradnl"/>
        </w:rPr>
      </w:pPr>
    </w:p>
    <w:p w14:paraId="33752721" w14:textId="77777777" w:rsidR="007360B4" w:rsidRPr="000A5A02" w:rsidRDefault="007360B4" w:rsidP="007360B4">
      <w:pPr>
        <w:widowControl/>
        <w:numPr>
          <w:ilvl w:val="0"/>
          <w:numId w:val="25"/>
        </w:numPr>
        <w:autoSpaceDE w:val="0"/>
        <w:autoSpaceDN w:val="0"/>
        <w:adjustRightInd w:val="0"/>
        <w:spacing w:line="360" w:lineRule="auto"/>
        <w:jc w:val="both"/>
        <w:rPr>
          <w:rFonts w:ascii="Arial" w:hAnsi="Arial" w:cs="Arial"/>
        </w:rPr>
      </w:pPr>
      <w:r w:rsidRPr="002B08B6">
        <w:rPr>
          <w:rFonts w:ascii="Arial" w:hAnsi="Arial" w:cs="Arial"/>
        </w:rPr>
        <w:t>Permite evaluar las consecuencias económicas que se derivan para el consumidor, pudiendo entender la naturaleza de los servicios proporcionados como contrapartida.</w:t>
      </w:r>
    </w:p>
    <w:p w14:paraId="306AE2D3" w14:textId="77777777" w:rsidR="007360B4" w:rsidRPr="002B08B6" w:rsidRDefault="007360B4" w:rsidP="007360B4">
      <w:pPr>
        <w:autoSpaceDE w:val="0"/>
        <w:autoSpaceDN w:val="0"/>
        <w:adjustRightInd w:val="0"/>
        <w:spacing w:line="360" w:lineRule="auto"/>
        <w:ind w:left="513"/>
        <w:jc w:val="both"/>
        <w:rPr>
          <w:rFonts w:ascii="Arial" w:hAnsi="Arial" w:cs="Arial"/>
        </w:rPr>
      </w:pPr>
    </w:p>
    <w:p w14:paraId="0F8C7739" w14:textId="77777777" w:rsidR="007360B4" w:rsidRPr="002B08B6" w:rsidRDefault="007360B4" w:rsidP="007360B4">
      <w:pPr>
        <w:widowControl/>
        <w:numPr>
          <w:ilvl w:val="0"/>
          <w:numId w:val="25"/>
        </w:numPr>
        <w:autoSpaceDE w:val="0"/>
        <w:autoSpaceDN w:val="0"/>
        <w:adjustRightInd w:val="0"/>
        <w:spacing w:line="360" w:lineRule="auto"/>
        <w:jc w:val="both"/>
        <w:rPr>
          <w:rFonts w:ascii="Arial" w:hAnsi="Arial" w:cs="Arial"/>
        </w:rPr>
      </w:pPr>
      <w:r w:rsidRPr="002B08B6">
        <w:rPr>
          <w:rFonts w:ascii="Arial" w:hAnsi="Arial" w:cs="Arial"/>
        </w:rPr>
        <w:t>No hay solapamiento entre los distintos gastos previstos en el contrato o entre los servicios que estos retribuyen.</w:t>
      </w:r>
    </w:p>
    <w:p w14:paraId="1AC66C86" w14:textId="77777777" w:rsidR="007360B4" w:rsidRPr="002B08B6" w:rsidRDefault="007360B4" w:rsidP="007360B4">
      <w:pPr>
        <w:autoSpaceDE w:val="0"/>
        <w:autoSpaceDN w:val="0"/>
        <w:adjustRightInd w:val="0"/>
        <w:spacing w:line="360" w:lineRule="auto"/>
        <w:ind w:left="513"/>
        <w:jc w:val="both"/>
        <w:rPr>
          <w:rFonts w:ascii="Arial" w:hAnsi="Arial" w:cs="Arial"/>
        </w:rPr>
      </w:pPr>
    </w:p>
    <w:p w14:paraId="493E079A" w14:textId="77777777" w:rsidR="007360B4" w:rsidRPr="002B08B6" w:rsidRDefault="007360B4" w:rsidP="007360B4">
      <w:pPr>
        <w:widowControl/>
        <w:numPr>
          <w:ilvl w:val="0"/>
          <w:numId w:val="25"/>
        </w:numPr>
        <w:autoSpaceDE w:val="0"/>
        <w:autoSpaceDN w:val="0"/>
        <w:adjustRightInd w:val="0"/>
        <w:spacing w:line="360" w:lineRule="auto"/>
        <w:jc w:val="both"/>
        <w:rPr>
          <w:rFonts w:ascii="Arial" w:hAnsi="Arial" w:cs="Arial"/>
        </w:rPr>
      </w:pPr>
      <w:r>
        <w:rPr>
          <w:rFonts w:ascii="Arial" w:hAnsi="Arial" w:cs="Arial"/>
        </w:rPr>
        <w:t>L</w:t>
      </w:r>
      <w:r w:rsidRPr="002B08B6">
        <w:rPr>
          <w:rFonts w:ascii="Arial" w:hAnsi="Arial" w:cs="Arial"/>
        </w:rPr>
        <w:t>a entidad financiera ha suministrado la información obligatoria conforme a la normativa nacional y si la ha incluido en su oferta o publicidad previa en relación con el tipo de contrato suscrito.</w:t>
      </w:r>
    </w:p>
    <w:p w14:paraId="6BB67E40" w14:textId="77777777" w:rsidR="007360B4" w:rsidRPr="002B08B6" w:rsidRDefault="007360B4" w:rsidP="007360B4">
      <w:pPr>
        <w:pStyle w:val="Prrafodelista"/>
        <w:spacing w:line="360" w:lineRule="auto"/>
        <w:rPr>
          <w:rFonts w:ascii="Arial" w:hAnsi="Arial"/>
          <w:color w:val="000000"/>
          <w:szCs w:val="20"/>
          <w:lang w:eastAsia="es-ES"/>
        </w:rPr>
      </w:pPr>
    </w:p>
    <w:p w14:paraId="53165F40" w14:textId="77777777" w:rsidR="007360B4" w:rsidRPr="002B08B6" w:rsidRDefault="007360B4" w:rsidP="007360B4">
      <w:pPr>
        <w:widowControl/>
        <w:numPr>
          <w:ilvl w:val="0"/>
          <w:numId w:val="25"/>
        </w:numPr>
        <w:autoSpaceDE w:val="0"/>
        <w:autoSpaceDN w:val="0"/>
        <w:adjustRightInd w:val="0"/>
        <w:spacing w:line="360" w:lineRule="auto"/>
        <w:jc w:val="both"/>
        <w:rPr>
          <w:rFonts w:ascii="Arial" w:hAnsi="Arial" w:cs="Arial"/>
        </w:rPr>
      </w:pPr>
      <w:r>
        <w:rPr>
          <w:rFonts w:ascii="Arial" w:hAnsi="Arial" w:cs="Arial"/>
        </w:rPr>
        <w:t>Permite v</w:t>
      </w:r>
      <w:r w:rsidRPr="002B08B6">
        <w:rPr>
          <w:rFonts w:ascii="Arial" w:hAnsi="Arial" w:cs="Arial"/>
        </w:rPr>
        <w:t>alorar la especial atención que el consumidor medio presta a una cláusula de este tipo, en la medida en que estipula el pago íntegro de una cantidad sustancial desde el momento de la concesión del préstamo.</w:t>
      </w:r>
    </w:p>
    <w:p w14:paraId="1C50F9C9" w14:textId="77777777" w:rsidR="007360B4" w:rsidRPr="002B08B6" w:rsidRDefault="007360B4" w:rsidP="007360B4">
      <w:pPr>
        <w:autoSpaceDE w:val="0"/>
        <w:autoSpaceDN w:val="0"/>
        <w:adjustRightInd w:val="0"/>
        <w:spacing w:line="360" w:lineRule="auto"/>
        <w:jc w:val="both"/>
        <w:rPr>
          <w:rFonts w:ascii="Arial" w:hAnsi="Arial" w:cs="Arial"/>
        </w:rPr>
      </w:pPr>
    </w:p>
    <w:p w14:paraId="698B5E32" w14:textId="3861E8BA" w:rsidR="007360B4" w:rsidRPr="002B08B6" w:rsidRDefault="007360B4" w:rsidP="007360B4">
      <w:pPr>
        <w:autoSpaceDE w:val="0"/>
        <w:autoSpaceDN w:val="0"/>
        <w:adjustRightInd w:val="0"/>
        <w:spacing w:line="360" w:lineRule="auto"/>
        <w:jc w:val="both"/>
        <w:rPr>
          <w:rFonts w:ascii="Arial" w:hAnsi="Arial" w:cs="Arial"/>
        </w:rPr>
      </w:pPr>
      <w:r w:rsidRPr="007360B4">
        <w:rPr>
          <w:rFonts w:ascii="Arial" w:hAnsi="Arial" w:cs="Arial"/>
        </w:rPr>
        <w:t>Para poder verificar que tales elementos se cumplen en el presente caso, facilitamos diferentes instrumentos de comprobación a Su Señoría:</w:t>
      </w:r>
    </w:p>
    <w:p w14:paraId="22A99DA0" w14:textId="77777777" w:rsidR="007360B4" w:rsidRPr="002B08B6" w:rsidRDefault="007360B4" w:rsidP="007360B4">
      <w:pPr>
        <w:autoSpaceDE w:val="0"/>
        <w:autoSpaceDN w:val="0"/>
        <w:adjustRightInd w:val="0"/>
        <w:spacing w:line="360" w:lineRule="auto"/>
        <w:jc w:val="both"/>
        <w:rPr>
          <w:rFonts w:ascii="Arial" w:hAnsi="Arial" w:cs="Arial"/>
        </w:rPr>
      </w:pPr>
    </w:p>
    <w:p w14:paraId="7EC0C684" w14:textId="519427B1" w:rsidR="007360B4" w:rsidRPr="007D401C" w:rsidRDefault="007360B4" w:rsidP="007D401C">
      <w:pPr>
        <w:widowControl/>
        <w:numPr>
          <w:ilvl w:val="0"/>
          <w:numId w:val="26"/>
        </w:numPr>
        <w:autoSpaceDE w:val="0"/>
        <w:autoSpaceDN w:val="0"/>
        <w:adjustRightInd w:val="0"/>
        <w:spacing w:line="360" w:lineRule="auto"/>
        <w:jc w:val="both"/>
        <w:rPr>
          <w:rFonts w:ascii="Arial" w:hAnsi="Arial" w:cs="Arial"/>
        </w:rPr>
      </w:pPr>
      <w:r w:rsidRPr="002B08B6">
        <w:rPr>
          <w:rFonts w:ascii="Arial" w:hAnsi="Arial" w:cs="Arial"/>
        </w:rPr>
        <w:t>La naturaleza de los servicios proporcionados como contrap</w:t>
      </w:r>
      <w:r w:rsidRPr="007360B4">
        <w:rPr>
          <w:rFonts w:ascii="Arial" w:hAnsi="Arial" w:cs="Arial"/>
        </w:rPr>
        <w:t>artida de la comisión de apertura se deduce razonablemente del contrato, al englobar todos los gastos en los que ha incurrido BANKINTER para la concesión del préstamo hipotecario.</w:t>
      </w:r>
    </w:p>
    <w:p w14:paraId="5BB313FD" w14:textId="3852EBD3" w:rsidR="007360B4" w:rsidRPr="00D92513" w:rsidRDefault="007360B4" w:rsidP="00D92513">
      <w:pPr>
        <w:widowControl/>
        <w:numPr>
          <w:ilvl w:val="0"/>
          <w:numId w:val="26"/>
        </w:numPr>
        <w:autoSpaceDE w:val="0"/>
        <w:autoSpaceDN w:val="0"/>
        <w:adjustRightInd w:val="0"/>
        <w:spacing w:line="360" w:lineRule="auto"/>
        <w:jc w:val="both"/>
        <w:rPr>
          <w:rFonts w:ascii="Arial" w:hAnsi="Arial" w:cs="Arial"/>
        </w:rPr>
      </w:pPr>
      <w:r w:rsidRPr="002B08B6">
        <w:rPr>
          <w:rFonts w:ascii="Arial" w:hAnsi="Arial" w:cs="Arial"/>
        </w:rPr>
        <w:lastRenderedPageBreak/>
        <w:t xml:space="preserve">En las advertencias notariales, se puede apreciar como el Notario certifica que no existen discrepancias entre las condiciones financieras de la oferta vinculante y las </w:t>
      </w:r>
      <w:proofErr w:type="spellStart"/>
      <w:r w:rsidRPr="002B08B6">
        <w:rPr>
          <w:rFonts w:ascii="Arial" w:hAnsi="Arial" w:cs="Arial"/>
        </w:rPr>
        <w:t>clausulas</w:t>
      </w:r>
      <w:proofErr w:type="spellEnd"/>
      <w:r w:rsidRPr="002B08B6">
        <w:rPr>
          <w:rFonts w:ascii="Arial" w:hAnsi="Arial" w:cs="Arial"/>
        </w:rPr>
        <w:t xml:space="preserve"> financieras contenidas en la escritura</w:t>
      </w:r>
      <w:r w:rsidR="00D92513">
        <w:rPr>
          <w:rFonts w:ascii="Arial" w:hAnsi="Arial" w:cs="Arial"/>
        </w:rPr>
        <w:t>.</w:t>
      </w:r>
    </w:p>
    <w:p w14:paraId="0012C98D" w14:textId="77777777" w:rsidR="007360B4" w:rsidRPr="002B08B6" w:rsidRDefault="007360B4" w:rsidP="007360B4">
      <w:pPr>
        <w:autoSpaceDE w:val="0"/>
        <w:autoSpaceDN w:val="0"/>
        <w:adjustRightInd w:val="0"/>
        <w:spacing w:line="360" w:lineRule="auto"/>
        <w:ind w:left="513"/>
        <w:jc w:val="both"/>
        <w:rPr>
          <w:rFonts w:ascii="Arial" w:hAnsi="Arial" w:cs="Arial"/>
        </w:rPr>
      </w:pPr>
    </w:p>
    <w:p w14:paraId="567A514E" w14:textId="69BCEA2F" w:rsidR="007D401C" w:rsidRPr="007D401C" w:rsidRDefault="007360B4" w:rsidP="007D401C">
      <w:pPr>
        <w:widowControl/>
        <w:numPr>
          <w:ilvl w:val="0"/>
          <w:numId w:val="26"/>
        </w:numPr>
        <w:autoSpaceDE w:val="0"/>
        <w:autoSpaceDN w:val="0"/>
        <w:adjustRightInd w:val="0"/>
        <w:spacing w:line="360" w:lineRule="auto"/>
        <w:jc w:val="both"/>
        <w:rPr>
          <w:rFonts w:ascii="Arial" w:hAnsi="Arial" w:cs="Arial"/>
        </w:rPr>
      </w:pPr>
      <w:r w:rsidRPr="002B08B6">
        <w:rPr>
          <w:rFonts w:ascii="Arial" w:hAnsi="Arial" w:cs="Arial"/>
        </w:rPr>
        <w:t xml:space="preserve">En cuanto a su estructura y ubicación, puede apreciarse como la misma se encuentra identificada en la propia escritura de manera diferenciada e individualizada, bajo </w:t>
      </w:r>
      <w:r>
        <w:rPr>
          <w:rFonts w:ascii="Arial" w:hAnsi="Arial" w:cs="Arial"/>
        </w:rPr>
        <w:t>la denominación</w:t>
      </w:r>
      <w:r w:rsidRPr="002B08B6">
        <w:rPr>
          <w:rFonts w:ascii="Arial" w:hAnsi="Arial" w:cs="Arial"/>
        </w:rPr>
        <w:t xml:space="preserve"> “Comisión de apertura”.</w:t>
      </w:r>
    </w:p>
    <w:p w14:paraId="5CD85EB0" w14:textId="77777777" w:rsidR="007360B4" w:rsidRPr="002B08B6" w:rsidRDefault="007360B4" w:rsidP="007360B4">
      <w:pPr>
        <w:autoSpaceDE w:val="0"/>
        <w:autoSpaceDN w:val="0"/>
        <w:adjustRightInd w:val="0"/>
        <w:spacing w:line="360" w:lineRule="auto"/>
        <w:jc w:val="both"/>
        <w:rPr>
          <w:rFonts w:ascii="Arial" w:hAnsi="Arial" w:cs="Arial"/>
        </w:rPr>
      </w:pPr>
    </w:p>
    <w:p w14:paraId="108FA250" w14:textId="3AA52DA1" w:rsidR="007360B4" w:rsidRDefault="00D92513" w:rsidP="00D92513">
      <w:pPr>
        <w:autoSpaceDE w:val="0"/>
        <w:autoSpaceDN w:val="0"/>
        <w:adjustRightInd w:val="0"/>
        <w:spacing w:line="360" w:lineRule="auto"/>
        <w:jc w:val="center"/>
        <w:rPr>
          <w:rFonts w:ascii="Arial" w:hAnsi="Arial" w:cs="Arial"/>
        </w:rPr>
      </w:pPr>
      <w:r>
        <w:rPr>
          <w:noProof/>
        </w:rPr>
        <w:drawing>
          <wp:inline distT="0" distB="0" distL="0" distR="0" wp14:anchorId="6DD44204" wp14:editId="02F58D11">
            <wp:extent cx="4238625" cy="1590675"/>
            <wp:effectExtent l="0" t="0" r="9525" b="9525"/>
            <wp:docPr id="214235617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56173" name="Imagen 1" descr="Tabla&#10;&#10;Descripción generada automáticamente"/>
                    <pic:cNvPicPr/>
                  </pic:nvPicPr>
                  <pic:blipFill>
                    <a:blip r:embed="rId8"/>
                    <a:stretch>
                      <a:fillRect/>
                    </a:stretch>
                  </pic:blipFill>
                  <pic:spPr>
                    <a:xfrm>
                      <a:off x="0" y="0"/>
                      <a:ext cx="4238625" cy="1590675"/>
                    </a:xfrm>
                    <a:prstGeom prst="rect">
                      <a:avLst/>
                    </a:prstGeom>
                  </pic:spPr>
                </pic:pic>
              </a:graphicData>
            </a:graphic>
          </wp:inline>
        </w:drawing>
      </w:r>
    </w:p>
    <w:p w14:paraId="4D08B18B" w14:textId="77777777" w:rsidR="007D401C" w:rsidRPr="002B08B6" w:rsidRDefault="007D401C" w:rsidP="00D92513">
      <w:pPr>
        <w:autoSpaceDE w:val="0"/>
        <w:autoSpaceDN w:val="0"/>
        <w:adjustRightInd w:val="0"/>
        <w:spacing w:line="360" w:lineRule="auto"/>
        <w:jc w:val="center"/>
        <w:rPr>
          <w:rFonts w:ascii="Arial" w:hAnsi="Arial" w:cs="Arial"/>
        </w:rPr>
      </w:pPr>
    </w:p>
    <w:p w14:paraId="07519988" w14:textId="6447320D" w:rsidR="007360B4" w:rsidRPr="007D401C" w:rsidRDefault="007D401C" w:rsidP="007D401C">
      <w:pPr>
        <w:autoSpaceDE w:val="0"/>
        <w:autoSpaceDN w:val="0"/>
        <w:adjustRightInd w:val="0"/>
        <w:spacing w:line="360" w:lineRule="auto"/>
        <w:ind w:left="567"/>
        <w:rPr>
          <w:rFonts w:ascii="Arial" w:hAnsi="Arial" w:cs="Arial"/>
          <w:b/>
          <w:bCs/>
          <w:noProof/>
        </w:rPr>
      </w:pPr>
      <w:r w:rsidRPr="007D401C">
        <w:rPr>
          <w:rFonts w:ascii="Arial" w:hAnsi="Arial" w:cs="Arial"/>
          <w:b/>
          <w:bCs/>
          <w:noProof/>
          <w:highlight w:val="yellow"/>
        </w:rPr>
        <w:t>ADJUNTAMOS CAPTURA</w:t>
      </w:r>
    </w:p>
    <w:p w14:paraId="607BAE60" w14:textId="77777777" w:rsidR="007360B4" w:rsidRPr="002B08B6" w:rsidRDefault="007360B4" w:rsidP="007360B4">
      <w:pPr>
        <w:autoSpaceDE w:val="0"/>
        <w:autoSpaceDN w:val="0"/>
        <w:adjustRightInd w:val="0"/>
        <w:spacing w:line="360" w:lineRule="auto"/>
        <w:jc w:val="both"/>
        <w:rPr>
          <w:rFonts w:ascii="Arial" w:hAnsi="Arial" w:cs="Arial"/>
          <w:noProof/>
        </w:rPr>
      </w:pPr>
    </w:p>
    <w:p w14:paraId="03DD8D05" w14:textId="146AFF53" w:rsidR="007360B4" w:rsidRPr="00D92513" w:rsidRDefault="007360B4" w:rsidP="007360B4">
      <w:pPr>
        <w:widowControl/>
        <w:numPr>
          <w:ilvl w:val="0"/>
          <w:numId w:val="26"/>
        </w:numPr>
        <w:autoSpaceDE w:val="0"/>
        <w:autoSpaceDN w:val="0"/>
        <w:adjustRightInd w:val="0"/>
        <w:spacing w:line="360" w:lineRule="auto"/>
        <w:jc w:val="both"/>
        <w:rPr>
          <w:rFonts w:ascii="Arial" w:hAnsi="Arial" w:cs="Arial"/>
          <w:noProof/>
        </w:rPr>
      </w:pPr>
      <w:r w:rsidRPr="002B08B6">
        <w:rPr>
          <w:rFonts w:ascii="Arial" w:hAnsi="Arial" w:cs="Arial"/>
        </w:rPr>
        <w:t>Además</w:t>
      </w:r>
      <w:r>
        <w:rPr>
          <w:rFonts w:ascii="Arial" w:hAnsi="Arial" w:cs="Arial"/>
          <w:noProof/>
        </w:rPr>
        <w:t xml:space="preserve">, en la cláusula se hace </w:t>
      </w:r>
      <w:r w:rsidRPr="00D92513">
        <w:rPr>
          <w:rFonts w:ascii="Arial" w:hAnsi="Arial" w:cs="Arial"/>
          <w:noProof/>
        </w:rPr>
        <w:t xml:space="preserve">mención a que la comisión se devengará por una sola vez, en el momento de la formalización del contrato (fecha y forma) y que su importe será de un </w:t>
      </w:r>
      <w:r w:rsidR="00D92513" w:rsidRPr="00D92513">
        <w:rPr>
          <w:rFonts w:ascii="Arial" w:hAnsi="Arial" w:cs="Arial"/>
          <w:noProof/>
        </w:rPr>
        <w:t>0,25</w:t>
      </w:r>
      <w:r w:rsidRPr="00D92513">
        <w:rPr>
          <w:rFonts w:ascii="Arial" w:hAnsi="Arial" w:cs="Arial"/>
          <w:noProof/>
        </w:rPr>
        <w:t>% sobre el capital de la operación</w:t>
      </w:r>
      <w:r w:rsidR="00D92513" w:rsidRPr="00D92513">
        <w:rPr>
          <w:rFonts w:ascii="Arial" w:hAnsi="Arial" w:cs="Arial"/>
          <w:noProof/>
        </w:rPr>
        <w:t>.</w:t>
      </w:r>
    </w:p>
    <w:p w14:paraId="65779AC2" w14:textId="77777777" w:rsidR="007360B4" w:rsidRPr="00D92513" w:rsidRDefault="007360B4" w:rsidP="007360B4">
      <w:pPr>
        <w:autoSpaceDE w:val="0"/>
        <w:autoSpaceDN w:val="0"/>
        <w:adjustRightInd w:val="0"/>
        <w:spacing w:line="360" w:lineRule="auto"/>
        <w:ind w:left="513"/>
        <w:jc w:val="both"/>
        <w:rPr>
          <w:rFonts w:ascii="Arial" w:hAnsi="Arial" w:cs="Arial"/>
          <w:noProof/>
        </w:rPr>
      </w:pPr>
    </w:p>
    <w:p w14:paraId="3878E92E" w14:textId="77777777" w:rsidR="007360B4" w:rsidRPr="002B08B6" w:rsidRDefault="007360B4" w:rsidP="007360B4">
      <w:pPr>
        <w:widowControl/>
        <w:numPr>
          <w:ilvl w:val="0"/>
          <w:numId w:val="26"/>
        </w:numPr>
        <w:autoSpaceDE w:val="0"/>
        <w:autoSpaceDN w:val="0"/>
        <w:adjustRightInd w:val="0"/>
        <w:spacing w:line="360" w:lineRule="auto"/>
        <w:jc w:val="both"/>
        <w:rPr>
          <w:rFonts w:ascii="Arial" w:hAnsi="Arial" w:cs="Arial"/>
          <w:noProof/>
        </w:rPr>
      </w:pPr>
      <w:r w:rsidRPr="00D92513">
        <w:rPr>
          <w:rFonts w:ascii="Arial" w:hAnsi="Arial" w:cs="Arial"/>
        </w:rPr>
        <w:t>Finalmente, se incluye como uno de los conceptos</w:t>
      </w:r>
      <w:r w:rsidRPr="002B08B6">
        <w:rPr>
          <w:rFonts w:ascii="Arial" w:hAnsi="Arial" w:cs="Arial"/>
        </w:rPr>
        <w:t xml:space="preserve"> integrantes de la TAE.</w:t>
      </w:r>
    </w:p>
    <w:p w14:paraId="11966859" w14:textId="77777777" w:rsidR="007360B4" w:rsidRDefault="007360B4" w:rsidP="007360B4">
      <w:pPr>
        <w:spacing w:line="360" w:lineRule="auto"/>
        <w:ind w:left="-567" w:right="140"/>
        <w:jc w:val="both"/>
        <w:rPr>
          <w:rFonts w:ascii="Arial" w:hAnsi="Arial" w:cs="Arial"/>
          <w:lang w:val="es-ES_tradnl"/>
        </w:rPr>
      </w:pPr>
    </w:p>
    <w:p w14:paraId="522DE19E" w14:textId="77777777" w:rsidR="007360B4" w:rsidRPr="00A30EAF" w:rsidRDefault="007360B4" w:rsidP="007360B4">
      <w:pPr>
        <w:spacing w:line="360" w:lineRule="auto"/>
        <w:ind w:left="-567" w:right="140"/>
        <w:jc w:val="both"/>
        <w:rPr>
          <w:rFonts w:ascii="Arial" w:hAnsi="Arial" w:cs="Arial"/>
        </w:rPr>
      </w:pPr>
      <w:r w:rsidRPr="00A30EAF">
        <w:rPr>
          <w:rFonts w:ascii="Arial" w:hAnsi="Arial" w:cs="Arial"/>
          <w:lang w:val="es-ES_tradnl"/>
        </w:rPr>
        <w:t>Es</w:t>
      </w:r>
      <w:r w:rsidRPr="00A30EAF">
        <w:rPr>
          <w:rFonts w:ascii="Arial" w:hAnsi="Arial" w:cs="Arial"/>
        </w:rPr>
        <w:t xml:space="preserve"> muy importante advertir como en el supuesto analizado por el T</w:t>
      </w:r>
      <w:r>
        <w:rPr>
          <w:rFonts w:ascii="Arial" w:hAnsi="Arial" w:cs="Arial"/>
        </w:rPr>
        <w:t>ribunal Supremo</w:t>
      </w:r>
      <w:r w:rsidRPr="00A30EAF">
        <w:rPr>
          <w:rFonts w:ascii="Arial" w:hAnsi="Arial" w:cs="Arial"/>
        </w:rPr>
        <w:t xml:space="preserve"> se estimó suficiente para probar el cumplimiento de estos requisitos la escritura pública aportada.</w:t>
      </w:r>
    </w:p>
    <w:p w14:paraId="45354895" w14:textId="77777777" w:rsidR="007360B4" w:rsidRPr="002B08B6" w:rsidRDefault="007360B4" w:rsidP="007360B4">
      <w:pPr>
        <w:autoSpaceDE w:val="0"/>
        <w:autoSpaceDN w:val="0"/>
        <w:adjustRightInd w:val="0"/>
        <w:spacing w:line="360" w:lineRule="auto"/>
        <w:jc w:val="both"/>
        <w:rPr>
          <w:rFonts w:ascii="Arial" w:hAnsi="Arial" w:cs="Arial"/>
        </w:rPr>
      </w:pPr>
    </w:p>
    <w:p w14:paraId="282E6255" w14:textId="77777777" w:rsidR="007360B4" w:rsidRPr="002B08B6" w:rsidRDefault="007360B4" w:rsidP="007360B4">
      <w:pPr>
        <w:spacing w:line="360" w:lineRule="auto"/>
        <w:ind w:left="-567" w:right="140"/>
        <w:jc w:val="both"/>
        <w:rPr>
          <w:rFonts w:ascii="Arial" w:hAnsi="Arial" w:cs="Arial"/>
          <w:lang w:val="es-ES_tradnl"/>
        </w:rPr>
      </w:pPr>
      <w:r w:rsidRPr="002B08B6">
        <w:rPr>
          <w:rFonts w:ascii="Arial" w:hAnsi="Arial" w:cs="Arial"/>
          <w:lang w:val="es-ES_tradnl"/>
        </w:rPr>
        <w:t xml:space="preserve">Por todo ello, resulta evidente que la cláusula cumple con las exigencias del control de transparencia, verificando que se dan cada uno de los parámetros fijados por el </w:t>
      </w:r>
      <w:r>
        <w:rPr>
          <w:rFonts w:ascii="Arial" w:hAnsi="Arial" w:cs="Arial"/>
          <w:lang w:val="es-ES_tradnl"/>
        </w:rPr>
        <w:t xml:space="preserve">TJUE y el </w:t>
      </w:r>
      <w:r w:rsidRPr="002B08B6">
        <w:rPr>
          <w:rFonts w:ascii="Arial" w:hAnsi="Arial" w:cs="Arial"/>
          <w:lang w:val="es-ES_tradnl"/>
        </w:rPr>
        <w:t>Tribunal Supremo.</w:t>
      </w:r>
    </w:p>
    <w:p w14:paraId="167F276E" w14:textId="77777777" w:rsidR="007360B4" w:rsidRPr="002B08B6" w:rsidRDefault="007360B4" w:rsidP="007360B4">
      <w:pPr>
        <w:spacing w:line="360" w:lineRule="auto"/>
        <w:ind w:left="-567" w:right="140"/>
        <w:jc w:val="both"/>
        <w:rPr>
          <w:rFonts w:ascii="Arial" w:hAnsi="Arial" w:cs="Arial"/>
          <w:lang w:val="es-ES_tradnl"/>
        </w:rPr>
      </w:pPr>
    </w:p>
    <w:p w14:paraId="2718648E" w14:textId="77777777" w:rsidR="007360B4" w:rsidRPr="002B08B6" w:rsidRDefault="007360B4" w:rsidP="007360B4">
      <w:pPr>
        <w:widowControl/>
        <w:numPr>
          <w:ilvl w:val="0"/>
          <w:numId w:val="24"/>
        </w:numPr>
        <w:spacing w:line="360" w:lineRule="auto"/>
        <w:ind w:right="140"/>
        <w:jc w:val="both"/>
        <w:rPr>
          <w:rFonts w:ascii="Arial" w:hAnsi="Arial" w:cs="Arial"/>
          <w:b/>
          <w:lang w:val="es-ES_tradnl"/>
        </w:rPr>
      </w:pPr>
      <w:r w:rsidRPr="002B08B6">
        <w:rPr>
          <w:rFonts w:ascii="Arial" w:hAnsi="Arial" w:cs="Arial"/>
          <w:b/>
          <w:lang w:val="es-ES_tradnl"/>
        </w:rPr>
        <w:t xml:space="preserve">La cláusula de comisión de apertura </w:t>
      </w:r>
      <w:r w:rsidRPr="00D92513">
        <w:rPr>
          <w:rFonts w:ascii="Arial" w:hAnsi="Arial" w:cs="Arial"/>
          <w:b/>
          <w:lang w:val="es-ES_tradnl"/>
        </w:rPr>
        <w:t>recogida en el préstamo hipotecario objeto de controversia supera el control de contenido (</w:t>
      </w:r>
      <w:proofErr w:type="spellStart"/>
      <w:r w:rsidRPr="00D92513">
        <w:rPr>
          <w:rFonts w:ascii="Arial" w:hAnsi="Arial" w:cs="Arial"/>
          <w:b/>
          <w:lang w:val="es-ES_tradnl"/>
        </w:rPr>
        <w:t>abusividad</w:t>
      </w:r>
      <w:proofErr w:type="spellEnd"/>
      <w:r w:rsidRPr="00D92513">
        <w:rPr>
          <w:rFonts w:ascii="Arial" w:hAnsi="Arial" w:cs="Arial"/>
          <w:b/>
          <w:lang w:val="es-ES_tradnl"/>
        </w:rPr>
        <w:t>).</w:t>
      </w:r>
    </w:p>
    <w:p w14:paraId="6DD65AE6" w14:textId="77777777" w:rsidR="007360B4" w:rsidRPr="002B08B6" w:rsidRDefault="007360B4" w:rsidP="007360B4">
      <w:pPr>
        <w:autoSpaceDE w:val="0"/>
        <w:autoSpaceDN w:val="0"/>
        <w:adjustRightInd w:val="0"/>
        <w:spacing w:line="360" w:lineRule="auto"/>
        <w:ind w:left="-567"/>
        <w:jc w:val="both"/>
        <w:rPr>
          <w:rFonts w:ascii="Arial" w:hAnsi="Arial" w:cs="Arial"/>
          <w:lang w:val="es-ES_tradnl"/>
        </w:rPr>
      </w:pPr>
    </w:p>
    <w:p w14:paraId="536A160D" w14:textId="77777777" w:rsidR="007360B4" w:rsidRPr="00D116E7" w:rsidRDefault="007360B4" w:rsidP="007360B4">
      <w:pPr>
        <w:spacing w:line="360" w:lineRule="auto"/>
        <w:ind w:left="-567" w:right="140"/>
        <w:jc w:val="both"/>
        <w:rPr>
          <w:rFonts w:ascii="Arial" w:hAnsi="Arial" w:cs="Arial"/>
          <w:lang w:val="es-ES_tradnl"/>
        </w:rPr>
      </w:pPr>
      <w:r w:rsidRPr="002B08B6">
        <w:rPr>
          <w:rFonts w:ascii="Arial" w:hAnsi="Arial" w:cs="Arial"/>
          <w:lang w:val="es-ES_tradnl"/>
        </w:rPr>
        <w:t xml:space="preserve">Analizada la cláusula controvertida, no cabe duda, tampoco, de que la misma supera el control de </w:t>
      </w:r>
      <w:proofErr w:type="spellStart"/>
      <w:r w:rsidRPr="002B08B6">
        <w:rPr>
          <w:rFonts w:ascii="Arial" w:hAnsi="Arial" w:cs="Arial"/>
          <w:lang w:val="es-ES_tradnl"/>
        </w:rPr>
        <w:t>abusividad</w:t>
      </w:r>
      <w:proofErr w:type="spellEnd"/>
      <w:r w:rsidRPr="002B08B6">
        <w:rPr>
          <w:rFonts w:ascii="Arial" w:hAnsi="Arial" w:cs="Arial"/>
          <w:lang w:val="es-ES_tradnl"/>
        </w:rPr>
        <w:t>, teniendo en cuenta los elementos que destaca la STJUE de 16 de marzo de 2023 (asunto C-565/21) y la Sentencia núm. 816/2023 del Tribunal Supremo, Sala de</w:t>
      </w:r>
      <w:r>
        <w:rPr>
          <w:rFonts w:ascii="Arial" w:hAnsi="Arial" w:cs="Arial"/>
          <w:lang w:val="es-ES_tradnl"/>
        </w:rPr>
        <w:t xml:space="preserve"> lo Civil, de 29 de mayo resume</w:t>
      </w:r>
      <w:r w:rsidRPr="002B08B6">
        <w:rPr>
          <w:rFonts w:ascii="Arial" w:hAnsi="Arial" w:cs="Arial"/>
        </w:rPr>
        <w:t>, ya que:</w:t>
      </w:r>
    </w:p>
    <w:p w14:paraId="27DCCB2A" w14:textId="77777777" w:rsidR="007360B4" w:rsidRPr="002B08B6" w:rsidRDefault="007360B4" w:rsidP="007360B4">
      <w:pPr>
        <w:spacing w:line="360" w:lineRule="auto"/>
        <w:ind w:left="-567" w:right="140"/>
        <w:jc w:val="both"/>
        <w:rPr>
          <w:rFonts w:ascii="Arial" w:hAnsi="Arial" w:cs="Arial"/>
        </w:rPr>
      </w:pPr>
    </w:p>
    <w:p w14:paraId="075F3711" w14:textId="6A6560C1" w:rsidR="007360B4" w:rsidRPr="007D401C" w:rsidRDefault="007360B4" w:rsidP="007D401C">
      <w:pPr>
        <w:widowControl/>
        <w:numPr>
          <w:ilvl w:val="0"/>
          <w:numId w:val="27"/>
        </w:numPr>
        <w:autoSpaceDE w:val="0"/>
        <w:autoSpaceDN w:val="0"/>
        <w:adjustRightInd w:val="0"/>
        <w:spacing w:line="360" w:lineRule="auto"/>
        <w:jc w:val="both"/>
        <w:rPr>
          <w:rFonts w:ascii="Arial" w:hAnsi="Arial" w:cs="Arial"/>
          <w:noProof/>
        </w:rPr>
      </w:pPr>
      <w:r w:rsidRPr="002B08B6">
        <w:rPr>
          <w:rFonts w:ascii="Arial" w:hAnsi="Arial" w:cs="Arial"/>
          <w:noProof/>
        </w:rPr>
        <w:lastRenderedPageBreak/>
        <w:t>Se puede considerar razonablemente que los servicios proporcionados como contrapartida se prestan en el ámbito de las prestaciones de estudio, tramitación y concesión del préstamo u otros similares inherentes a la actividad de la prestamista.</w:t>
      </w:r>
    </w:p>
    <w:p w14:paraId="6AD03208" w14:textId="77777777" w:rsidR="007360B4" w:rsidRPr="002B08B6" w:rsidRDefault="007360B4" w:rsidP="007360B4">
      <w:pPr>
        <w:widowControl/>
        <w:numPr>
          <w:ilvl w:val="0"/>
          <w:numId w:val="27"/>
        </w:numPr>
        <w:autoSpaceDE w:val="0"/>
        <w:autoSpaceDN w:val="0"/>
        <w:adjustRightInd w:val="0"/>
        <w:spacing w:line="360" w:lineRule="auto"/>
        <w:jc w:val="both"/>
        <w:rPr>
          <w:rFonts w:ascii="Arial" w:hAnsi="Arial" w:cs="Arial"/>
          <w:noProof/>
        </w:rPr>
      </w:pPr>
      <w:r w:rsidRPr="002B08B6">
        <w:rPr>
          <w:rFonts w:ascii="Arial" w:hAnsi="Arial" w:cs="Arial"/>
        </w:rPr>
        <w:t>No hay solapamiento de comisiones por el mismo concepto, ya que del examen de la escritura pública no consta que por el estudio y concesión del préstamo se cobrara otra cantidad diferente.</w:t>
      </w:r>
      <w:r w:rsidRPr="002B08B6">
        <w:rPr>
          <w:rFonts w:ascii="Arial" w:hAnsi="Arial" w:cs="Arial"/>
          <w:noProof/>
        </w:rPr>
        <w:t xml:space="preserve"> Véase como pese a que en la propia escritura se recogen otras comisiones, la cláusula de comisión de apertura está claramente diferenciada, separada e individualizada en relacion </w:t>
      </w:r>
      <w:r w:rsidRPr="00D92513">
        <w:rPr>
          <w:rFonts w:ascii="Arial" w:hAnsi="Arial" w:cs="Arial"/>
          <w:noProof/>
        </w:rPr>
        <w:t>con las otras condiciones, tanto en su ubicación como en su enunciado (comisión por amortización anticipada, comisión por modificación de condiciones, comisión por posiciones deudoras):</w:t>
      </w:r>
    </w:p>
    <w:p w14:paraId="501C5936" w14:textId="77777777" w:rsidR="007360B4" w:rsidRPr="002B08B6" w:rsidRDefault="007360B4" w:rsidP="007360B4">
      <w:pPr>
        <w:pStyle w:val="Prrafodelista"/>
        <w:spacing w:line="360" w:lineRule="auto"/>
        <w:rPr>
          <w:rFonts w:ascii="Arial" w:hAnsi="Arial"/>
          <w:noProof/>
          <w:szCs w:val="20"/>
          <w:lang w:eastAsia="es-ES"/>
        </w:rPr>
      </w:pPr>
    </w:p>
    <w:p w14:paraId="4A70B16A" w14:textId="4AD38D5F" w:rsidR="007360B4" w:rsidRPr="002B08B6" w:rsidRDefault="00D92513" w:rsidP="007360B4">
      <w:pPr>
        <w:pStyle w:val="Prrafodelista"/>
        <w:spacing w:line="360" w:lineRule="auto"/>
        <w:rPr>
          <w:rFonts w:ascii="Arial" w:hAnsi="Arial"/>
          <w:noProof/>
          <w:szCs w:val="20"/>
          <w:lang w:eastAsia="es-ES"/>
        </w:rPr>
      </w:pPr>
      <w:r>
        <w:rPr>
          <w:noProof/>
        </w:rPr>
        <w:drawing>
          <wp:inline distT="0" distB="0" distL="0" distR="0" wp14:anchorId="30E355DF" wp14:editId="1C62161E">
            <wp:extent cx="4238625" cy="1590675"/>
            <wp:effectExtent l="0" t="0" r="9525" b="9525"/>
            <wp:docPr id="651207246" name="Imagen 65120724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56173" name="Imagen 1" descr="Tabla&#10;&#10;Descripción generada automáticamente"/>
                    <pic:cNvPicPr/>
                  </pic:nvPicPr>
                  <pic:blipFill>
                    <a:blip r:embed="rId8"/>
                    <a:stretch>
                      <a:fillRect/>
                    </a:stretch>
                  </pic:blipFill>
                  <pic:spPr>
                    <a:xfrm>
                      <a:off x="0" y="0"/>
                      <a:ext cx="4238625" cy="1590675"/>
                    </a:xfrm>
                    <a:prstGeom prst="rect">
                      <a:avLst/>
                    </a:prstGeom>
                  </pic:spPr>
                </pic:pic>
              </a:graphicData>
            </a:graphic>
          </wp:inline>
        </w:drawing>
      </w:r>
    </w:p>
    <w:p w14:paraId="60530C7E" w14:textId="67D1DC21" w:rsidR="007360B4" w:rsidRPr="002B08B6" w:rsidRDefault="007360B4" w:rsidP="007360B4">
      <w:pPr>
        <w:autoSpaceDE w:val="0"/>
        <w:autoSpaceDN w:val="0"/>
        <w:adjustRightInd w:val="0"/>
        <w:spacing w:line="360" w:lineRule="auto"/>
        <w:ind w:left="709"/>
        <w:jc w:val="center"/>
        <w:rPr>
          <w:rFonts w:ascii="Arial" w:hAnsi="Arial" w:cs="Arial"/>
          <w:noProof/>
        </w:rPr>
      </w:pPr>
    </w:p>
    <w:p w14:paraId="6D132792" w14:textId="71C68474" w:rsidR="007360B4" w:rsidRPr="007D401C" w:rsidRDefault="007D401C" w:rsidP="007D401C">
      <w:pPr>
        <w:autoSpaceDE w:val="0"/>
        <w:autoSpaceDN w:val="0"/>
        <w:adjustRightInd w:val="0"/>
        <w:spacing w:line="360" w:lineRule="auto"/>
        <w:ind w:left="426"/>
        <w:rPr>
          <w:rFonts w:ascii="Arial" w:hAnsi="Arial" w:cs="Arial"/>
          <w:b/>
          <w:bCs/>
          <w:noProof/>
        </w:rPr>
      </w:pPr>
      <w:r w:rsidRPr="007D401C">
        <w:rPr>
          <w:rFonts w:ascii="Arial" w:hAnsi="Arial" w:cs="Arial"/>
          <w:b/>
          <w:bCs/>
          <w:noProof/>
          <w:highlight w:val="yellow"/>
        </w:rPr>
        <w:t>ADJUNTAMOS CAPTURA</w:t>
      </w:r>
    </w:p>
    <w:p w14:paraId="12E1F82A" w14:textId="313E14E8" w:rsidR="007360B4" w:rsidRPr="002B08B6" w:rsidRDefault="007360B4" w:rsidP="007360B4">
      <w:pPr>
        <w:autoSpaceDE w:val="0"/>
        <w:autoSpaceDN w:val="0"/>
        <w:adjustRightInd w:val="0"/>
        <w:spacing w:line="360" w:lineRule="auto"/>
        <w:ind w:left="513"/>
        <w:jc w:val="center"/>
        <w:rPr>
          <w:rFonts w:ascii="Arial" w:hAnsi="Arial" w:cs="Arial"/>
          <w:noProof/>
        </w:rPr>
      </w:pPr>
    </w:p>
    <w:p w14:paraId="01FA1AEF" w14:textId="77777777" w:rsidR="007360B4" w:rsidRPr="002B08B6" w:rsidRDefault="007360B4" w:rsidP="007360B4">
      <w:pPr>
        <w:autoSpaceDE w:val="0"/>
        <w:autoSpaceDN w:val="0"/>
        <w:adjustRightInd w:val="0"/>
        <w:spacing w:line="360" w:lineRule="auto"/>
        <w:ind w:left="513"/>
        <w:jc w:val="center"/>
        <w:rPr>
          <w:rFonts w:ascii="Arial" w:hAnsi="Arial" w:cs="Arial"/>
          <w:noProof/>
        </w:rPr>
      </w:pPr>
    </w:p>
    <w:p w14:paraId="72E7F4B9" w14:textId="3198B483" w:rsidR="007360B4" w:rsidRPr="00960063" w:rsidRDefault="007360B4" w:rsidP="007360B4">
      <w:pPr>
        <w:widowControl/>
        <w:numPr>
          <w:ilvl w:val="0"/>
          <w:numId w:val="27"/>
        </w:numPr>
        <w:autoSpaceDE w:val="0"/>
        <w:autoSpaceDN w:val="0"/>
        <w:adjustRightInd w:val="0"/>
        <w:spacing w:line="360" w:lineRule="auto"/>
        <w:jc w:val="both"/>
        <w:rPr>
          <w:rFonts w:ascii="Arial" w:hAnsi="Arial" w:cs="Arial"/>
          <w:noProof/>
        </w:rPr>
      </w:pPr>
      <w:r w:rsidRPr="002B08B6">
        <w:rPr>
          <w:rFonts w:ascii="Arial" w:hAnsi="Arial" w:cs="Arial"/>
        </w:rPr>
        <w:t xml:space="preserve">Respecto de la proporcionalidad del importe, en este caso se trata de una </w:t>
      </w:r>
      <w:r>
        <w:rPr>
          <w:rFonts w:ascii="Arial" w:hAnsi="Arial" w:cs="Arial"/>
        </w:rPr>
        <w:t>c</w:t>
      </w:r>
      <w:r w:rsidRPr="002B08B6">
        <w:rPr>
          <w:rFonts w:ascii="Arial" w:hAnsi="Arial" w:cs="Arial"/>
        </w:rPr>
        <w:t xml:space="preserve">omisión de </w:t>
      </w:r>
      <w:r w:rsidR="00D92513">
        <w:rPr>
          <w:rFonts w:ascii="Arial" w:hAnsi="Arial" w:cs="Arial"/>
        </w:rPr>
        <w:t>0,25</w:t>
      </w:r>
      <w:r w:rsidRPr="002B08B6">
        <w:rPr>
          <w:rFonts w:ascii="Arial" w:hAnsi="Arial" w:cs="Arial"/>
        </w:rPr>
        <w:t xml:space="preserve">€ sobre </w:t>
      </w:r>
      <w:r w:rsidR="00D92513">
        <w:rPr>
          <w:rFonts w:ascii="Arial" w:hAnsi="Arial" w:cs="Arial"/>
        </w:rPr>
        <w:t>el</w:t>
      </w:r>
      <w:r w:rsidRPr="002B08B6">
        <w:rPr>
          <w:rFonts w:ascii="Arial" w:hAnsi="Arial" w:cs="Arial"/>
        </w:rPr>
        <w:t xml:space="preserve"> capital</w:t>
      </w:r>
      <w:r w:rsidR="00D92513">
        <w:rPr>
          <w:rFonts w:ascii="Arial" w:hAnsi="Arial" w:cs="Arial"/>
        </w:rPr>
        <w:t xml:space="preserve">. </w:t>
      </w:r>
      <w:r w:rsidRPr="002B08B6">
        <w:rPr>
          <w:rFonts w:ascii="Arial" w:hAnsi="Arial" w:cs="Arial"/>
        </w:rPr>
        <w:t xml:space="preserve">Según las estadísticas del coste medio de comisiones de apertura en España, accesibles en internet, dicho coste oscila entre el 0,25% y </w:t>
      </w:r>
      <w:r>
        <w:rPr>
          <w:rFonts w:ascii="Arial" w:hAnsi="Arial" w:cs="Arial"/>
        </w:rPr>
        <w:t xml:space="preserve">el </w:t>
      </w:r>
      <w:r w:rsidRPr="002B08B6">
        <w:rPr>
          <w:rFonts w:ascii="Arial" w:hAnsi="Arial" w:cs="Arial"/>
        </w:rPr>
        <w:t xml:space="preserve">1,50%, </w:t>
      </w:r>
      <w:r w:rsidRPr="00960063">
        <w:rPr>
          <w:rFonts w:ascii="Arial" w:hAnsi="Arial" w:cs="Arial"/>
        </w:rPr>
        <w:t xml:space="preserve">en palabras del Tribunal Supremo en Sentencia núm. 816/2023, </w:t>
      </w:r>
      <w:r w:rsidRPr="00960063">
        <w:rPr>
          <w:rFonts w:ascii="Arial" w:hAnsi="Arial" w:cs="Arial"/>
          <w:lang w:val="es-ES_tradnl"/>
        </w:rPr>
        <w:t>Sala de lo Civil, de 29 de mayo</w:t>
      </w:r>
      <w:r w:rsidRPr="00960063">
        <w:rPr>
          <w:rFonts w:ascii="Arial" w:hAnsi="Arial" w:cs="Arial"/>
        </w:rPr>
        <w:t>.</w:t>
      </w:r>
    </w:p>
    <w:p w14:paraId="47A45C5D" w14:textId="77777777" w:rsidR="007360B4" w:rsidRPr="002B08B6" w:rsidRDefault="007360B4" w:rsidP="007360B4">
      <w:pPr>
        <w:spacing w:line="360" w:lineRule="auto"/>
        <w:ind w:left="-567" w:right="140"/>
        <w:jc w:val="both"/>
        <w:rPr>
          <w:rFonts w:ascii="Arial" w:hAnsi="Arial" w:cs="Arial"/>
        </w:rPr>
      </w:pPr>
    </w:p>
    <w:p w14:paraId="07782FA2" w14:textId="77777777" w:rsidR="007360B4" w:rsidRDefault="007360B4" w:rsidP="007360B4">
      <w:pPr>
        <w:spacing w:line="360" w:lineRule="auto"/>
        <w:ind w:left="-567" w:right="140"/>
        <w:jc w:val="both"/>
        <w:rPr>
          <w:rFonts w:ascii="Arial" w:hAnsi="Arial" w:cs="Arial"/>
        </w:rPr>
      </w:pPr>
      <w:r w:rsidRPr="002B08B6">
        <w:rPr>
          <w:rFonts w:ascii="Arial" w:hAnsi="Arial" w:cs="Arial"/>
        </w:rPr>
        <w:t xml:space="preserve">Por todo ello, la </w:t>
      </w:r>
      <w:r w:rsidRPr="00D92513">
        <w:rPr>
          <w:rFonts w:ascii="Arial" w:hAnsi="Arial" w:cs="Arial"/>
        </w:rPr>
        <w:t>cláusula de comisión de apertura recogida en la escritura de préstamo hipotecario es transparente y no abusiva.</w:t>
      </w:r>
    </w:p>
    <w:p w14:paraId="459C6F17" w14:textId="77777777" w:rsidR="00D92513" w:rsidRDefault="00D92513" w:rsidP="007360B4">
      <w:pPr>
        <w:spacing w:line="360" w:lineRule="auto"/>
        <w:ind w:left="-567" w:right="140"/>
        <w:jc w:val="both"/>
        <w:rPr>
          <w:rFonts w:ascii="Arial" w:hAnsi="Arial" w:cs="Arial"/>
        </w:rPr>
      </w:pPr>
    </w:p>
    <w:p w14:paraId="26114B34" w14:textId="77777777" w:rsidR="00D92513" w:rsidRPr="002B08B6" w:rsidRDefault="00D92513" w:rsidP="00D92513">
      <w:pPr>
        <w:spacing w:line="360" w:lineRule="auto"/>
        <w:ind w:left="-567" w:right="140"/>
        <w:jc w:val="both"/>
        <w:rPr>
          <w:rFonts w:ascii="Arial" w:hAnsi="Arial" w:cs="Arial"/>
          <w:b/>
          <w:lang w:val="es-ES_tradnl"/>
        </w:rPr>
      </w:pPr>
      <w:r w:rsidRPr="002B08B6">
        <w:rPr>
          <w:rFonts w:ascii="Arial" w:hAnsi="Arial" w:cs="Arial"/>
        </w:rPr>
        <w:t xml:space="preserve">Atendiendo a las normas de transparencia bancaria, puede observarse que la comisión de apertura tiene un tratamiento especial y diferente al del resto de comisiones cobradas por los bancos. Así se desprendía de la antigua </w:t>
      </w:r>
      <w:r w:rsidRPr="002B08B6">
        <w:rPr>
          <w:rFonts w:ascii="Arial" w:hAnsi="Arial" w:cs="Arial"/>
          <w:b/>
        </w:rPr>
        <w:t xml:space="preserve">Orden de 5 de mayo de 1994 sobre transparencia de las condiciones financieras de los préstamos hipotecarios (apartado 4 de su Anexo II) </w:t>
      </w:r>
      <w:r w:rsidRPr="002B08B6">
        <w:rPr>
          <w:rFonts w:ascii="Arial" w:hAnsi="Arial" w:cs="Arial"/>
        </w:rPr>
        <w:t xml:space="preserve">y, también, en la redacción originaria de </w:t>
      </w:r>
      <w:r w:rsidRPr="002B08B6">
        <w:rPr>
          <w:rFonts w:ascii="Arial" w:hAnsi="Arial" w:cs="Arial"/>
          <w:b/>
        </w:rPr>
        <w:t>la Ley 2/2009, de 31 de marzo, por la que se regula la contratación con los consumidores de préstamos o créditos hipotecarios y de servicios de intermediación para la celebración de contratos de préstamo o crédito (artículo 5)</w:t>
      </w:r>
      <w:r w:rsidRPr="002B08B6">
        <w:rPr>
          <w:rFonts w:ascii="Arial" w:hAnsi="Arial" w:cs="Arial"/>
        </w:rPr>
        <w:t xml:space="preserve">. </w:t>
      </w:r>
    </w:p>
    <w:p w14:paraId="007EC8D6" w14:textId="77777777" w:rsidR="00D92513" w:rsidRDefault="00D92513" w:rsidP="00D92513">
      <w:pPr>
        <w:autoSpaceDE w:val="0"/>
        <w:autoSpaceDN w:val="0"/>
        <w:adjustRightInd w:val="0"/>
        <w:spacing w:line="360" w:lineRule="auto"/>
        <w:ind w:left="-567"/>
        <w:jc w:val="both"/>
        <w:rPr>
          <w:rFonts w:ascii="Arial" w:hAnsi="Arial" w:cs="Arial"/>
        </w:rPr>
      </w:pPr>
    </w:p>
    <w:p w14:paraId="6C679B60" w14:textId="77777777" w:rsidR="007D401C" w:rsidRDefault="007D401C" w:rsidP="00D92513">
      <w:pPr>
        <w:autoSpaceDE w:val="0"/>
        <w:autoSpaceDN w:val="0"/>
        <w:adjustRightInd w:val="0"/>
        <w:spacing w:line="360" w:lineRule="auto"/>
        <w:ind w:left="-567"/>
        <w:jc w:val="both"/>
        <w:rPr>
          <w:rFonts w:ascii="Arial" w:hAnsi="Arial" w:cs="Arial"/>
        </w:rPr>
      </w:pPr>
    </w:p>
    <w:p w14:paraId="43E701BD" w14:textId="77777777" w:rsidR="007D401C" w:rsidRPr="002B08B6" w:rsidRDefault="007D401C" w:rsidP="00D92513">
      <w:pPr>
        <w:autoSpaceDE w:val="0"/>
        <w:autoSpaceDN w:val="0"/>
        <w:adjustRightInd w:val="0"/>
        <w:spacing w:line="360" w:lineRule="auto"/>
        <w:ind w:left="-567"/>
        <w:jc w:val="both"/>
        <w:rPr>
          <w:rFonts w:ascii="Arial" w:hAnsi="Arial" w:cs="Arial"/>
        </w:rPr>
      </w:pPr>
    </w:p>
    <w:p w14:paraId="1AEB5D09" w14:textId="77777777" w:rsidR="00D92513" w:rsidRPr="002B08B6" w:rsidRDefault="00D92513" w:rsidP="00D92513">
      <w:pPr>
        <w:autoSpaceDE w:val="0"/>
        <w:autoSpaceDN w:val="0"/>
        <w:adjustRightInd w:val="0"/>
        <w:spacing w:line="360" w:lineRule="auto"/>
        <w:ind w:left="-567"/>
        <w:jc w:val="both"/>
        <w:rPr>
          <w:rFonts w:ascii="Arial" w:hAnsi="Arial" w:cs="Arial"/>
        </w:rPr>
      </w:pPr>
      <w:r w:rsidRPr="002B08B6">
        <w:rPr>
          <w:rFonts w:ascii="Arial" w:hAnsi="Arial" w:cs="Arial"/>
        </w:rPr>
        <w:lastRenderedPageBreak/>
        <w:t xml:space="preserve">Actualmente este tratamiento diferenciado viene recogido en </w:t>
      </w:r>
      <w:r w:rsidRPr="002B08B6">
        <w:rPr>
          <w:rFonts w:ascii="Arial" w:hAnsi="Arial" w:cs="Arial"/>
          <w:b/>
        </w:rPr>
        <w:t>el artículo 14 de la Ley 5/2019, de 15 de marzo, reguladora de los contratos de crédito inmobiliario</w:t>
      </w:r>
      <w:r w:rsidRPr="002B08B6">
        <w:rPr>
          <w:rFonts w:ascii="Arial" w:hAnsi="Arial" w:cs="Arial"/>
        </w:rPr>
        <w:t xml:space="preserve">. Igualmente, hay que destacar que, conforme a esta nueva Ley, la comisión de apertura responde a </w:t>
      </w:r>
      <w:r w:rsidRPr="002B08B6">
        <w:rPr>
          <w:rFonts w:ascii="Arial" w:hAnsi="Arial" w:cs="Arial"/>
          <w:i/>
        </w:rPr>
        <w:t xml:space="preserve">gastos de estudio, tramitación o concesión del préstamo u otros similares inherentes a la actividad </w:t>
      </w:r>
      <w:proofErr w:type="gramStart"/>
      <w:r w:rsidRPr="002B08B6">
        <w:rPr>
          <w:rFonts w:ascii="Arial" w:hAnsi="Arial" w:cs="Arial"/>
          <w:i/>
        </w:rPr>
        <w:t>del prestamista ocasionada</w:t>
      </w:r>
      <w:proofErr w:type="gramEnd"/>
      <w:r w:rsidRPr="002B08B6">
        <w:rPr>
          <w:rFonts w:ascii="Arial" w:hAnsi="Arial" w:cs="Arial"/>
          <w:i/>
        </w:rPr>
        <w:t xml:space="preserve"> por la concesión del préstamo</w:t>
      </w:r>
      <w:r w:rsidRPr="002B08B6">
        <w:rPr>
          <w:rFonts w:ascii="Arial" w:hAnsi="Arial" w:cs="Arial"/>
        </w:rPr>
        <w:t>. Por lo que no incluye ningún otro tipo de gastos que no resulten inherentes a esa concesión.</w:t>
      </w:r>
    </w:p>
    <w:p w14:paraId="525CEAF3" w14:textId="77777777" w:rsidR="00D92513" w:rsidRPr="002B08B6" w:rsidRDefault="00D92513" w:rsidP="00D92513">
      <w:pPr>
        <w:autoSpaceDE w:val="0"/>
        <w:autoSpaceDN w:val="0"/>
        <w:adjustRightInd w:val="0"/>
        <w:spacing w:line="360" w:lineRule="auto"/>
        <w:ind w:left="-567"/>
        <w:jc w:val="both"/>
        <w:rPr>
          <w:rFonts w:ascii="Arial" w:hAnsi="Arial" w:cs="Arial"/>
        </w:rPr>
      </w:pPr>
    </w:p>
    <w:p w14:paraId="51AE58F6" w14:textId="77777777" w:rsidR="00D92513" w:rsidRPr="002B08B6" w:rsidRDefault="00D92513" w:rsidP="00D92513">
      <w:pPr>
        <w:autoSpaceDE w:val="0"/>
        <w:autoSpaceDN w:val="0"/>
        <w:adjustRightInd w:val="0"/>
        <w:spacing w:line="360" w:lineRule="auto"/>
        <w:ind w:left="-567"/>
        <w:jc w:val="both"/>
        <w:rPr>
          <w:rFonts w:ascii="Arial" w:hAnsi="Arial" w:cs="Arial"/>
          <w:b/>
          <w:lang w:val="es-ES_tradnl"/>
        </w:rPr>
      </w:pPr>
      <w:r w:rsidRPr="002B08B6">
        <w:rPr>
          <w:rFonts w:ascii="Arial" w:hAnsi="Arial" w:cs="Arial"/>
        </w:rPr>
        <w:t xml:space="preserve">Ahora bien, para declarar la validez de la cláusula de comisión de apertura, procede analizar la misma desde la perspectiva de la nueva jurisprudencia emanada de </w:t>
      </w:r>
      <w:r w:rsidRPr="002B08B6">
        <w:rPr>
          <w:rFonts w:ascii="Arial" w:hAnsi="Arial" w:cs="Arial"/>
          <w:b/>
        </w:rPr>
        <w:t>la</w:t>
      </w:r>
      <w:r w:rsidRPr="002B08B6">
        <w:rPr>
          <w:rFonts w:ascii="Arial" w:hAnsi="Arial" w:cs="Arial"/>
        </w:rPr>
        <w:t xml:space="preserve"> </w:t>
      </w:r>
      <w:r w:rsidRPr="002B08B6">
        <w:rPr>
          <w:rFonts w:ascii="Arial" w:hAnsi="Arial" w:cs="Arial"/>
          <w:b/>
          <w:lang w:val="es-ES_tradnl"/>
        </w:rPr>
        <w:t>Sentencia del Tribunal de Justicia de la Unión Europea de 16 de marzo de 2023, asunto C</w:t>
      </w:r>
      <w:r w:rsidRPr="002B08B6">
        <w:rPr>
          <w:rFonts w:ascii="Cambria Math" w:hAnsi="Cambria Math" w:cs="Cambria Math"/>
          <w:b/>
          <w:lang w:val="es-ES_tradnl"/>
        </w:rPr>
        <w:t>‑</w:t>
      </w:r>
      <w:r w:rsidRPr="002B08B6">
        <w:rPr>
          <w:rFonts w:ascii="Arial" w:hAnsi="Arial" w:cs="Arial"/>
          <w:b/>
          <w:lang w:val="es-ES_tradnl"/>
        </w:rPr>
        <w:t>565/21</w:t>
      </w:r>
      <w:r w:rsidRPr="002B08B6">
        <w:rPr>
          <w:rFonts w:ascii="Arial" w:hAnsi="Arial" w:cs="Arial"/>
          <w:lang w:val="es-ES_tradnl"/>
        </w:rPr>
        <w:t xml:space="preserve"> y de </w:t>
      </w:r>
      <w:r w:rsidRPr="002B08B6">
        <w:rPr>
          <w:rFonts w:ascii="Arial" w:hAnsi="Arial" w:cs="Arial"/>
          <w:b/>
          <w:lang w:val="es-ES_tradnl"/>
        </w:rPr>
        <w:t>la</w:t>
      </w:r>
      <w:r w:rsidRPr="002B08B6">
        <w:rPr>
          <w:rFonts w:ascii="Arial" w:hAnsi="Arial" w:cs="Arial"/>
          <w:lang w:val="es-ES_tradnl"/>
        </w:rPr>
        <w:t xml:space="preserve"> </w:t>
      </w:r>
      <w:r w:rsidRPr="002B08B6">
        <w:rPr>
          <w:rFonts w:ascii="Arial" w:hAnsi="Arial" w:cs="Arial"/>
          <w:b/>
        </w:rPr>
        <w:t xml:space="preserve">Sentencia núm. 816/2023 del Tribunal Supremo, </w:t>
      </w:r>
      <w:r w:rsidRPr="002B08B6">
        <w:rPr>
          <w:rFonts w:ascii="Arial" w:hAnsi="Arial" w:cs="Arial"/>
          <w:b/>
          <w:lang w:val="es-ES_tradnl"/>
        </w:rPr>
        <w:t>Sala de lo Civil, de 29 de mayo.</w:t>
      </w:r>
    </w:p>
    <w:p w14:paraId="2897AE16" w14:textId="77777777" w:rsidR="00D92513" w:rsidRPr="002B08B6" w:rsidRDefault="00D92513" w:rsidP="00D92513">
      <w:pPr>
        <w:autoSpaceDE w:val="0"/>
        <w:autoSpaceDN w:val="0"/>
        <w:adjustRightInd w:val="0"/>
        <w:spacing w:line="360" w:lineRule="auto"/>
        <w:ind w:left="-567"/>
        <w:jc w:val="both"/>
        <w:rPr>
          <w:rFonts w:ascii="Arial" w:hAnsi="Arial" w:cs="Arial"/>
          <w:b/>
          <w:lang w:val="es-ES_tradnl"/>
        </w:rPr>
      </w:pPr>
    </w:p>
    <w:p w14:paraId="5DFE37DD" w14:textId="77777777" w:rsidR="00D92513" w:rsidRPr="00CE4532" w:rsidRDefault="00D92513" w:rsidP="00D92513">
      <w:pPr>
        <w:autoSpaceDE w:val="0"/>
        <w:autoSpaceDN w:val="0"/>
        <w:adjustRightInd w:val="0"/>
        <w:spacing w:line="360" w:lineRule="auto"/>
        <w:ind w:left="-567"/>
        <w:jc w:val="both"/>
        <w:rPr>
          <w:rFonts w:ascii="Arial" w:hAnsi="Arial" w:cs="Arial"/>
        </w:rPr>
      </w:pPr>
      <w:r w:rsidRPr="00CE4532">
        <w:rPr>
          <w:rFonts w:ascii="Arial" w:hAnsi="Arial" w:cs="Arial"/>
          <w:lang w:val="es-ES_tradnl"/>
        </w:rPr>
        <w:t xml:space="preserve">En primer lugar, </w:t>
      </w:r>
      <w:r w:rsidRPr="00CE4532">
        <w:rPr>
          <w:rFonts w:ascii="Arial" w:hAnsi="Arial" w:cs="Arial"/>
        </w:rPr>
        <w:t xml:space="preserve">la </w:t>
      </w:r>
      <w:r w:rsidRPr="00CE4532">
        <w:rPr>
          <w:rFonts w:ascii="Arial" w:hAnsi="Arial" w:cs="Arial"/>
          <w:lang w:val="es-ES_tradnl"/>
        </w:rPr>
        <w:t>Sentencia del Tribunal de Justicia de la Unión Europea de 16 de marzo de 2023, asunto C</w:t>
      </w:r>
      <w:r w:rsidRPr="00CE4532">
        <w:rPr>
          <w:rFonts w:ascii="Cambria Math" w:hAnsi="Cambria Math" w:cs="Cambria Math"/>
          <w:lang w:val="es-ES_tradnl"/>
        </w:rPr>
        <w:t>‑</w:t>
      </w:r>
      <w:r w:rsidRPr="00CE4532">
        <w:rPr>
          <w:rFonts w:ascii="Arial" w:hAnsi="Arial" w:cs="Arial"/>
          <w:lang w:val="es-ES_tradnl"/>
        </w:rPr>
        <w:t xml:space="preserve">565/21, descarta que la comisión de apertura forme parte del objeto principal del contrato y ello por cuanto sostiene un concepto estricto del término “elemento esencial del contrato”, al considerar únicamente como tal el interés remuneratorio. Por consiguiente, el Tribunal Supremo modifica su jurisprudencia en esta </w:t>
      </w:r>
      <w:r w:rsidRPr="00CE4532">
        <w:rPr>
          <w:rFonts w:ascii="Arial" w:hAnsi="Arial" w:cs="Arial"/>
        </w:rPr>
        <w:t>Sentencia núm. 816/2023:</w:t>
      </w:r>
    </w:p>
    <w:p w14:paraId="7CB20A20" w14:textId="77777777" w:rsidR="00D92513" w:rsidRPr="002B08B6" w:rsidRDefault="00D92513" w:rsidP="00D92513">
      <w:pPr>
        <w:autoSpaceDE w:val="0"/>
        <w:autoSpaceDN w:val="0"/>
        <w:adjustRightInd w:val="0"/>
        <w:spacing w:line="360" w:lineRule="auto"/>
        <w:ind w:left="-567"/>
        <w:jc w:val="both"/>
        <w:rPr>
          <w:rFonts w:ascii="Arial" w:hAnsi="Arial" w:cs="Arial"/>
        </w:rPr>
      </w:pPr>
    </w:p>
    <w:p w14:paraId="553B5C98" w14:textId="77777777" w:rsidR="00D92513" w:rsidRPr="00D72D01" w:rsidRDefault="00D92513" w:rsidP="00D92513">
      <w:pPr>
        <w:autoSpaceDE w:val="0"/>
        <w:autoSpaceDN w:val="0"/>
        <w:adjustRightInd w:val="0"/>
        <w:spacing w:line="360" w:lineRule="auto"/>
        <w:ind w:left="513"/>
        <w:jc w:val="both"/>
        <w:rPr>
          <w:rFonts w:ascii="Arial" w:hAnsi="Arial" w:cs="Arial"/>
          <w:i/>
        </w:rPr>
      </w:pPr>
      <w:r>
        <w:rPr>
          <w:rFonts w:ascii="Arial" w:hAnsi="Arial" w:cs="Arial"/>
          <w:i/>
        </w:rPr>
        <w:t xml:space="preserve">[…] </w:t>
      </w:r>
      <w:r w:rsidRPr="00D72D01">
        <w:rPr>
          <w:rFonts w:ascii="Arial" w:hAnsi="Arial" w:cs="Arial"/>
          <w:i/>
        </w:rPr>
        <w:t>considerar únicamente como tal el interés remuneratorio. Por lo que en este particular nuestra jurisprudencia debe ser modificada, en el sentido de que, al no formar parte la comisión de apertura de los elementos esenciales del contrato, en los términos del art. 4.2 de la Directiva 93/13/CEE, de 5 de abril, sobre cláusulas abusivas en los contratos con consumidores, puede ser objeto de control de contenido (</w:t>
      </w:r>
      <w:proofErr w:type="spellStart"/>
      <w:r w:rsidRPr="00D72D01">
        <w:rPr>
          <w:rFonts w:ascii="Arial" w:hAnsi="Arial" w:cs="Arial"/>
          <w:i/>
        </w:rPr>
        <w:t>abusividad</w:t>
      </w:r>
      <w:proofErr w:type="spellEnd"/>
      <w:r w:rsidRPr="00D72D01">
        <w:rPr>
          <w:rFonts w:ascii="Arial" w:hAnsi="Arial" w:cs="Arial"/>
          <w:i/>
        </w:rPr>
        <w:t>) aunque sea transparente.</w:t>
      </w:r>
    </w:p>
    <w:p w14:paraId="615C0D81" w14:textId="77777777" w:rsidR="00D92513" w:rsidRPr="002B08B6" w:rsidRDefault="00D92513" w:rsidP="00D92513">
      <w:pPr>
        <w:autoSpaceDE w:val="0"/>
        <w:autoSpaceDN w:val="0"/>
        <w:adjustRightInd w:val="0"/>
        <w:spacing w:line="360" w:lineRule="auto"/>
        <w:ind w:left="-567"/>
        <w:jc w:val="center"/>
        <w:rPr>
          <w:rFonts w:ascii="Arial" w:hAnsi="Arial" w:cs="Arial"/>
          <w:noProof/>
        </w:rPr>
      </w:pPr>
    </w:p>
    <w:p w14:paraId="237F0959" w14:textId="77777777" w:rsidR="00D92513" w:rsidRPr="002B08B6" w:rsidRDefault="00D92513" w:rsidP="00D92513">
      <w:pPr>
        <w:autoSpaceDE w:val="0"/>
        <w:autoSpaceDN w:val="0"/>
        <w:adjustRightInd w:val="0"/>
        <w:spacing w:line="360" w:lineRule="auto"/>
        <w:ind w:left="-567"/>
        <w:jc w:val="both"/>
        <w:rPr>
          <w:rFonts w:ascii="Arial" w:hAnsi="Arial" w:cs="Arial"/>
          <w:lang w:val="es-ES_tradnl"/>
        </w:rPr>
      </w:pPr>
      <w:r w:rsidRPr="00CE4532">
        <w:rPr>
          <w:rFonts w:ascii="Arial" w:hAnsi="Arial" w:cs="Arial"/>
          <w:lang w:val="es-ES_tradnl"/>
        </w:rPr>
        <w:t xml:space="preserve">En segundo lugar, </w:t>
      </w:r>
      <w:r w:rsidRPr="00CE4532">
        <w:rPr>
          <w:rFonts w:ascii="Arial" w:hAnsi="Arial" w:cs="Arial"/>
        </w:rPr>
        <w:t xml:space="preserve">la </w:t>
      </w:r>
      <w:r w:rsidRPr="00CE4532">
        <w:rPr>
          <w:rFonts w:ascii="Arial" w:hAnsi="Arial" w:cs="Arial"/>
          <w:lang w:val="es-ES_tradnl"/>
        </w:rPr>
        <w:t>Sentencia del Tribunal de Justicia de la Unión Europea de 16 de marzo de 2023, asunto C</w:t>
      </w:r>
      <w:r w:rsidRPr="00CE4532">
        <w:rPr>
          <w:rFonts w:ascii="Cambria Math" w:hAnsi="Cambria Math" w:cs="Cambria Math"/>
          <w:lang w:val="es-ES_tradnl"/>
        </w:rPr>
        <w:t>‑</w:t>
      </w:r>
      <w:r w:rsidRPr="00CE4532">
        <w:rPr>
          <w:rFonts w:ascii="Arial" w:hAnsi="Arial" w:cs="Arial"/>
          <w:lang w:val="es-ES_tradnl"/>
        </w:rPr>
        <w:t>565/21, especifica cuáles son los elementos que debe comprobar el juez nacional para concluir que la cláusula que establece la comisión de apertura de un préstamo hipotecario es clara y</w:t>
      </w:r>
      <w:r w:rsidRPr="002B08B6">
        <w:rPr>
          <w:rFonts w:ascii="Arial" w:hAnsi="Arial" w:cs="Arial"/>
          <w:lang w:val="es-ES_tradnl"/>
        </w:rPr>
        <w:t xml:space="preserve"> comprensible, en cuanto a sus consecuencias jurídicas y económicas, como requisito previo de transparencia para su licitud. Enumerando las condiciones, serían las siguientes:</w:t>
      </w:r>
    </w:p>
    <w:p w14:paraId="5B965BFE" w14:textId="77777777" w:rsidR="00D92513" w:rsidRPr="002B08B6" w:rsidRDefault="00D92513" w:rsidP="00D92513">
      <w:pPr>
        <w:autoSpaceDE w:val="0"/>
        <w:autoSpaceDN w:val="0"/>
        <w:adjustRightInd w:val="0"/>
        <w:spacing w:line="360" w:lineRule="auto"/>
        <w:ind w:left="-567"/>
        <w:jc w:val="both"/>
        <w:rPr>
          <w:rFonts w:ascii="Arial" w:hAnsi="Arial" w:cs="Arial"/>
        </w:rPr>
      </w:pPr>
    </w:p>
    <w:p w14:paraId="3254161C" w14:textId="77777777" w:rsidR="00D92513" w:rsidRPr="002B08B6" w:rsidRDefault="00D92513" w:rsidP="00D92513">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t>Que permita evaluar las consecuencias económicas que se derivan para el consumidor, pudiendo entender la naturaleza de los servicios proporcionados como contrapartida.</w:t>
      </w:r>
    </w:p>
    <w:p w14:paraId="5EE10D28" w14:textId="77777777" w:rsidR="00D92513" w:rsidRPr="002B08B6" w:rsidRDefault="00D92513" w:rsidP="00D92513">
      <w:pPr>
        <w:autoSpaceDE w:val="0"/>
        <w:autoSpaceDN w:val="0"/>
        <w:adjustRightInd w:val="0"/>
        <w:spacing w:line="360" w:lineRule="auto"/>
        <w:ind w:left="513"/>
        <w:jc w:val="both"/>
        <w:rPr>
          <w:rFonts w:ascii="Arial" w:hAnsi="Arial" w:cs="Arial"/>
        </w:rPr>
      </w:pPr>
    </w:p>
    <w:p w14:paraId="7AC2A154" w14:textId="77777777" w:rsidR="00D92513" w:rsidRPr="002B08B6" w:rsidRDefault="00D92513" w:rsidP="00D92513">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t>Que no haya solapamiento entre los distintos gastos previstos en el contrato o entre los servicios que estos retribuyen.</w:t>
      </w:r>
    </w:p>
    <w:p w14:paraId="17B3FFA4" w14:textId="77777777" w:rsidR="00D92513" w:rsidRPr="002B08B6" w:rsidRDefault="00D92513" w:rsidP="00D92513">
      <w:pPr>
        <w:autoSpaceDE w:val="0"/>
        <w:autoSpaceDN w:val="0"/>
        <w:adjustRightInd w:val="0"/>
        <w:spacing w:line="360" w:lineRule="auto"/>
        <w:ind w:left="513"/>
        <w:jc w:val="both"/>
        <w:rPr>
          <w:rFonts w:ascii="Arial" w:hAnsi="Arial" w:cs="Arial"/>
        </w:rPr>
      </w:pPr>
    </w:p>
    <w:p w14:paraId="415AE584" w14:textId="1517BAA6" w:rsidR="00D92513" w:rsidRPr="007D401C" w:rsidRDefault="00D92513" w:rsidP="007D401C">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t>Comprobar que la entidad financiera ha suministrado la información obligatoria conforme a la normativa nacional y si la ha incluido en su oferta o publicidad previa en relación con el tipo de contrato suscrito.</w:t>
      </w:r>
    </w:p>
    <w:p w14:paraId="5723D1E4" w14:textId="77777777" w:rsidR="00D92513" w:rsidRPr="002B08B6" w:rsidRDefault="00D92513" w:rsidP="00D92513">
      <w:pPr>
        <w:widowControl/>
        <w:numPr>
          <w:ilvl w:val="0"/>
          <w:numId w:val="28"/>
        </w:numPr>
        <w:autoSpaceDE w:val="0"/>
        <w:autoSpaceDN w:val="0"/>
        <w:adjustRightInd w:val="0"/>
        <w:spacing w:line="360" w:lineRule="auto"/>
        <w:jc w:val="both"/>
        <w:rPr>
          <w:rFonts w:ascii="Arial" w:hAnsi="Arial" w:cs="Arial"/>
        </w:rPr>
      </w:pPr>
      <w:r w:rsidRPr="002B08B6">
        <w:rPr>
          <w:rFonts w:ascii="Arial" w:hAnsi="Arial" w:cs="Arial"/>
        </w:rPr>
        <w:lastRenderedPageBreak/>
        <w:t>Valorar la especial atención que el consumidor medio presta a una cláusula de este tipo, en la medida en que estipula el pago íntegro de una cantidad sustancial desde el momento de la concesión del préstamo.</w:t>
      </w:r>
    </w:p>
    <w:p w14:paraId="143808F9" w14:textId="77777777" w:rsidR="00D92513" w:rsidRPr="002B08B6" w:rsidRDefault="00D92513" w:rsidP="00D92513">
      <w:pPr>
        <w:autoSpaceDE w:val="0"/>
        <w:autoSpaceDN w:val="0"/>
        <w:adjustRightInd w:val="0"/>
        <w:spacing w:line="360" w:lineRule="auto"/>
        <w:jc w:val="both"/>
        <w:rPr>
          <w:rFonts w:ascii="Arial" w:hAnsi="Arial" w:cs="Arial"/>
        </w:rPr>
      </w:pPr>
    </w:p>
    <w:p w14:paraId="44BCF693" w14:textId="77777777" w:rsidR="00D92513" w:rsidRPr="00CE4532" w:rsidRDefault="00D92513" w:rsidP="00D92513">
      <w:pPr>
        <w:autoSpaceDE w:val="0"/>
        <w:autoSpaceDN w:val="0"/>
        <w:adjustRightInd w:val="0"/>
        <w:spacing w:line="360" w:lineRule="auto"/>
        <w:ind w:left="-567"/>
        <w:jc w:val="both"/>
        <w:rPr>
          <w:rFonts w:ascii="Arial" w:hAnsi="Arial" w:cs="Arial"/>
          <w:lang w:val="es-ES_tradnl"/>
        </w:rPr>
      </w:pPr>
      <w:r w:rsidRPr="00CE4532">
        <w:rPr>
          <w:rFonts w:ascii="Arial" w:hAnsi="Arial" w:cs="Arial"/>
        </w:rPr>
        <w:t xml:space="preserve">Para poder verificar que tales elementos se cumplen, la </w:t>
      </w:r>
      <w:r w:rsidRPr="00CE4532">
        <w:rPr>
          <w:rFonts w:ascii="Arial" w:hAnsi="Arial" w:cs="Arial"/>
          <w:lang w:val="es-ES_tradnl"/>
        </w:rPr>
        <w:t>Sentencia del Tribunal de Justicia de la Unión Europea de 16 de marzo de 2023, asunto C</w:t>
      </w:r>
      <w:r w:rsidRPr="00CE4532">
        <w:rPr>
          <w:rFonts w:ascii="Cambria Math" w:hAnsi="Cambria Math" w:cs="Cambria Math"/>
          <w:lang w:val="es-ES_tradnl"/>
        </w:rPr>
        <w:t>‑</w:t>
      </w:r>
      <w:r w:rsidRPr="00CE4532">
        <w:rPr>
          <w:rFonts w:ascii="Arial" w:hAnsi="Arial" w:cs="Arial"/>
          <w:lang w:val="es-ES_tradnl"/>
        </w:rPr>
        <w:t xml:space="preserve">565/21 proporciona diversos instrumentos de comprobación, instrumentos que la </w:t>
      </w:r>
      <w:r w:rsidRPr="00CE4532">
        <w:rPr>
          <w:rFonts w:ascii="Arial" w:hAnsi="Arial" w:cs="Arial"/>
        </w:rPr>
        <w:t xml:space="preserve">Sentencia núm. 816/2023 del Tribunal Supremo, </w:t>
      </w:r>
      <w:r w:rsidRPr="00CE4532">
        <w:rPr>
          <w:rFonts w:ascii="Arial" w:hAnsi="Arial" w:cs="Arial"/>
          <w:lang w:val="es-ES_tradnl"/>
        </w:rPr>
        <w:t>Sala de lo Civil, de 29 de mayo, en su apartado 3 del Fundamento de Derecho Séptimo, lista:</w:t>
      </w:r>
    </w:p>
    <w:p w14:paraId="204C2F22" w14:textId="77777777" w:rsidR="00D92513" w:rsidRPr="002B08B6" w:rsidRDefault="00D92513" w:rsidP="00D92513">
      <w:pPr>
        <w:autoSpaceDE w:val="0"/>
        <w:autoSpaceDN w:val="0"/>
        <w:adjustRightInd w:val="0"/>
        <w:spacing w:line="360" w:lineRule="auto"/>
        <w:jc w:val="both"/>
        <w:rPr>
          <w:rFonts w:ascii="Arial" w:hAnsi="Arial" w:cs="Arial"/>
          <w:lang w:val="es-ES_tradnl"/>
        </w:rPr>
      </w:pPr>
    </w:p>
    <w:p w14:paraId="25B8FB01" w14:textId="77777777" w:rsidR="00D92513" w:rsidRDefault="00D92513" w:rsidP="00D92513">
      <w:pPr>
        <w:autoSpaceDE w:val="0"/>
        <w:autoSpaceDN w:val="0"/>
        <w:adjustRightInd w:val="0"/>
        <w:spacing w:line="360" w:lineRule="auto"/>
        <w:ind w:left="513"/>
        <w:jc w:val="both"/>
        <w:rPr>
          <w:rFonts w:ascii="Arial" w:hAnsi="Arial" w:cs="Arial"/>
          <w:i/>
        </w:rPr>
      </w:pPr>
      <w:r w:rsidRPr="00662DA8">
        <w:rPr>
          <w:rFonts w:ascii="Arial" w:hAnsi="Arial" w:cs="Arial"/>
          <w:i/>
        </w:rPr>
        <w:t xml:space="preserve">3.- A fin de constatar tales elementos, la STJUE facilita diversos instrumentos de comprobación: </w:t>
      </w:r>
    </w:p>
    <w:p w14:paraId="44820C10" w14:textId="77777777" w:rsidR="00D92513" w:rsidRPr="00662DA8" w:rsidRDefault="00D92513" w:rsidP="00D92513">
      <w:pPr>
        <w:autoSpaceDE w:val="0"/>
        <w:autoSpaceDN w:val="0"/>
        <w:adjustRightInd w:val="0"/>
        <w:spacing w:line="360" w:lineRule="auto"/>
        <w:ind w:left="513"/>
        <w:jc w:val="both"/>
        <w:rPr>
          <w:rFonts w:ascii="Arial" w:hAnsi="Arial" w:cs="Arial"/>
          <w:i/>
        </w:rPr>
      </w:pPr>
    </w:p>
    <w:p w14:paraId="4C158C37" w14:textId="77777777" w:rsidR="00D92513" w:rsidRDefault="00D92513" w:rsidP="00D92513">
      <w:pPr>
        <w:autoSpaceDE w:val="0"/>
        <w:autoSpaceDN w:val="0"/>
        <w:adjustRightInd w:val="0"/>
        <w:spacing w:line="360" w:lineRule="auto"/>
        <w:ind w:left="708"/>
        <w:jc w:val="both"/>
        <w:rPr>
          <w:rFonts w:ascii="Arial" w:hAnsi="Arial" w:cs="Arial"/>
          <w:i/>
        </w:rPr>
      </w:pPr>
      <w:r w:rsidRPr="00662DA8">
        <w:rPr>
          <w:rFonts w:ascii="Arial" w:hAnsi="Arial" w:cs="Arial"/>
          <w:i/>
        </w:rPr>
        <w:t xml:space="preserve">(i) A los efectos de que el prestatario pueda ser consciente de la carga económica de la comisión de apertura, el prestamista no tiene obligación de precisar en el contrato la naturaleza de todos los servicios proporcionados como contrapartida de la comisión de apertura, pero la naturaleza de tales servicios debe poder entenderse razonablemente o deducirse del contrato en su conjunto (apartado 32). </w:t>
      </w:r>
    </w:p>
    <w:p w14:paraId="71B101FA" w14:textId="77777777" w:rsidR="00D92513" w:rsidRPr="00662DA8" w:rsidRDefault="00D92513" w:rsidP="00D92513">
      <w:pPr>
        <w:autoSpaceDE w:val="0"/>
        <w:autoSpaceDN w:val="0"/>
        <w:adjustRightInd w:val="0"/>
        <w:spacing w:line="360" w:lineRule="auto"/>
        <w:ind w:left="708"/>
        <w:jc w:val="both"/>
        <w:rPr>
          <w:rFonts w:ascii="Arial" w:hAnsi="Arial" w:cs="Arial"/>
          <w:i/>
        </w:rPr>
      </w:pPr>
    </w:p>
    <w:p w14:paraId="2EA5D885" w14:textId="77777777" w:rsidR="00D92513" w:rsidRDefault="00D92513" w:rsidP="00D92513">
      <w:pPr>
        <w:autoSpaceDE w:val="0"/>
        <w:autoSpaceDN w:val="0"/>
        <w:adjustRightInd w:val="0"/>
        <w:spacing w:line="360" w:lineRule="auto"/>
        <w:ind w:left="708"/>
        <w:jc w:val="both"/>
        <w:rPr>
          <w:rFonts w:ascii="Arial" w:hAnsi="Arial" w:cs="Arial"/>
          <w:i/>
        </w:rPr>
      </w:pPr>
      <w:r w:rsidRPr="002B08B6">
        <w:rPr>
          <w:rFonts w:ascii="Arial" w:hAnsi="Arial" w:cs="Arial"/>
          <w:i/>
        </w:rPr>
        <w:t>(</w:t>
      </w:r>
      <w:proofErr w:type="spellStart"/>
      <w:r w:rsidRPr="002B08B6">
        <w:rPr>
          <w:rFonts w:ascii="Arial" w:hAnsi="Arial" w:cs="Arial"/>
          <w:i/>
        </w:rPr>
        <w:t>ii</w:t>
      </w:r>
      <w:proofErr w:type="spellEnd"/>
      <w:r w:rsidRPr="002B08B6">
        <w:rPr>
          <w:rFonts w:ascii="Arial" w:hAnsi="Arial" w:cs="Arial"/>
          <w:i/>
        </w:rPr>
        <w:t xml:space="preserve">) En concordancia con el control de transparencia que se realiza respecto de otras cláusulas contractuales, conforme a la propia jurisprudencia del TJUE, ha de darse especial relevancia a la información que la entidad financiera debe ofrecer preceptivamente conforme a la normativa nacional, como la publicidad ofrecida sobre esa modalidad contractual (apartados 42 y 43). Más específicamente, el apartado 35 precisa: </w:t>
      </w:r>
    </w:p>
    <w:p w14:paraId="2B70342B" w14:textId="77777777" w:rsidR="00D92513" w:rsidRPr="002B08B6" w:rsidRDefault="00D92513" w:rsidP="00D92513">
      <w:pPr>
        <w:autoSpaceDE w:val="0"/>
        <w:autoSpaceDN w:val="0"/>
        <w:adjustRightInd w:val="0"/>
        <w:spacing w:line="360" w:lineRule="auto"/>
        <w:ind w:left="708"/>
        <w:jc w:val="both"/>
        <w:rPr>
          <w:rFonts w:ascii="Arial" w:hAnsi="Arial" w:cs="Arial"/>
          <w:i/>
        </w:rPr>
      </w:pPr>
    </w:p>
    <w:p w14:paraId="0A8E24E6" w14:textId="77777777" w:rsidR="00D92513" w:rsidRDefault="00D92513" w:rsidP="00D92513">
      <w:pPr>
        <w:autoSpaceDE w:val="0"/>
        <w:autoSpaceDN w:val="0"/>
        <w:adjustRightInd w:val="0"/>
        <w:spacing w:line="360" w:lineRule="auto"/>
        <w:ind w:left="1416"/>
        <w:jc w:val="both"/>
        <w:rPr>
          <w:rFonts w:ascii="Arial" w:hAnsi="Arial" w:cs="Arial"/>
          <w:i/>
          <w:sz w:val="18"/>
        </w:rPr>
      </w:pPr>
      <w:r w:rsidRPr="00662DA8">
        <w:rPr>
          <w:rFonts w:ascii="Arial" w:hAnsi="Arial" w:cs="Arial"/>
          <w:i/>
          <w:sz w:val="18"/>
        </w:rPr>
        <w:t>«[i]</w:t>
      </w:r>
      <w:proofErr w:type="spellStart"/>
      <w:r w:rsidRPr="00662DA8">
        <w:rPr>
          <w:rFonts w:ascii="Arial" w:hAnsi="Arial" w:cs="Arial"/>
          <w:i/>
          <w:sz w:val="18"/>
        </w:rPr>
        <w:t>ncumbe</w:t>
      </w:r>
      <w:proofErr w:type="spellEnd"/>
      <w:r w:rsidRPr="00662DA8">
        <w:rPr>
          <w:rFonts w:ascii="Arial" w:hAnsi="Arial" w:cs="Arial"/>
          <w:i/>
          <w:sz w:val="18"/>
        </w:rPr>
        <w:t xml:space="preserve"> al juez nacional comprobar si la entidad financiera ha comunicado al consumidor elementos suficientes para que este adquiera conocimiento del contenido y del funcionamiento de la cláusula que le impone el pago de la comisión de apertura, así como de su función dentro del contrato de préstamo. De este modo, el consumidor tendrá conocimiento de los motivos que justifican la retribución correspondiente a esta comisión (véase, por analogía, la sentencia de 26 de febrero de 2015, </w:t>
      </w:r>
      <w:proofErr w:type="spellStart"/>
      <w:r w:rsidRPr="00662DA8">
        <w:rPr>
          <w:rFonts w:ascii="Arial" w:hAnsi="Arial" w:cs="Arial"/>
          <w:i/>
          <w:sz w:val="18"/>
        </w:rPr>
        <w:t>Matei</w:t>
      </w:r>
      <w:proofErr w:type="spellEnd"/>
      <w:r w:rsidRPr="00662DA8">
        <w:rPr>
          <w:rFonts w:ascii="Arial" w:hAnsi="Arial" w:cs="Arial"/>
          <w:i/>
          <w:sz w:val="18"/>
        </w:rPr>
        <w:t xml:space="preserve">, C-143/13, EU:C:2015:127, apartado 77) y podrá, así, valorar el alcance de su compromiso y, en particular, el coste total de dicho contrato». </w:t>
      </w:r>
    </w:p>
    <w:p w14:paraId="0A2A45C7" w14:textId="77777777" w:rsidR="00D92513" w:rsidRPr="00662DA8" w:rsidRDefault="00D92513" w:rsidP="00D92513">
      <w:pPr>
        <w:autoSpaceDE w:val="0"/>
        <w:autoSpaceDN w:val="0"/>
        <w:adjustRightInd w:val="0"/>
        <w:spacing w:line="360" w:lineRule="auto"/>
        <w:ind w:left="1416"/>
        <w:jc w:val="both"/>
        <w:rPr>
          <w:rFonts w:ascii="Arial" w:hAnsi="Arial" w:cs="Arial"/>
          <w:i/>
          <w:sz w:val="18"/>
        </w:rPr>
      </w:pPr>
    </w:p>
    <w:p w14:paraId="12C39BF1" w14:textId="77777777" w:rsidR="00D92513" w:rsidRPr="00662DA8" w:rsidRDefault="00D92513" w:rsidP="00D92513">
      <w:pPr>
        <w:autoSpaceDE w:val="0"/>
        <w:autoSpaceDN w:val="0"/>
        <w:adjustRightInd w:val="0"/>
        <w:spacing w:line="360" w:lineRule="auto"/>
        <w:ind w:left="708"/>
        <w:jc w:val="both"/>
        <w:rPr>
          <w:rFonts w:ascii="Arial" w:hAnsi="Arial" w:cs="Arial"/>
          <w:i/>
        </w:rPr>
      </w:pPr>
      <w:r w:rsidRPr="00662DA8">
        <w:rPr>
          <w:rFonts w:ascii="Arial" w:hAnsi="Arial" w:cs="Arial"/>
          <w:i/>
        </w:rPr>
        <w:t>(</w:t>
      </w:r>
      <w:proofErr w:type="spellStart"/>
      <w:r w:rsidRPr="00662DA8">
        <w:rPr>
          <w:rFonts w:ascii="Arial" w:hAnsi="Arial" w:cs="Arial"/>
          <w:i/>
        </w:rPr>
        <w:t>iii</w:t>
      </w:r>
      <w:proofErr w:type="spellEnd"/>
      <w:r w:rsidRPr="00662DA8">
        <w:rPr>
          <w:rFonts w:ascii="Arial" w:hAnsi="Arial" w:cs="Arial"/>
          <w:i/>
        </w:rPr>
        <w:t xml:space="preserve">) De dicha información, el juez debe poder deducir que el prestatario está en condiciones de evaluar las consecuencias económicas derivadas de la cláusula y de entender la naturaleza de los servicios proporcionados como contrapartida. </w:t>
      </w:r>
    </w:p>
    <w:p w14:paraId="75422C50" w14:textId="77777777" w:rsidR="00D92513" w:rsidRPr="002B08B6" w:rsidRDefault="00D92513" w:rsidP="00D92513">
      <w:pPr>
        <w:autoSpaceDE w:val="0"/>
        <w:autoSpaceDN w:val="0"/>
        <w:adjustRightInd w:val="0"/>
        <w:spacing w:line="360" w:lineRule="auto"/>
        <w:ind w:left="708"/>
        <w:jc w:val="both"/>
        <w:rPr>
          <w:rFonts w:ascii="Arial" w:hAnsi="Arial" w:cs="Arial"/>
          <w:i/>
        </w:rPr>
      </w:pPr>
      <w:r w:rsidRPr="002B08B6">
        <w:rPr>
          <w:rFonts w:ascii="Arial" w:hAnsi="Arial" w:cs="Arial"/>
          <w:i/>
        </w:rPr>
        <w:t>(</w:t>
      </w:r>
      <w:proofErr w:type="spellStart"/>
      <w:r w:rsidRPr="002B08B6">
        <w:rPr>
          <w:rFonts w:ascii="Arial" w:hAnsi="Arial" w:cs="Arial"/>
          <w:i/>
        </w:rPr>
        <w:t>iv</w:t>
      </w:r>
      <w:proofErr w:type="spellEnd"/>
      <w:r w:rsidRPr="002B08B6">
        <w:rPr>
          <w:rFonts w:ascii="Arial" w:hAnsi="Arial" w:cs="Arial"/>
          <w:i/>
        </w:rPr>
        <w:t>) También ha de valorarse la ubicación y estructura de la cláusula en el contrato (apartado 46).</w:t>
      </w:r>
    </w:p>
    <w:p w14:paraId="06AAE902" w14:textId="77777777" w:rsidR="00D92513" w:rsidRDefault="00D92513" w:rsidP="00D92513">
      <w:pPr>
        <w:autoSpaceDE w:val="0"/>
        <w:autoSpaceDN w:val="0"/>
        <w:adjustRightInd w:val="0"/>
        <w:spacing w:line="360" w:lineRule="auto"/>
        <w:jc w:val="both"/>
        <w:rPr>
          <w:rFonts w:ascii="Arial" w:hAnsi="Arial" w:cs="Arial"/>
          <w:lang w:val="es-ES_tradnl"/>
        </w:rPr>
      </w:pPr>
    </w:p>
    <w:p w14:paraId="646E28A6" w14:textId="77777777" w:rsidR="007D401C" w:rsidRPr="002B08B6" w:rsidRDefault="007D401C" w:rsidP="00D92513">
      <w:pPr>
        <w:autoSpaceDE w:val="0"/>
        <w:autoSpaceDN w:val="0"/>
        <w:adjustRightInd w:val="0"/>
        <w:spacing w:line="360" w:lineRule="auto"/>
        <w:jc w:val="both"/>
        <w:rPr>
          <w:rFonts w:ascii="Arial" w:hAnsi="Arial" w:cs="Arial"/>
          <w:lang w:val="es-ES_tradnl"/>
        </w:rPr>
      </w:pPr>
    </w:p>
    <w:p w14:paraId="65B9B396" w14:textId="658202A4" w:rsidR="00D92513" w:rsidRPr="002B08B6" w:rsidRDefault="00D92513" w:rsidP="00D92513">
      <w:pPr>
        <w:spacing w:line="360" w:lineRule="auto"/>
        <w:ind w:left="-567" w:right="140"/>
        <w:jc w:val="both"/>
        <w:rPr>
          <w:rFonts w:ascii="Arial" w:hAnsi="Arial" w:cs="Arial"/>
        </w:rPr>
      </w:pPr>
      <w:r w:rsidRPr="002B08B6">
        <w:rPr>
          <w:rFonts w:ascii="Arial" w:hAnsi="Arial" w:cs="Arial"/>
        </w:rPr>
        <w:lastRenderedPageBreak/>
        <w:t>En base a las alega</w:t>
      </w:r>
      <w:r w:rsidRPr="00D92513">
        <w:rPr>
          <w:rFonts w:ascii="Arial" w:hAnsi="Arial" w:cs="Arial"/>
        </w:rPr>
        <w:t>ciones, motivos y pruebas desarrolladas en la presente contestación, no cabe más que afirmar que la cláusula de comisión de apertura recogida en la escritura de préstamo hipotecario es transparente</w:t>
      </w:r>
      <w:r w:rsidRPr="002B08B6">
        <w:rPr>
          <w:rFonts w:ascii="Arial" w:hAnsi="Arial" w:cs="Arial"/>
        </w:rPr>
        <w:t xml:space="preserve"> y ello por cuanto que todos los parámetros para determinar la transparencia de la cláusula se cumplen.</w:t>
      </w:r>
    </w:p>
    <w:p w14:paraId="202B74BC" w14:textId="77777777" w:rsidR="00D92513" w:rsidRPr="002B08B6" w:rsidRDefault="00D92513" w:rsidP="00D92513">
      <w:pPr>
        <w:spacing w:line="360" w:lineRule="auto"/>
        <w:ind w:left="-567" w:right="140"/>
        <w:jc w:val="both"/>
        <w:rPr>
          <w:rFonts w:ascii="Arial" w:hAnsi="Arial" w:cs="Arial"/>
        </w:rPr>
      </w:pPr>
    </w:p>
    <w:p w14:paraId="3E2A11B6" w14:textId="77777777" w:rsidR="00D92513" w:rsidRPr="002B08B6" w:rsidRDefault="00D92513" w:rsidP="00D92513">
      <w:pPr>
        <w:spacing w:line="360" w:lineRule="auto"/>
        <w:ind w:left="-567" w:right="140"/>
        <w:jc w:val="both"/>
        <w:rPr>
          <w:rFonts w:ascii="Arial" w:hAnsi="Arial" w:cs="Arial"/>
        </w:rPr>
      </w:pPr>
      <w:r w:rsidRPr="002B08B6">
        <w:rPr>
          <w:rFonts w:ascii="Arial" w:hAnsi="Arial" w:cs="Arial"/>
        </w:rPr>
        <w:t>En la propia escritura pública consta que BANKINTER había entregado a la parte actora la oferta vinculante días previos a la firma de la operación hipotecaria y que, además, las condiciones financieras recogidas en ella eran coincidentes con las del documento público.</w:t>
      </w:r>
    </w:p>
    <w:p w14:paraId="6EF63C8B" w14:textId="77777777" w:rsidR="00D92513" w:rsidRPr="002B08B6" w:rsidRDefault="00D92513" w:rsidP="00D92513">
      <w:pPr>
        <w:spacing w:line="360" w:lineRule="auto"/>
        <w:ind w:left="-567" w:right="140"/>
        <w:jc w:val="both"/>
        <w:rPr>
          <w:rFonts w:ascii="Arial" w:hAnsi="Arial" w:cs="Arial"/>
        </w:rPr>
      </w:pPr>
    </w:p>
    <w:p w14:paraId="777DA0FF" w14:textId="77777777" w:rsidR="00D92513" w:rsidRPr="002B08B6" w:rsidRDefault="00D92513" w:rsidP="00D92513">
      <w:pPr>
        <w:spacing w:line="360" w:lineRule="auto"/>
        <w:ind w:left="-567" w:right="140"/>
        <w:jc w:val="both"/>
        <w:rPr>
          <w:rFonts w:ascii="Arial" w:hAnsi="Arial" w:cs="Arial"/>
        </w:rPr>
      </w:pPr>
      <w:r w:rsidRPr="002B08B6">
        <w:rPr>
          <w:rFonts w:ascii="Arial" w:hAnsi="Arial" w:cs="Arial"/>
        </w:rPr>
        <w:t>Además, adviértase que la cláusula figura claramente en la escritura pública, de manera individualizada con respecto al resto de pactos y condiciones (incluidos los que recogen otro tipo de comisiones), que sus términos están resaltados, que se trata de un pago único e inicial y que su importe se encuentra determinado numéricamente. Aparte de que se incluye como uno de los conceptos integrantes de la TAE.</w:t>
      </w:r>
    </w:p>
    <w:p w14:paraId="29964442" w14:textId="77777777" w:rsidR="00D92513" w:rsidRPr="002B08B6" w:rsidRDefault="00D92513" w:rsidP="00D92513">
      <w:pPr>
        <w:spacing w:line="360" w:lineRule="auto"/>
        <w:ind w:left="-567" w:right="140"/>
        <w:jc w:val="both"/>
        <w:rPr>
          <w:rFonts w:ascii="Arial" w:hAnsi="Arial" w:cs="Arial"/>
        </w:rPr>
      </w:pPr>
    </w:p>
    <w:p w14:paraId="04C567EE" w14:textId="77777777" w:rsidR="00D92513" w:rsidRPr="002B08B6" w:rsidRDefault="00D92513" w:rsidP="00D92513">
      <w:pPr>
        <w:spacing w:line="360" w:lineRule="auto"/>
        <w:ind w:left="-567" w:right="140"/>
        <w:jc w:val="both"/>
        <w:rPr>
          <w:rFonts w:ascii="Arial" w:hAnsi="Arial" w:cs="Arial"/>
        </w:rPr>
      </w:pPr>
      <w:r w:rsidRPr="002B08B6">
        <w:rPr>
          <w:rFonts w:ascii="Arial" w:hAnsi="Arial" w:cs="Arial"/>
        </w:rPr>
        <w:t xml:space="preserve">Por último, a efectos de examinar la </w:t>
      </w:r>
      <w:proofErr w:type="spellStart"/>
      <w:r w:rsidRPr="002B08B6">
        <w:rPr>
          <w:rFonts w:ascii="Arial" w:hAnsi="Arial" w:cs="Arial"/>
        </w:rPr>
        <w:t>abusividad</w:t>
      </w:r>
      <w:proofErr w:type="spellEnd"/>
      <w:r w:rsidRPr="002B08B6">
        <w:rPr>
          <w:rFonts w:ascii="Arial" w:hAnsi="Arial" w:cs="Arial"/>
        </w:rPr>
        <w:t xml:space="preserve"> de la cláusula de comisión de apertura</w:t>
      </w:r>
      <w:r w:rsidRPr="002D3C3A">
        <w:rPr>
          <w:rFonts w:ascii="Arial" w:hAnsi="Arial" w:cs="Arial"/>
        </w:rPr>
        <w:t xml:space="preserve">, la </w:t>
      </w:r>
      <w:r w:rsidRPr="002D3C3A">
        <w:rPr>
          <w:rFonts w:ascii="Arial" w:hAnsi="Arial" w:cs="Arial"/>
          <w:lang w:val="es-ES_tradnl"/>
        </w:rPr>
        <w:t>Sentencia del Tribunal de Justicia de la Unión Europea de 16 de marzo de 2023, asunto C</w:t>
      </w:r>
      <w:r w:rsidRPr="002D3C3A">
        <w:rPr>
          <w:rFonts w:ascii="Cambria Math" w:hAnsi="Cambria Math" w:cs="Cambria Math"/>
          <w:lang w:val="es-ES_tradnl"/>
        </w:rPr>
        <w:t>‑</w:t>
      </w:r>
      <w:r w:rsidRPr="002D3C3A">
        <w:rPr>
          <w:rFonts w:ascii="Arial" w:hAnsi="Arial" w:cs="Arial"/>
          <w:lang w:val="es-ES_tradnl"/>
        </w:rPr>
        <w:t>565/21</w:t>
      </w:r>
      <w:r w:rsidRPr="002B08B6">
        <w:rPr>
          <w:rFonts w:ascii="Arial" w:hAnsi="Arial" w:cs="Arial"/>
          <w:lang w:val="es-ES_tradnl"/>
        </w:rPr>
        <w:t xml:space="preserve"> señala:</w:t>
      </w:r>
    </w:p>
    <w:p w14:paraId="2430C1AC" w14:textId="77777777" w:rsidR="00D92513" w:rsidRPr="002B08B6" w:rsidRDefault="00D92513" w:rsidP="00D92513">
      <w:pPr>
        <w:spacing w:line="360" w:lineRule="auto"/>
        <w:ind w:left="-567" w:right="140"/>
        <w:jc w:val="both"/>
        <w:rPr>
          <w:rFonts w:ascii="Arial" w:hAnsi="Arial" w:cs="Arial"/>
        </w:rPr>
      </w:pPr>
    </w:p>
    <w:p w14:paraId="7D829D67" w14:textId="77777777" w:rsidR="00D92513" w:rsidRPr="002B08B6" w:rsidRDefault="00D92513" w:rsidP="00D92513">
      <w:pPr>
        <w:autoSpaceDE w:val="0"/>
        <w:autoSpaceDN w:val="0"/>
        <w:adjustRightInd w:val="0"/>
        <w:spacing w:line="360" w:lineRule="auto"/>
        <w:ind w:left="513"/>
        <w:jc w:val="both"/>
        <w:rPr>
          <w:rFonts w:ascii="Arial" w:hAnsi="Arial" w:cs="Arial"/>
          <w:i/>
        </w:rPr>
      </w:pPr>
      <w:bookmarkStart w:id="1" w:name="point50"/>
      <w:r w:rsidRPr="002B08B6">
        <w:rPr>
          <w:rFonts w:ascii="Arial" w:hAnsi="Arial" w:cs="Arial"/>
          <w:i/>
        </w:rPr>
        <w:t>50</w:t>
      </w:r>
      <w:bookmarkEnd w:id="1"/>
      <w:r w:rsidRPr="002B08B6">
        <w:rPr>
          <w:rFonts w:ascii="Arial" w:hAnsi="Arial" w:cs="Arial"/>
          <w:i/>
        </w:rPr>
        <w:t xml:space="preserve">      En lo que se refiere al cumplimiento de las exigencias de la buena fe, en el sentido del artículo 3, apartado 1, de la Directiva 93/13, debe señalarse que, en atención al decimosexto considerando de esta, el juez nacional debe comprobar a tal efecto si el profesional, tratando de manera leal y equitativa con el consumidor, podía esperar razonablemente que este aceptaría una cláusula de ese tipo en el marco de una negociación individual (sentencia de 16 de julio de 2020, </w:t>
      </w:r>
      <w:proofErr w:type="spellStart"/>
      <w:r w:rsidRPr="002B08B6">
        <w:rPr>
          <w:rFonts w:ascii="Arial" w:hAnsi="Arial" w:cs="Arial"/>
          <w:i/>
        </w:rPr>
        <w:t>Caixabank</w:t>
      </w:r>
      <w:proofErr w:type="spellEnd"/>
      <w:r w:rsidRPr="002B08B6">
        <w:rPr>
          <w:rFonts w:ascii="Arial" w:hAnsi="Arial" w:cs="Arial"/>
          <w:i/>
        </w:rPr>
        <w:t xml:space="preserve"> y Banco Bilbao Vizcaya Argentaria, C</w:t>
      </w:r>
      <w:r w:rsidRPr="002B08B6">
        <w:rPr>
          <w:rFonts w:ascii="Arial" w:hAnsi="Arial" w:cs="Arial"/>
          <w:i/>
        </w:rPr>
        <w:noBreakHyphen/>
        <w:t>224/19 y C</w:t>
      </w:r>
      <w:r w:rsidRPr="002B08B6">
        <w:rPr>
          <w:rFonts w:ascii="Arial" w:hAnsi="Arial" w:cs="Arial"/>
          <w:i/>
        </w:rPr>
        <w:noBreakHyphen/>
        <w:t>259/19, EU:C:2020:578, apartado 74).</w:t>
      </w:r>
    </w:p>
    <w:p w14:paraId="16DD61EB" w14:textId="77777777" w:rsidR="00D92513" w:rsidRPr="002B08B6" w:rsidRDefault="00D92513" w:rsidP="00D92513">
      <w:pPr>
        <w:autoSpaceDE w:val="0"/>
        <w:autoSpaceDN w:val="0"/>
        <w:adjustRightInd w:val="0"/>
        <w:spacing w:line="360" w:lineRule="auto"/>
        <w:ind w:left="513"/>
        <w:jc w:val="both"/>
        <w:rPr>
          <w:rFonts w:ascii="Arial" w:hAnsi="Arial" w:cs="Arial"/>
          <w:i/>
        </w:rPr>
      </w:pPr>
    </w:p>
    <w:p w14:paraId="4602449F" w14:textId="77777777" w:rsidR="00D92513" w:rsidRPr="002B08B6" w:rsidRDefault="00D92513" w:rsidP="00D92513">
      <w:pPr>
        <w:autoSpaceDE w:val="0"/>
        <w:autoSpaceDN w:val="0"/>
        <w:adjustRightInd w:val="0"/>
        <w:spacing w:line="360" w:lineRule="auto"/>
        <w:ind w:left="513"/>
        <w:jc w:val="both"/>
        <w:rPr>
          <w:rFonts w:ascii="Arial" w:hAnsi="Arial" w:cs="Arial"/>
          <w:i/>
        </w:rPr>
      </w:pPr>
      <w:r w:rsidRPr="002B08B6">
        <w:rPr>
          <w:rFonts w:ascii="Arial" w:hAnsi="Arial" w:cs="Arial"/>
          <w:i/>
        </w:rPr>
        <w:t xml:space="preserve">51      </w:t>
      </w:r>
      <w:proofErr w:type="gramStart"/>
      <w:r w:rsidRPr="002B08B6">
        <w:rPr>
          <w:rFonts w:ascii="Arial" w:hAnsi="Arial" w:cs="Arial"/>
          <w:i/>
        </w:rPr>
        <w:t>En</w:t>
      </w:r>
      <w:proofErr w:type="gramEnd"/>
      <w:r w:rsidRPr="002B08B6">
        <w:rPr>
          <w:rFonts w:ascii="Arial" w:hAnsi="Arial" w:cs="Arial"/>
          <w:i/>
        </w:rPr>
        <w:t xml:space="preserve"> cuanto a la existencia de un posible desequilibrio importante, su examen no puede limitarse a una apreciación económica de naturaleza cuantitativa que se base en una comparación entre el importe total de la operación objeto del contrato, por un lado, y los costes que esa cláusula pone a cargo del consumidor, por otro. En efecto, un desequilibrio importante solamente puede resultar de un menoscabo suficientemente grave de la situación jurídica en la que el consumidor se encuentre, como parte en el contrato considerado, en virtud de las disposiciones nacionales aplicables, ya sea en forma de una restricción del contenido de los derechos que, según esas disposiciones, le confiere dicho contrato, de un obstáculo al ejercicio de estos derechos o de una imposición al consumidor de una obligación adicional no prevista por las normas nacionales (sentencia de 3 de octubre de 2019, Kiss y CIB Bank, C</w:t>
      </w:r>
      <w:r w:rsidRPr="002B08B6">
        <w:rPr>
          <w:rFonts w:ascii="Cambria Math" w:hAnsi="Cambria Math" w:cs="Cambria Math"/>
          <w:i/>
        </w:rPr>
        <w:t>‑</w:t>
      </w:r>
      <w:r w:rsidRPr="002B08B6">
        <w:rPr>
          <w:rFonts w:ascii="Arial" w:hAnsi="Arial" w:cs="Arial"/>
          <w:i/>
        </w:rPr>
        <w:t>621/17, EU:C:2019:820, apartado 51).</w:t>
      </w:r>
    </w:p>
    <w:p w14:paraId="600F4FD7" w14:textId="77777777" w:rsidR="00D92513" w:rsidRPr="002B08B6" w:rsidRDefault="00D92513" w:rsidP="00D92513">
      <w:pPr>
        <w:autoSpaceDE w:val="0"/>
        <w:autoSpaceDN w:val="0"/>
        <w:adjustRightInd w:val="0"/>
        <w:spacing w:line="360" w:lineRule="auto"/>
        <w:ind w:left="513"/>
        <w:jc w:val="both"/>
        <w:rPr>
          <w:rFonts w:ascii="Arial" w:hAnsi="Arial" w:cs="Arial"/>
          <w:i/>
        </w:rPr>
      </w:pPr>
    </w:p>
    <w:p w14:paraId="59ACD8B3" w14:textId="711A442A" w:rsidR="00D92513" w:rsidRDefault="00D92513" w:rsidP="007D401C">
      <w:pPr>
        <w:autoSpaceDE w:val="0"/>
        <w:autoSpaceDN w:val="0"/>
        <w:adjustRightInd w:val="0"/>
        <w:spacing w:line="360" w:lineRule="auto"/>
        <w:ind w:left="513"/>
        <w:jc w:val="both"/>
        <w:rPr>
          <w:rFonts w:ascii="Arial" w:hAnsi="Arial" w:cs="Arial"/>
          <w:i/>
        </w:rPr>
      </w:pPr>
      <w:r w:rsidRPr="002B08B6">
        <w:rPr>
          <w:rFonts w:ascii="Arial" w:hAnsi="Arial" w:cs="Arial"/>
          <w:i/>
        </w:rPr>
        <w:t>[…]</w:t>
      </w:r>
    </w:p>
    <w:p w14:paraId="3A4FF80C" w14:textId="77777777" w:rsidR="007D401C" w:rsidRPr="002B08B6" w:rsidRDefault="007D401C" w:rsidP="007D401C">
      <w:pPr>
        <w:autoSpaceDE w:val="0"/>
        <w:autoSpaceDN w:val="0"/>
        <w:adjustRightInd w:val="0"/>
        <w:spacing w:line="360" w:lineRule="auto"/>
        <w:ind w:left="513"/>
        <w:jc w:val="both"/>
        <w:rPr>
          <w:rFonts w:ascii="Arial" w:hAnsi="Arial" w:cs="Arial"/>
          <w:i/>
        </w:rPr>
      </w:pPr>
    </w:p>
    <w:p w14:paraId="5702338D" w14:textId="77777777" w:rsidR="00D92513" w:rsidRPr="002B08B6" w:rsidRDefault="00D92513" w:rsidP="00D92513">
      <w:pPr>
        <w:autoSpaceDE w:val="0"/>
        <w:autoSpaceDN w:val="0"/>
        <w:adjustRightInd w:val="0"/>
        <w:spacing w:line="360" w:lineRule="auto"/>
        <w:ind w:left="513"/>
        <w:jc w:val="both"/>
        <w:rPr>
          <w:rFonts w:ascii="Arial" w:hAnsi="Arial" w:cs="Arial"/>
          <w:i/>
        </w:rPr>
      </w:pPr>
      <w:r w:rsidRPr="002B08B6">
        <w:rPr>
          <w:rFonts w:ascii="Arial" w:hAnsi="Arial" w:cs="Arial"/>
          <w:i/>
        </w:rPr>
        <w:lastRenderedPageBreak/>
        <w:t>58      A tal respecto, por lo que respecta a cláusulas de contratos de préstamo que se refieren a comisiones también previstas por el Derecho nacional, el Tribunal de Justicia aplicó esos criterios en el apartado 55 de la sentencia de 3 de octubre de 2019, Kiss y CIB Bank (C</w:t>
      </w:r>
      <w:r w:rsidRPr="002B08B6">
        <w:rPr>
          <w:rFonts w:ascii="Cambria Math" w:hAnsi="Cambria Math" w:cs="Cambria Math"/>
          <w:i/>
        </w:rPr>
        <w:t>‑</w:t>
      </w:r>
      <w:r w:rsidRPr="002B08B6">
        <w:rPr>
          <w:rFonts w:ascii="Arial" w:hAnsi="Arial" w:cs="Arial"/>
          <w:i/>
        </w:rPr>
        <w:t>621/17, EU:C:2019:820), al declarar que, a menos que no pueda considerarse razonablemente que los servicios proporcionados como contrapartida se prestan en el ámbito de la gestión o del desembolso del préstamo, o que los importes que debe abonar el consumidor en concepto de dichos gastos y dicha comisión sean desproporcionados a la vista del importe del préstamo, no parece, sin perjuicio de la comprobación que deberá efectuar el juez competente, que dichas cláusulas incidan negativamente en la posición jurídica en la que el Derecho nacional sitúa al consumidor.</w:t>
      </w:r>
    </w:p>
    <w:p w14:paraId="0A8090FA" w14:textId="77777777" w:rsidR="00D92513" w:rsidRPr="002B08B6" w:rsidRDefault="00D92513" w:rsidP="00D92513">
      <w:pPr>
        <w:autoSpaceDE w:val="0"/>
        <w:autoSpaceDN w:val="0"/>
        <w:adjustRightInd w:val="0"/>
        <w:spacing w:line="360" w:lineRule="auto"/>
        <w:ind w:left="513"/>
        <w:jc w:val="both"/>
        <w:rPr>
          <w:rFonts w:ascii="Arial" w:hAnsi="Arial" w:cs="Arial"/>
          <w:i/>
        </w:rPr>
      </w:pPr>
    </w:p>
    <w:p w14:paraId="014677C1" w14:textId="77777777" w:rsidR="00D92513" w:rsidRPr="002B08B6" w:rsidRDefault="00D92513" w:rsidP="00D92513">
      <w:pPr>
        <w:autoSpaceDE w:val="0"/>
        <w:autoSpaceDN w:val="0"/>
        <w:adjustRightInd w:val="0"/>
        <w:spacing w:line="360" w:lineRule="auto"/>
        <w:ind w:left="513"/>
        <w:jc w:val="both"/>
        <w:rPr>
          <w:rFonts w:ascii="Arial" w:hAnsi="Arial" w:cs="Arial"/>
          <w:i/>
        </w:rPr>
      </w:pPr>
      <w:r w:rsidRPr="002B08B6">
        <w:rPr>
          <w:rFonts w:ascii="Arial" w:hAnsi="Arial" w:cs="Arial"/>
          <w:i/>
        </w:rPr>
        <w:t>59      Por esos mismos motivos, una cláusula contractual regulada por el Derecho nacional que establece una comisión de apertura, comisión que tiene por objeto la remuneración de servicios relacionados con el estudio, el diseño y la tramitación singularizada de una solicitud de préstamo o crédito hipotecario, los cuales son necesarios para su concesión, no parece, sin perjuicio de la comprobación que deberá efectuar el juez competente, que pueda incidir negativamente en la posición jurídica en la que el Derecho nacional sitúa al consumidor, a menos que no pueda considerarse razonablemente que los servicios proporcionados como contrapartida se prestan en el ámbito de las prestaciones antes descritas o que el importe que debe abonar el consumidor en concepto de dicha comisión sea desproporcionado en relación con el importe del préstamo.</w:t>
      </w:r>
    </w:p>
    <w:p w14:paraId="076CCBAF" w14:textId="77777777" w:rsidR="00D92513" w:rsidRDefault="00D92513" w:rsidP="00D92513">
      <w:pPr>
        <w:autoSpaceDE w:val="0"/>
        <w:autoSpaceDN w:val="0"/>
        <w:adjustRightInd w:val="0"/>
        <w:spacing w:line="360" w:lineRule="auto"/>
        <w:ind w:left="-567"/>
        <w:jc w:val="both"/>
        <w:rPr>
          <w:rFonts w:ascii="Arial" w:hAnsi="Arial" w:cs="Arial"/>
        </w:rPr>
      </w:pPr>
    </w:p>
    <w:p w14:paraId="589A63B1" w14:textId="77BE52C1" w:rsidR="00D92513" w:rsidRPr="007D401C" w:rsidRDefault="00D92513" w:rsidP="007D401C">
      <w:pPr>
        <w:autoSpaceDE w:val="0"/>
        <w:autoSpaceDN w:val="0"/>
        <w:adjustRightInd w:val="0"/>
        <w:spacing w:line="360" w:lineRule="auto"/>
        <w:ind w:left="-567"/>
        <w:jc w:val="both"/>
        <w:rPr>
          <w:rFonts w:ascii="Arial" w:hAnsi="Arial" w:cs="Arial"/>
          <w:i/>
          <w:lang w:val="es-ES_tradnl"/>
        </w:rPr>
      </w:pPr>
      <w:r w:rsidRPr="002B08B6">
        <w:rPr>
          <w:rFonts w:ascii="Arial" w:hAnsi="Arial" w:cs="Arial"/>
        </w:rPr>
        <w:t xml:space="preserve">Estas indicaciones son resumidas igualmente por la </w:t>
      </w:r>
      <w:r w:rsidRPr="00D03E48">
        <w:rPr>
          <w:rFonts w:ascii="Arial" w:hAnsi="Arial" w:cs="Arial"/>
        </w:rPr>
        <w:t xml:space="preserve">Sentencia núm. 816/2023 del Tribunal Supremo, </w:t>
      </w:r>
      <w:r w:rsidRPr="00D03E48">
        <w:rPr>
          <w:rFonts w:ascii="Arial" w:hAnsi="Arial" w:cs="Arial"/>
          <w:lang w:val="es-ES_tradnl"/>
        </w:rPr>
        <w:t>Sala de lo Civil, de 29 de mayo, en su apartado 4 del Fundamento de Derecho Séptimo:</w:t>
      </w:r>
    </w:p>
    <w:p w14:paraId="35EF5C63" w14:textId="77777777" w:rsidR="00D92513" w:rsidRPr="002B08B6" w:rsidRDefault="00D92513" w:rsidP="00D92513">
      <w:pPr>
        <w:autoSpaceDE w:val="0"/>
        <w:autoSpaceDN w:val="0"/>
        <w:adjustRightInd w:val="0"/>
        <w:spacing w:line="360" w:lineRule="auto"/>
        <w:ind w:left="513"/>
        <w:jc w:val="both"/>
        <w:rPr>
          <w:rFonts w:ascii="Arial" w:hAnsi="Arial" w:cs="Arial"/>
          <w:i/>
        </w:rPr>
      </w:pPr>
      <w:r w:rsidRPr="00757A85">
        <w:rPr>
          <w:rFonts w:ascii="Arial" w:hAnsi="Arial" w:cs="Arial"/>
          <w:i/>
        </w:rPr>
        <w:t xml:space="preserve">(i) Respecto de la buena fe, que debe comprobarse que el prestamista tratando de manera leal y equitativa con el consumidor, podía esperar razonablemente que este aceptaría una cláusula de ese tipo en el marco de una negociación individual (apartado 50). </w:t>
      </w:r>
    </w:p>
    <w:p w14:paraId="3AB808B3" w14:textId="77777777" w:rsidR="00D92513" w:rsidRPr="00757A85" w:rsidRDefault="00D92513" w:rsidP="00D92513">
      <w:pPr>
        <w:autoSpaceDE w:val="0"/>
        <w:autoSpaceDN w:val="0"/>
        <w:adjustRightInd w:val="0"/>
        <w:spacing w:line="360" w:lineRule="auto"/>
        <w:ind w:left="513"/>
        <w:jc w:val="both"/>
        <w:rPr>
          <w:rFonts w:ascii="Arial" w:hAnsi="Arial" w:cs="Arial"/>
          <w:i/>
        </w:rPr>
      </w:pPr>
    </w:p>
    <w:p w14:paraId="4977FD7F" w14:textId="28EBC3AB" w:rsidR="00D92513" w:rsidRDefault="00D92513" w:rsidP="007D401C">
      <w:pPr>
        <w:autoSpaceDE w:val="0"/>
        <w:autoSpaceDN w:val="0"/>
        <w:adjustRightInd w:val="0"/>
        <w:spacing w:line="360" w:lineRule="auto"/>
        <w:ind w:left="513"/>
        <w:jc w:val="both"/>
        <w:rPr>
          <w:rFonts w:ascii="Arial" w:hAnsi="Arial" w:cs="Arial"/>
          <w:i/>
        </w:rPr>
      </w:pPr>
      <w:r w:rsidRPr="002B08B6">
        <w:rPr>
          <w:rFonts w:ascii="Arial" w:hAnsi="Arial" w:cs="Arial"/>
          <w:i/>
        </w:rPr>
        <w:t>(</w:t>
      </w:r>
      <w:proofErr w:type="spellStart"/>
      <w:r w:rsidRPr="002B08B6">
        <w:rPr>
          <w:rFonts w:ascii="Arial" w:hAnsi="Arial" w:cs="Arial"/>
          <w:i/>
        </w:rPr>
        <w:t>ii</w:t>
      </w:r>
      <w:proofErr w:type="spellEnd"/>
      <w:r w:rsidRPr="002B08B6">
        <w:rPr>
          <w:rFonts w:ascii="Arial" w:hAnsi="Arial" w:cs="Arial"/>
          <w:i/>
        </w:rPr>
        <w:t>) Respecto del desequilibrio importante, que no cabe afirmar que una cláusula que establezca una comisión de apertura en un préstamo o crédito hipotecario no respete en todo caso el equilibrio entre los derechos y las obligaciones de las partes que derivan del contrato, sino que habrá que valorar que el coste no sea desproporcionado en relación con el importe del préstamo o que los servicios que se retribuyen con esta comisión no están ya incluidos en otros conceptos cobrados al consumidor (apartados 51, 58 y 59).</w:t>
      </w:r>
    </w:p>
    <w:p w14:paraId="682BA98C" w14:textId="77777777" w:rsidR="007D401C" w:rsidRPr="007D401C" w:rsidRDefault="007D401C" w:rsidP="007D401C">
      <w:pPr>
        <w:autoSpaceDE w:val="0"/>
        <w:autoSpaceDN w:val="0"/>
        <w:adjustRightInd w:val="0"/>
        <w:spacing w:line="360" w:lineRule="auto"/>
        <w:ind w:left="513"/>
        <w:jc w:val="both"/>
        <w:rPr>
          <w:rFonts w:ascii="Arial" w:hAnsi="Arial" w:cs="Arial"/>
          <w:i/>
        </w:rPr>
      </w:pPr>
    </w:p>
    <w:p w14:paraId="3A5C5CC9" w14:textId="6E144503" w:rsidR="00D92513" w:rsidRPr="002B08B6" w:rsidRDefault="00D92513" w:rsidP="007D401C">
      <w:pPr>
        <w:spacing w:line="360" w:lineRule="auto"/>
        <w:ind w:left="-567" w:right="140"/>
        <w:jc w:val="both"/>
        <w:rPr>
          <w:rFonts w:ascii="Arial" w:hAnsi="Arial" w:cs="Arial"/>
        </w:rPr>
      </w:pPr>
      <w:r w:rsidRPr="002B08B6">
        <w:rPr>
          <w:rFonts w:ascii="Arial" w:hAnsi="Arial" w:cs="Arial"/>
        </w:rPr>
        <w:t xml:space="preserve">Como conclusión, la comisión de apertura no es </w:t>
      </w:r>
      <w:r w:rsidRPr="002B08B6">
        <w:rPr>
          <w:rFonts w:ascii="Arial" w:hAnsi="Arial" w:cs="Arial"/>
          <w:i/>
        </w:rPr>
        <w:t>per se</w:t>
      </w:r>
      <w:r w:rsidRPr="002B08B6">
        <w:rPr>
          <w:rFonts w:ascii="Arial" w:hAnsi="Arial" w:cs="Arial"/>
        </w:rPr>
        <w:t xml:space="preserve"> abusiva, siempre y cuando pueda considerarse razonablemente que los servicios proporcionados como contrapartida se prestan en el ámbito de las prestaciones descritas anteriormente y siempre que</w:t>
      </w:r>
      <w:r>
        <w:rPr>
          <w:rFonts w:ascii="Arial" w:hAnsi="Arial" w:cs="Arial"/>
        </w:rPr>
        <w:t xml:space="preserve"> </w:t>
      </w:r>
      <w:r w:rsidRPr="002B08B6">
        <w:rPr>
          <w:rFonts w:ascii="Arial" w:hAnsi="Arial" w:cs="Arial"/>
        </w:rPr>
        <w:t>el importe abonado por el consumidor por tal concepto no sea desproporcionado en relación con el importe de la operación de préstamo que la genera.</w:t>
      </w:r>
    </w:p>
    <w:p w14:paraId="04605594" w14:textId="77777777" w:rsidR="00D92513" w:rsidRPr="002B08B6" w:rsidRDefault="00D92513" w:rsidP="00D92513">
      <w:pPr>
        <w:spacing w:line="360" w:lineRule="auto"/>
        <w:ind w:left="-567" w:right="140"/>
        <w:jc w:val="both"/>
        <w:rPr>
          <w:rFonts w:ascii="Arial" w:hAnsi="Arial" w:cs="Arial"/>
        </w:rPr>
      </w:pPr>
      <w:r w:rsidRPr="002B08B6">
        <w:rPr>
          <w:rFonts w:ascii="Arial" w:hAnsi="Arial" w:cs="Arial"/>
        </w:rPr>
        <w:lastRenderedPageBreak/>
        <w:t xml:space="preserve">Igualmente, dicho control de </w:t>
      </w:r>
      <w:r w:rsidRPr="00D92513">
        <w:rPr>
          <w:rFonts w:ascii="Arial" w:hAnsi="Arial" w:cs="Arial"/>
        </w:rPr>
        <w:t>contenido se encuentra superado en el presente caso, y ello por cuanto, tal y como ya ha quedado acreditado, no hay solapamiento de comisiones por el mismo concepto, en la escritura de préstamo hipotecario figuran otras comisiones, pero por conceptos distintos y claramente diferenciados y el</w:t>
      </w:r>
      <w:r w:rsidRPr="002B08B6">
        <w:rPr>
          <w:rFonts w:ascii="Arial" w:hAnsi="Arial" w:cs="Arial"/>
        </w:rPr>
        <w:t xml:space="preserve"> importe de la comisión de apertura se encuentra dentro de las estadísticas del coste medio de comisiones de apertura en España (0,25%-1,50%).</w:t>
      </w:r>
    </w:p>
    <w:p w14:paraId="7EBFB7F9" w14:textId="77777777" w:rsidR="00D92513" w:rsidRPr="002B08B6" w:rsidRDefault="00D92513" w:rsidP="00D92513">
      <w:pPr>
        <w:spacing w:line="360" w:lineRule="auto"/>
        <w:ind w:left="-567" w:right="140"/>
        <w:jc w:val="both"/>
        <w:rPr>
          <w:rFonts w:ascii="Arial" w:hAnsi="Arial" w:cs="Arial"/>
        </w:rPr>
      </w:pPr>
    </w:p>
    <w:p w14:paraId="1C01C7EA" w14:textId="77777777" w:rsidR="00D92513" w:rsidRPr="002B08B6" w:rsidRDefault="00D92513" w:rsidP="00D92513">
      <w:pPr>
        <w:spacing w:line="360" w:lineRule="auto"/>
        <w:ind w:left="-567" w:right="140"/>
        <w:jc w:val="both"/>
        <w:rPr>
          <w:rFonts w:ascii="Arial" w:hAnsi="Arial" w:cs="Arial"/>
        </w:rPr>
      </w:pPr>
      <w:r w:rsidRPr="002B08B6">
        <w:rPr>
          <w:rFonts w:ascii="Arial" w:hAnsi="Arial" w:cs="Arial"/>
        </w:rPr>
        <w:t>Por todo ello, la cláusula de comisión de apertura es transparente y no abusiva,</w:t>
      </w:r>
    </w:p>
    <w:p w14:paraId="0B5F2A9C" w14:textId="77777777" w:rsidR="00D92513" w:rsidRPr="002B08B6" w:rsidRDefault="00D92513" w:rsidP="00D92513">
      <w:pPr>
        <w:spacing w:line="360" w:lineRule="auto"/>
        <w:ind w:left="-567" w:right="140"/>
        <w:jc w:val="both"/>
        <w:rPr>
          <w:rFonts w:ascii="Arial" w:hAnsi="Arial" w:cs="Arial"/>
        </w:rPr>
      </w:pPr>
    </w:p>
    <w:p w14:paraId="5CF26AE7" w14:textId="77777777" w:rsidR="00D92513" w:rsidRPr="002B08B6" w:rsidRDefault="00D92513" w:rsidP="00D92513">
      <w:pPr>
        <w:spacing w:line="360" w:lineRule="auto"/>
        <w:ind w:left="-567" w:right="140"/>
        <w:jc w:val="both"/>
        <w:rPr>
          <w:rFonts w:ascii="Arial" w:hAnsi="Arial" w:cs="Arial"/>
        </w:rPr>
      </w:pPr>
      <w:r w:rsidRPr="002B08B6">
        <w:rPr>
          <w:rFonts w:ascii="Arial" w:hAnsi="Arial" w:cs="Arial"/>
        </w:rPr>
        <w:t xml:space="preserve">Finalmente, traemos a colación las nuevas sentencias que, a la luz de esta nueva jurisprudencia, se van dictando por las diferentes Audiencias Provinciales de nuestro territorio nacional. Así, entre otras, resulta relevante </w:t>
      </w:r>
      <w:r w:rsidRPr="002B08B6">
        <w:rPr>
          <w:rFonts w:ascii="Arial" w:hAnsi="Arial" w:cs="Arial"/>
          <w:b/>
        </w:rPr>
        <w:t>la Sentencia núm. 410/2023, de la Audiencia Provincial de A Coruña, Sección 4ª, de 8 de junio</w:t>
      </w:r>
      <w:r w:rsidRPr="002B08B6">
        <w:rPr>
          <w:rFonts w:ascii="Arial" w:hAnsi="Arial" w:cs="Arial"/>
        </w:rPr>
        <w:t>:</w:t>
      </w:r>
    </w:p>
    <w:p w14:paraId="5AFBFDA7" w14:textId="77777777" w:rsidR="00D92513" w:rsidRPr="002B08B6" w:rsidRDefault="00D92513" w:rsidP="00D92513">
      <w:pPr>
        <w:autoSpaceDE w:val="0"/>
        <w:autoSpaceDN w:val="0"/>
        <w:adjustRightInd w:val="0"/>
        <w:spacing w:line="360" w:lineRule="auto"/>
        <w:ind w:left="513"/>
        <w:jc w:val="both"/>
        <w:rPr>
          <w:rFonts w:ascii="Arial" w:hAnsi="Arial" w:cs="Arial"/>
          <w:i/>
        </w:rPr>
      </w:pPr>
    </w:p>
    <w:p w14:paraId="103ED26D" w14:textId="77777777" w:rsidR="00D92513" w:rsidRDefault="00D92513" w:rsidP="00D92513">
      <w:pPr>
        <w:autoSpaceDE w:val="0"/>
        <w:autoSpaceDN w:val="0"/>
        <w:adjustRightInd w:val="0"/>
        <w:spacing w:line="360" w:lineRule="auto"/>
        <w:ind w:left="513"/>
        <w:jc w:val="both"/>
        <w:rPr>
          <w:rFonts w:ascii="Arial" w:hAnsi="Arial" w:cs="Arial"/>
          <w:i/>
        </w:rPr>
      </w:pPr>
      <w:r w:rsidRPr="002B08B6">
        <w:rPr>
          <w:rFonts w:ascii="Arial" w:hAnsi="Arial" w:cs="Arial"/>
          <w:i/>
        </w:rPr>
        <w:t xml:space="preserve">La comisión de apertura establecida en el apartado 1 de la estipulación financiera Cuarta de la </w:t>
      </w:r>
      <w:r w:rsidRPr="002B08B6">
        <w:rPr>
          <w:rFonts w:ascii="Arial" w:hAnsi="Arial" w:cs="Arial"/>
          <w:b/>
          <w:i/>
        </w:rPr>
        <w:t>escritura de préstamo hipotecario de 18 de noviembre de 2004 cumple las condiciones de transparencia que derivan de la STJUE de 16 de marzo de 2023</w:t>
      </w:r>
      <w:r w:rsidRPr="002B08B6">
        <w:rPr>
          <w:rFonts w:ascii="Arial" w:hAnsi="Arial" w:cs="Arial"/>
          <w:i/>
        </w:rPr>
        <w:t xml:space="preserve">. No es en este caso dudoso que los prestatarios estaban en condiciones de evaluar las consecuencias económicas que para ellos se derivaban de dicha cláusula, porque </w:t>
      </w:r>
      <w:r w:rsidRPr="002B08B6">
        <w:rPr>
          <w:rFonts w:ascii="Arial" w:hAnsi="Arial" w:cs="Arial"/>
          <w:b/>
          <w:i/>
        </w:rPr>
        <w:t>la comisión se detalla en la escritura en términos claros, mediante indicación del porcentaje (0,50%) que representaba sobre el capital del préstamo, así como con indicación de su devengo y la forma de pago</w:t>
      </w:r>
      <w:r w:rsidRPr="002B08B6">
        <w:rPr>
          <w:rFonts w:ascii="Arial" w:hAnsi="Arial" w:cs="Arial"/>
          <w:i/>
        </w:rPr>
        <w:t xml:space="preserve">, sin que el </w:t>
      </w:r>
      <w:r w:rsidRPr="002B08B6">
        <w:rPr>
          <w:rFonts w:ascii="Arial" w:hAnsi="Arial" w:cs="Arial"/>
          <w:b/>
          <w:i/>
        </w:rPr>
        <w:t>entendimiento</w:t>
      </w:r>
      <w:r w:rsidRPr="002B08B6">
        <w:rPr>
          <w:rFonts w:ascii="Arial" w:hAnsi="Arial" w:cs="Arial"/>
          <w:i/>
        </w:rPr>
        <w:t xml:space="preserve"> que un </w:t>
      </w:r>
      <w:r w:rsidRPr="002B08B6">
        <w:rPr>
          <w:rFonts w:ascii="Arial" w:hAnsi="Arial" w:cs="Arial"/>
          <w:b/>
          <w:i/>
        </w:rPr>
        <w:t>consumidor medio razonablemente atento y perspicaz</w:t>
      </w:r>
      <w:r w:rsidRPr="002B08B6">
        <w:rPr>
          <w:rFonts w:ascii="Arial" w:hAnsi="Arial" w:cs="Arial"/>
          <w:i/>
        </w:rPr>
        <w:t xml:space="preserve"> normalmente tiene de la función de una comisión de esta naturaleza y de los servicios de estudio, concesión y tramitación a que responde, según la información que la predisponente le proporciona, haya quedado en este caso distorsionado merced a elementos adicionales que sugieran duplicidad o solapamiento. </w:t>
      </w:r>
    </w:p>
    <w:p w14:paraId="496476FB" w14:textId="77777777" w:rsidR="007D401C" w:rsidRPr="002B08B6" w:rsidRDefault="007D401C" w:rsidP="00D92513">
      <w:pPr>
        <w:autoSpaceDE w:val="0"/>
        <w:autoSpaceDN w:val="0"/>
        <w:adjustRightInd w:val="0"/>
        <w:spacing w:line="360" w:lineRule="auto"/>
        <w:ind w:left="513"/>
        <w:jc w:val="both"/>
        <w:rPr>
          <w:rFonts w:ascii="Arial" w:hAnsi="Arial" w:cs="Arial"/>
          <w:i/>
        </w:rPr>
      </w:pPr>
    </w:p>
    <w:p w14:paraId="551B6282" w14:textId="77777777" w:rsidR="00D92513" w:rsidRPr="002B08B6" w:rsidRDefault="00D92513" w:rsidP="00D92513">
      <w:pPr>
        <w:autoSpaceDE w:val="0"/>
        <w:autoSpaceDN w:val="0"/>
        <w:adjustRightInd w:val="0"/>
        <w:spacing w:line="360" w:lineRule="auto"/>
        <w:ind w:left="513"/>
        <w:jc w:val="both"/>
        <w:rPr>
          <w:rFonts w:ascii="Arial" w:hAnsi="Arial" w:cs="Arial"/>
          <w:i/>
        </w:rPr>
      </w:pPr>
      <w:r w:rsidRPr="002B08B6">
        <w:rPr>
          <w:rFonts w:ascii="Arial" w:hAnsi="Arial" w:cs="Arial"/>
          <w:i/>
        </w:rPr>
        <w:t xml:space="preserve">14. En cuanto a la </w:t>
      </w:r>
      <w:proofErr w:type="spellStart"/>
      <w:r w:rsidRPr="002B08B6">
        <w:rPr>
          <w:rFonts w:ascii="Arial" w:hAnsi="Arial" w:cs="Arial"/>
          <w:i/>
        </w:rPr>
        <w:t>abusividad</w:t>
      </w:r>
      <w:proofErr w:type="spellEnd"/>
      <w:r w:rsidRPr="002B08B6">
        <w:rPr>
          <w:rFonts w:ascii="Arial" w:hAnsi="Arial" w:cs="Arial"/>
          <w:i/>
        </w:rPr>
        <w:t xml:space="preserve">, por una parte, no hay en este caso motivos que particular y razonablemente excluyan la efectiva prestación de los servicios proporcionados por la prestamista como contrapartida de la comisión de apertura en el ámbito de la gestión y el desembolso del préstamo, según es propio de esta comisión de acuerdo con su caracterización normativa, por entonces regulada en la OM de 5 de mayo de 1994 (de hecho, la lectura de la escritura revela que el estudio previo a la concesión del préstamo fue en este caso particularmente intenso, porque la garantía hipotecaria de la propia vivienda adquirida no alcanzaba a cubrir el principal del préstamo y fue necesario dotarlo del refuerzo de una hipoteca adicional sobre otro inmueble que ya pertenecía a los prestatarios). </w:t>
      </w:r>
      <w:r w:rsidRPr="002B08B6">
        <w:rPr>
          <w:rFonts w:ascii="Arial" w:hAnsi="Arial" w:cs="Arial"/>
          <w:b/>
          <w:i/>
        </w:rPr>
        <w:t>Tampoco cabe afirmar, por otra parte, que una comisión de 1.200,00 € sea desproporcionada en relación con un préstamo de 240.000,00 € que los prestatarios se comprometieron a devolver en veinticinco años (su importe es incluso inferior al de una cuota mensual de la primera anualidad)</w:t>
      </w:r>
      <w:r w:rsidRPr="002B08B6">
        <w:rPr>
          <w:rFonts w:ascii="Arial" w:hAnsi="Arial" w:cs="Arial"/>
          <w:i/>
        </w:rPr>
        <w:t xml:space="preserve">. Así las cosas, no </w:t>
      </w:r>
      <w:r w:rsidRPr="002B08B6">
        <w:rPr>
          <w:rFonts w:ascii="Arial" w:hAnsi="Arial" w:cs="Arial"/>
          <w:i/>
        </w:rPr>
        <w:lastRenderedPageBreak/>
        <w:t>cabe concluir que la cláusula combatida incida negativamente en la posición jurídica en la que nuestro Derecho sitúa al consumidor. El recurso ha de ser, por ello, estimado en cuanto a este extremo, para dejar sin efecto la declaración de nulidad de la cláusula que estableció la comisión de apertura.</w:t>
      </w:r>
    </w:p>
    <w:p w14:paraId="169EF6F0" w14:textId="77777777" w:rsidR="00D92513" w:rsidRDefault="00D92513" w:rsidP="00D92513">
      <w:pPr>
        <w:spacing w:line="360" w:lineRule="auto"/>
        <w:ind w:left="-567" w:right="140"/>
        <w:jc w:val="right"/>
        <w:rPr>
          <w:rFonts w:ascii="Arial" w:hAnsi="Arial" w:cs="Arial"/>
        </w:rPr>
      </w:pPr>
      <w:r w:rsidRPr="002B08B6">
        <w:rPr>
          <w:rFonts w:ascii="Arial" w:hAnsi="Arial" w:cs="Arial"/>
        </w:rPr>
        <w:t>(El resaltado es nuestro)</w:t>
      </w:r>
    </w:p>
    <w:p w14:paraId="6B740344" w14:textId="77777777" w:rsidR="00D92513" w:rsidRDefault="00D92513" w:rsidP="00D92513">
      <w:pPr>
        <w:spacing w:line="360" w:lineRule="auto"/>
        <w:ind w:left="-567" w:right="140"/>
        <w:jc w:val="right"/>
        <w:rPr>
          <w:rFonts w:ascii="Arial" w:hAnsi="Arial" w:cs="Arial"/>
        </w:rPr>
      </w:pPr>
    </w:p>
    <w:p w14:paraId="5CAE3CBD" w14:textId="77777777" w:rsidR="00D92513" w:rsidRDefault="00D92513" w:rsidP="00D92513">
      <w:pPr>
        <w:spacing w:line="360" w:lineRule="auto"/>
        <w:ind w:left="-567" w:right="140"/>
        <w:jc w:val="both"/>
        <w:rPr>
          <w:rFonts w:ascii="Arial" w:hAnsi="Arial" w:cs="Arial"/>
        </w:rPr>
      </w:pPr>
      <w:r>
        <w:rPr>
          <w:rFonts w:ascii="Arial" w:hAnsi="Arial" w:cs="Arial"/>
        </w:rPr>
        <w:t>Del mismo modo</w:t>
      </w:r>
      <w:r w:rsidRPr="002B08B6">
        <w:rPr>
          <w:rFonts w:ascii="Arial" w:hAnsi="Arial" w:cs="Arial"/>
        </w:rPr>
        <w:t xml:space="preserve">, </w:t>
      </w:r>
      <w:r w:rsidRPr="002B08B6">
        <w:rPr>
          <w:rFonts w:ascii="Arial" w:hAnsi="Arial" w:cs="Arial"/>
          <w:b/>
        </w:rPr>
        <w:t xml:space="preserve">la Sentencia núm. </w:t>
      </w:r>
      <w:r>
        <w:rPr>
          <w:rFonts w:ascii="Arial" w:hAnsi="Arial" w:cs="Arial"/>
          <w:b/>
        </w:rPr>
        <w:t>803</w:t>
      </w:r>
      <w:r w:rsidRPr="002B08B6">
        <w:rPr>
          <w:rFonts w:ascii="Arial" w:hAnsi="Arial" w:cs="Arial"/>
          <w:b/>
        </w:rPr>
        <w:t xml:space="preserve">/2023, de la Audiencia Provincial de </w:t>
      </w:r>
      <w:r>
        <w:rPr>
          <w:rFonts w:ascii="Arial" w:hAnsi="Arial" w:cs="Arial"/>
          <w:b/>
        </w:rPr>
        <w:t>Málaga, Sección 6</w:t>
      </w:r>
      <w:r w:rsidRPr="002B08B6">
        <w:rPr>
          <w:rFonts w:ascii="Arial" w:hAnsi="Arial" w:cs="Arial"/>
          <w:b/>
        </w:rPr>
        <w:t xml:space="preserve">ª, de </w:t>
      </w:r>
      <w:r>
        <w:rPr>
          <w:rFonts w:ascii="Arial" w:hAnsi="Arial" w:cs="Arial"/>
          <w:b/>
        </w:rPr>
        <w:t>7</w:t>
      </w:r>
      <w:r w:rsidRPr="002B08B6">
        <w:rPr>
          <w:rFonts w:ascii="Arial" w:hAnsi="Arial" w:cs="Arial"/>
          <w:b/>
        </w:rPr>
        <w:t xml:space="preserve"> de junio</w:t>
      </w:r>
      <w:r>
        <w:rPr>
          <w:rFonts w:ascii="Arial" w:hAnsi="Arial" w:cs="Arial"/>
        </w:rPr>
        <w:t xml:space="preserve">, al entender que la cláusula de comisión de apertura supera tanto el control de transparencia como el de </w:t>
      </w:r>
      <w:proofErr w:type="spellStart"/>
      <w:r>
        <w:rPr>
          <w:rFonts w:ascii="Arial" w:hAnsi="Arial" w:cs="Arial"/>
        </w:rPr>
        <w:t>abusividad</w:t>
      </w:r>
      <w:proofErr w:type="spellEnd"/>
      <w:r>
        <w:rPr>
          <w:rFonts w:ascii="Arial" w:hAnsi="Arial" w:cs="Arial"/>
        </w:rPr>
        <w:t>, aplicando los términos fijados por el TJUE y desarrollados por el TS:</w:t>
      </w:r>
    </w:p>
    <w:p w14:paraId="235D1460" w14:textId="77777777" w:rsidR="00D92513" w:rsidRDefault="00D92513" w:rsidP="00D92513">
      <w:pPr>
        <w:spacing w:line="360" w:lineRule="auto"/>
        <w:ind w:left="-567" w:right="140"/>
        <w:jc w:val="both"/>
        <w:rPr>
          <w:rFonts w:ascii="Arial" w:hAnsi="Arial" w:cs="Arial"/>
        </w:rPr>
      </w:pPr>
    </w:p>
    <w:p w14:paraId="44E36810" w14:textId="77777777" w:rsidR="00D92513" w:rsidRDefault="00D92513" w:rsidP="00D92513">
      <w:pPr>
        <w:autoSpaceDE w:val="0"/>
        <w:autoSpaceDN w:val="0"/>
        <w:adjustRightInd w:val="0"/>
        <w:spacing w:line="360" w:lineRule="auto"/>
        <w:ind w:left="513"/>
        <w:jc w:val="both"/>
        <w:rPr>
          <w:rFonts w:ascii="Arial" w:hAnsi="Arial" w:cs="Arial"/>
          <w:i/>
        </w:rPr>
      </w:pPr>
      <w:proofErr w:type="gramStart"/>
      <w:r w:rsidRPr="0013026D">
        <w:rPr>
          <w:rFonts w:ascii="Arial" w:hAnsi="Arial" w:cs="Arial"/>
          <w:i/>
        </w:rPr>
        <w:t>Segundo.-</w:t>
      </w:r>
      <w:proofErr w:type="gramEnd"/>
      <w:r w:rsidRPr="0013026D">
        <w:rPr>
          <w:rFonts w:ascii="Arial" w:hAnsi="Arial" w:cs="Arial"/>
          <w:i/>
        </w:rPr>
        <w:t xml:space="preserve"> La comisión de apertura la entendemos como la</w:t>
      </w:r>
      <w:r>
        <w:rPr>
          <w:rFonts w:ascii="Arial" w:hAnsi="Arial" w:cs="Arial"/>
          <w:i/>
        </w:rPr>
        <w:t xml:space="preserve"> </w:t>
      </w:r>
      <w:r w:rsidRPr="0013026D">
        <w:rPr>
          <w:rFonts w:ascii="Arial" w:hAnsi="Arial" w:cs="Arial"/>
          <w:i/>
        </w:rPr>
        <w:t>repercusión al prestatario de costes de gestión para la concesión y</w:t>
      </w:r>
      <w:r>
        <w:rPr>
          <w:rFonts w:ascii="Arial" w:hAnsi="Arial" w:cs="Arial"/>
          <w:i/>
        </w:rPr>
        <w:t xml:space="preserve"> </w:t>
      </w:r>
      <w:r w:rsidRPr="0013026D">
        <w:rPr>
          <w:rFonts w:ascii="Arial" w:hAnsi="Arial" w:cs="Arial"/>
          <w:i/>
        </w:rPr>
        <w:t>preparación del préstamo; englobaría cualesquiera gastos de estudio, de</w:t>
      </w:r>
      <w:r>
        <w:rPr>
          <w:rFonts w:ascii="Arial" w:hAnsi="Arial" w:cs="Arial"/>
          <w:i/>
        </w:rPr>
        <w:t xml:space="preserve"> </w:t>
      </w:r>
      <w:r w:rsidRPr="0013026D">
        <w:rPr>
          <w:rFonts w:ascii="Arial" w:hAnsi="Arial" w:cs="Arial"/>
          <w:i/>
        </w:rPr>
        <w:t>concesión o tramitación del préstamo o crédito hipotecario u otros</w:t>
      </w:r>
      <w:r>
        <w:rPr>
          <w:rFonts w:ascii="Arial" w:hAnsi="Arial" w:cs="Arial"/>
          <w:i/>
        </w:rPr>
        <w:t xml:space="preserve"> </w:t>
      </w:r>
      <w:r w:rsidRPr="0013026D">
        <w:rPr>
          <w:rFonts w:ascii="Arial" w:hAnsi="Arial" w:cs="Arial"/>
          <w:i/>
        </w:rPr>
        <w:t>similares inherentes a la actividad de la empresa ocasionada por la</w:t>
      </w:r>
      <w:r>
        <w:rPr>
          <w:rFonts w:ascii="Arial" w:hAnsi="Arial" w:cs="Arial"/>
          <w:i/>
        </w:rPr>
        <w:t xml:space="preserve"> </w:t>
      </w:r>
      <w:r w:rsidRPr="0013026D">
        <w:rPr>
          <w:rFonts w:ascii="Arial" w:hAnsi="Arial" w:cs="Arial"/>
          <w:i/>
        </w:rPr>
        <w:t>concesión del préstamo o crédito (así se deriva de la Ley 2/2009, de 31</w:t>
      </w:r>
      <w:r>
        <w:rPr>
          <w:rFonts w:ascii="Arial" w:hAnsi="Arial" w:cs="Arial"/>
          <w:i/>
        </w:rPr>
        <w:t xml:space="preserve"> </w:t>
      </w:r>
      <w:r w:rsidRPr="0013026D">
        <w:rPr>
          <w:rFonts w:ascii="Arial" w:hAnsi="Arial" w:cs="Arial"/>
          <w:i/>
        </w:rPr>
        <w:t>de marzo).</w:t>
      </w:r>
    </w:p>
    <w:p w14:paraId="631C08B3" w14:textId="77777777" w:rsidR="00D92513" w:rsidRPr="0013026D" w:rsidRDefault="00D92513" w:rsidP="00D92513">
      <w:pPr>
        <w:autoSpaceDE w:val="0"/>
        <w:autoSpaceDN w:val="0"/>
        <w:adjustRightInd w:val="0"/>
        <w:spacing w:line="360" w:lineRule="auto"/>
        <w:ind w:left="513"/>
        <w:jc w:val="both"/>
        <w:rPr>
          <w:rFonts w:ascii="Arial" w:hAnsi="Arial" w:cs="Arial"/>
          <w:i/>
        </w:rPr>
      </w:pPr>
    </w:p>
    <w:p w14:paraId="4586A187" w14:textId="77777777" w:rsidR="00D92513" w:rsidRPr="0013026D" w:rsidRDefault="00D92513" w:rsidP="00D92513">
      <w:pPr>
        <w:autoSpaceDE w:val="0"/>
        <w:autoSpaceDN w:val="0"/>
        <w:adjustRightInd w:val="0"/>
        <w:spacing w:line="360" w:lineRule="auto"/>
        <w:ind w:left="513"/>
        <w:jc w:val="both"/>
        <w:rPr>
          <w:rFonts w:ascii="Arial" w:hAnsi="Arial" w:cs="Arial"/>
          <w:i/>
        </w:rPr>
      </w:pPr>
      <w:r w:rsidRPr="0013026D">
        <w:rPr>
          <w:rFonts w:ascii="Arial" w:hAnsi="Arial" w:cs="Arial"/>
          <w:i/>
        </w:rPr>
        <w:t>La cuestión de la validez o nulidad de dicha comisión ha sido</w:t>
      </w:r>
      <w:r>
        <w:rPr>
          <w:rFonts w:ascii="Arial" w:hAnsi="Arial" w:cs="Arial"/>
          <w:i/>
        </w:rPr>
        <w:t xml:space="preserve"> </w:t>
      </w:r>
      <w:r w:rsidRPr="0013026D">
        <w:rPr>
          <w:rFonts w:ascii="Arial" w:hAnsi="Arial" w:cs="Arial"/>
          <w:i/>
        </w:rPr>
        <w:t>resuelta por la STS 29/5/23, donde ante un supuesto en el que la</w:t>
      </w:r>
      <w:r>
        <w:rPr>
          <w:rFonts w:ascii="Arial" w:hAnsi="Arial" w:cs="Arial"/>
          <w:i/>
        </w:rPr>
        <w:t xml:space="preserve"> </w:t>
      </w:r>
      <w:r w:rsidRPr="0013026D">
        <w:rPr>
          <w:rFonts w:ascii="Arial" w:hAnsi="Arial" w:cs="Arial"/>
          <w:i/>
        </w:rPr>
        <w:t>Audiencia Provincial basó su decisión únicamente en que no se justificó</w:t>
      </w:r>
      <w:r>
        <w:rPr>
          <w:rFonts w:ascii="Arial" w:hAnsi="Arial" w:cs="Arial"/>
          <w:i/>
        </w:rPr>
        <w:t xml:space="preserve"> </w:t>
      </w:r>
      <w:r w:rsidRPr="0013026D">
        <w:rPr>
          <w:rFonts w:ascii="Arial" w:hAnsi="Arial" w:cs="Arial"/>
          <w:i/>
        </w:rPr>
        <w:t>en qué consistieron los servicios retribuidos con la comisión de apertura</w:t>
      </w:r>
    </w:p>
    <w:p w14:paraId="58EFA477" w14:textId="77777777" w:rsidR="00D92513" w:rsidRDefault="00D92513" w:rsidP="00D92513">
      <w:pPr>
        <w:autoSpaceDE w:val="0"/>
        <w:autoSpaceDN w:val="0"/>
        <w:adjustRightInd w:val="0"/>
        <w:spacing w:line="360" w:lineRule="auto"/>
        <w:ind w:left="513"/>
        <w:jc w:val="both"/>
        <w:rPr>
          <w:rFonts w:ascii="Arial" w:hAnsi="Arial" w:cs="Arial"/>
          <w:i/>
        </w:rPr>
      </w:pPr>
      <w:r w:rsidRPr="0013026D">
        <w:rPr>
          <w:rFonts w:ascii="Arial" w:hAnsi="Arial" w:cs="Arial"/>
          <w:i/>
        </w:rPr>
        <w:t>(requisito de validez descartado por el TJUE según indica la resolución del</w:t>
      </w:r>
      <w:r>
        <w:rPr>
          <w:rFonts w:ascii="Arial" w:hAnsi="Arial" w:cs="Arial"/>
          <w:i/>
        </w:rPr>
        <w:t xml:space="preserve"> </w:t>
      </w:r>
      <w:r w:rsidRPr="0013026D">
        <w:rPr>
          <w:rFonts w:ascii="Arial" w:hAnsi="Arial" w:cs="Arial"/>
          <w:i/>
        </w:rPr>
        <w:t>Alto Tribunal), la cláusula fue declarada transparente y no abusiva.</w:t>
      </w:r>
    </w:p>
    <w:p w14:paraId="7C853CB2" w14:textId="77777777" w:rsidR="00D92513" w:rsidRPr="0013026D" w:rsidRDefault="00D92513" w:rsidP="00D92513">
      <w:pPr>
        <w:autoSpaceDE w:val="0"/>
        <w:autoSpaceDN w:val="0"/>
        <w:adjustRightInd w:val="0"/>
        <w:spacing w:line="360" w:lineRule="auto"/>
        <w:ind w:left="513"/>
        <w:jc w:val="both"/>
        <w:rPr>
          <w:rFonts w:ascii="Arial" w:hAnsi="Arial" w:cs="Arial"/>
          <w:i/>
        </w:rPr>
      </w:pPr>
    </w:p>
    <w:p w14:paraId="1E768635" w14:textId="77777777" w:rsidR="00D92513" w:rsidRPr="0013026D" w:rsidRDefault="00D92513" w:rsidP="00D92513">
      <w:pPr>
        <w:autoSpaceDE w:val="0"/>
        <w:autoSpaceDN w:val="0"/>
        <w:adjustRightInd w:val="0"/>
        <w:spacing w:line="360" w:lineRule="auto"/>
        <w:ind w:left="513"/>
        <w:jc w:val="both"/>
        <w:rPr>
          <w:rFonts w:ascii="Arial" w:hAnsi="Arial" w:cs="Arial"/>
          <w:i/>
        </w:rPr>
      </w:pPr>
      <w:r w:rsidRPr="0013026D">
        <w:rPr>
          <w:rFonts w:ascii="Arial" w:hAnsi="Arial" w:cs="Arial"/>
          <w:i/>
        </w:rPr>
        <w:t>La Sala señala que no es posible dar una respuesta automática</w:t>
      </w:r>
      <w:r>
        <w:rPr>
          <w:rFonts w:ascii="Arial" w:hAnsi="Arial" w:cs="Arial"/>
          <w:i/>
        </w:rPr>
        <w:t xml:space="preserve"> </w:t>
      </w:r>
      <w:r w:rsidRPr="0013026D">
        <w:rPr>
          <w:rFonts w:ascii="Arial" w:hAnsi="Arial" w:cs="Arial"/>
          <w:i/>
        </w:rPr>
        <w:t xml:space="preserve">sobre la validez de la </w:t>
      </w:r>
      <w:proofErr w:type="gramStart"/>
      <w:r w:rsidRPr="0013026D">
        <w:rPr>
          <w:rFonts w:ascii="Arial" w:hAnsi="Arial" w:cs="Arial"/>
          <w:i/>
        </w:rPr>
        <w:t>cláusula</w:t>
      </w:r>
      <w:proofErr w:type="gramEnd"/>
      <w:r w:rsidRPr="0013026D">
        <w:rPr>
          <w:rFonts w:ascii="Arial" w:hAnsi="Arial" w:cs="Arial"/>
          <w:i/>
        </w:rPr>
        <w:t xml:space="preserve"> sino que deberá analizarse en cada</w:t>
      </w:r>
      <w:r>
        <w:rPr>
          <w:rFonts w:ascii="Arial" w:hAnsi="Arial" w:cs="Arial"/>
          <w:i/>
        </w:rPr>
        <w:t xml:space="preserve"> </w:t>
      </w:r>
      <w:r w:rsidRPr="0013026D">
        <w:rPr>
          <w:rFonts w:ascii="Arial" w:hAnsi="Arial" w:cs="Arial"/>
          <w:i/>
        </w:rPr>
        <w:t>supuesto concreto. Resalta como en las normas de transparencia</w:t>
      </w:r>
      <w:r>
        <w:rPr>
          <w:rFonts w:ascii="Arial" w:hAnsi="Arial" w:cs="Arial"/>
          <w:i/>
        </w:rPr>
        <w:t xml:space="preserve"> </w:t>
      </w:r>
      <w:r w:rsidRPr="0013026D">
        <w:rPr>
          <w:rFonts w:ascii="Arial" w:hAnsi="Arial" w:cs="Arial"/>
          <w:i/>
        </w:rPr>
        <w:t>bancaria, la comisión de apertura tiene un tratamiento específico,</w:t>
      </w:r>
    </w:p>
    <w:p w14:paraId="44075760" w14:textId="77777777" w:rsidR="00D92513" w:rsidRDefault="00D92513" w:rsidP="00D92513">
      <w:pPr>
        <w:autoSpaceDE w:val="0"/>
        <w:autoSpaceDN w:val="0"/>
        <w:adjustRightInd w:val="0"/>
        <w:spacing w:line="360" w:lineRule="auto"/>
        <w:ind w:left="513"/>
        <w:jc w:val="both"/>
        <w:rPr>
          <w:rFonts w:ascii="Arial" w:hAnsi="Arial" w:cs="Arial"/>
          <w:i/>
        </w:rPr>
      </w:pPr>
      <w:r w:rsidRPr="0013026D">
        <w:rPr>
          <w:rFonts w:ascii="Arial" w:hAnsi="Arial" w:cs="Arial"/>
          <w:i/>
        </w:rPr>
        <w:t>diferente al del resto de las comisiones bancarias, que aparecía regulado</w:t>
      </w:r>
      <w:r>
        <w:rPr>
          <w:rFonts w:ascii="Arial" w:hAnsi="Arial" w:cs="Arial"/>
          <w:i/>
        </w:rPr>
        <w:t xml:space="preserve"> </w:t>
      </w:r>
      <w:r w:rsidRPr="0013026D">
        <w:rPr>
          <w:rFonts w:ascii="Arial" w:hAnsi="Arial" w:cs="Arial"/>
          <w:i/>
        </w:rPr>
        <w:t>en la Orden de 5 de mayo de 1994, sobre transparencia de las</w:t>
      </w:r>
      <w:r>
        <w:rPr>
          <w:rFonts w:ascii="Arial" w:hAnsi="Arial" w:cs="Arial"/>
          <w:i/>
        </w:rPr>
        <w:t xml:space="preserve"> </w:t>
      </w:r>
      <w:r w:rsidRPr="0013026D">
        <w:rPr>
          <w:rFonts w:ascii="Arial" w:hAnsi="Arial" w:cs="Arial"/>
          <w:i/>
        </w:rPr>
        <w:t>condiciones financieras de los préstamos hipotecarios (que se mantiene</w:t>
      </w:r>
      <w:r>
        <w:rPr>
          <w:rFonts w:ascii="Arial" w:hAnsi="Arial" w:cs="Arial"/>
          <w:i/>
        </w:rPr>
        <w:t xml:space="preserve"> </w:t>
      </w:r>
      <w:r w:rsidRPr="0013026D">
        <w:rPr>
          <w:rFonts w:ascii="Arial" w:hAnsi="Arial" w:cs="Arial"/>
          <w:i/>
        </w:rPr>
        <w:t>en la redacción originaria de la Ley 2/2009, de 31 de marzo) y actualmente se recoge en el art. 14 de la Ley 5/2019, de 15 de marzo,</w:t>
      </w:r>
      <w:r>
        <w:rPr>
          <w:rFonts w:ascii="Arial" w:hAnsi="Arial" w:cs="Arial"/>
          <w:i/>
        </w:rPr>
        <w:t xml:space="preserve"> </w:t>
      </w:r>
      <w:r w:rsidRPr="0013026D">
        <w:rPr>
          <w:rFonts w:ascii="Arial" w:hAnsi="Arial" w:cs="Arial"/>
          <w:i/>
        </w:rPr>
        <w:t>reguladora de los contratos de crédito inmobiliario.</w:t>
      </w:r>
    </w:p>
    <w:p w14:paraId="68AFD996" w14:textId="77777777" w:rsidR="00D92513" w:rsidRPr="0013026D" w:rsidRDefault="00D92513" w:rsidP="00D92513">
      <w:pPr>
        <w:autoSpaceDE w:val="0"/>
        <w:autoSpaceDN w:val="0"/>
        <w:adjustRightInd w:val="0"/>
        <w:spacing w:line="360" w:lineRule="auto"/>
        <w:ind w:left="513"/>
        <w:jc w:val="both"/>
        <w:rPr>
          <w:rFonts w:ascii="Arial" w:hAnsi="Arial" w:cs="Arial"/>
          <w:i/>
        </w:rPr>
      </w:pPr>
    </w:p>
    <w:p w14:paraId="3D3B35EB" w14:textId="77777777" w:rsidR="00D92513" w:rsidRPr="0013026D" w:rsidRDefault="00D92513" w:rsidP="00D92513">
      <w:pPr>
        <w:autoSpaceDE w:val="0"/>
        <w:autoSpaceDN w:val="0"/>
        <w:adjustRightInd w:val="0"/>
        <w:spacing w:line="360" w:lineRule="auto"/>
        <w:ind w:left="513"/>
        <w:jc w:val="both"/>
        <w:rPr>
          <w:rFonts w:ascii="Arial" w:hAnsi="Arial" w:cs="Arial"/>
          <w:i/>
        </w:rPr>
      </w:pPr>
      <w:r w:rsidRPr="0013026D">
        <w:rPr>
          <w:rFonts w:ascii="Arial" w:hAnsi="Arial" w:cs="Arial"/>
          <w:i/>
        </w:rPr>
        <w:t>Según afirma la cita sentencia, la jurisprudencia del Tribunal</w:t>
      </w:r>
      <w:r>
        <w:rPr>
          <w:rFonts w:ascii="Arial" w:hAnsi="Arial" w:cs="Arial"/>
          <w:i/>
        </w:rPr>
        <w:t xml:space="preserve"> </w:t>
      </w:r>
      <w:r w:rsidRPr="0013026D">
        <w:rPr>
          <w:rFonts w:ascii="Arial" w:hAnsi="Arial" w:cs="Arial"/>
          <w:i/>
        </w:rPr>
        <w:t>Supremo establecía que la transparencia de la comisión de apertura (esto</w:t>
      </w:r>
      <w:r>
        <w:rPr>
          <w:rFonts w:ascii="Arial" w:hAnsi="Arial" w:cs="Arial"/>
          <w:i/>
        </w:rPr>
        <w:t xml:space="preserve"> </w:t>
      </w:r>
      <w:r w:rsidRPr="0013026D">
        <w:rPr>
          <w:rFonts w:ascii="Arial" w:hAnsi="Arial" w:cs="Arial"/>
          <w:i/>
        </w:rPr>
        <w:t>es, que la cláusula en que se establece sea clara y comprensible), se</w:t>
      </w:r>
      <w:r>
        <w:rPr>
          <w:rFonts w:ascii="Arial" w:hAnsi="Arial" w:cs="Arial"/>
          <w:i/>
        </w:rPr>
        <w:t xml:space="preserve"> </w:t>
      </w:r>
      <w:r w:rsidRPr="0013026D">
        <w:rPr>
          <w:rFonts w:ascii="Arial" w:hAnsi="Arial" w:cs="Arial"/>
          <w:i/>
        </w:rPr>
        <w:t>superaba si se cumplía con la legislación nacional mencionada:</w:t>
      </w:r>
    </w:p>
    <w:p w14:paraId="23905DD3" w14:textId="77777777" w:rsidR="00D92513" w:rsidRDefault="00D92513" w:rsidP="00D92513">
      <w:pPr>
        <w:autoSpaceDE w:val="0"/>
        <w:autoSpaceDN w:val="0"/>
        <w:adjustRightInd w:val="0"/>
        <w:spacing w:line="360" w:lineRule="auto"/>
        <w:ind w:left="513"/>
        <w:jc w:val="both"/>
        <w:rPr>
          <w:rFonts w:ascii="Arial" w:hAnsi="Arial" w:cs="Arial"/>
          <w:i/>
        </w:rPr>
      </w:pPr>
    </w:p>
    <w:p w14:paraId="746C3F3E" w14:textId="77777777" w:rsidR="00D92513" w:rsidRPr="0013026D" w:rsidRDefault="00D92513" w:rsidP="00D92513">
      <w:pPr>
        <w:autoSpaceDE w:val="0"/>
        <w:autoSpaceDN w:val="0"/>
        <w:adjustRightInd w:val="0"/>
        <w:spacing w:line="360" w:lineRule="auto"/>
        <w:ind w:left="708"/>
        <w:jc w:val="both"/>
        <w:rPr>
          <w:rFonts w:ascii="Arial" w:hAnsi="Arial" w:cs="Arial"/>
          <w:i/>
        </w:rPr>
      </w:pPr>
      <w:proofErr w:type="gramStart"/>
      <w:r w:rsidRPr="0013026D">
        <w:rPr>
          <w:rFonts w:ascii="Arial" w:hAnsi="Arial" w:cs="Arial"/>
          <w:i/>
        </w:rPr>
        <w:t>.-</w:t>
      </w:r>
      <w:proofErr w:type="gramEnd"/>
      <w:r w:rsidRPr="0013026D">
        <w:rPr>
          <w:rFonts w:ascii="Arial" w:hAnsi="Arial" w:cs="Arial"/>
          <w:i/>
        </w:rPr>
        <w:t xml:space="preserve"> Agrupación en una sola comisión de todas las que pudieran</w:t>
      </w:r>
      <w:r>
        <w:rPr>
          <w:rFonts w:ascii="Arial" w:hAnsi="Arial" w:cs="Arial"/>
          <w:i/>
        </w:rPr>
        <w:t xml:space="preserve"> </w:t>
      </w:r>
      <w:r w:rsidRPr="0013026D">
        <w:rPr>
          <w:rFonts w:ascii="Arial" w:hAnsi="Arial" w:cs="Arial"/>
          <w:i/>
        </w:rPr>
        <w:t>corresponder a las gestiones realizadas con la concesión del préstamo</w:t>
      </w:r>
      <w:r>
        <w:rPr>
          <w:rFonts w:ascii="Arial" w:hAnsi="Arial" w:cs="Arial"/>
          <w:i/>
        </w:rPr>
        <w:t>.</w:t>
      </w:r>
    </w:p>
    <w:p w14:paraId="77C31452" w14:textId="77777777" w:rsidR="00D92513" w:rsidRDefault="00D92513" w:rsidP="00D92513">
      <w:pPr>
        <w:autoSpaceDE w:val="0"/>
        <w:autoSpaceDN w:val="0"/>
        <w:adjustRightInd w:val="0"/>
        <w:spacing w:line="360" w:lineRule="auto"/>
        <w:ind w:left="708"/>
        <w:jc w:val="both"/>
        <w:rPr>
          <w:rFonts w:ascii="Arial" w:hAnsi="Arial" w:cs="Arial"/>
          <w:i/>
        </w:rPr>
      </w:pPr>
      <w:proofErr w:type="gramStart"/>
      <w:r w:rsidRPr="0013026D">
        <w:rPr>
          <w:rFonts w:ascii="Arial" w:hAnsi="Arial" w:cs="Arial"/>
          <w:i/>
        </w:rPr>
        <w:t>.-</w:t>
      </w:r>
      <w:proofErr w:type="gramEnd"/>
      <w:r w:rsidRPr="0013026D">
        <w:rPr>
          <w:rFonts w:ascii="Arial" w:hAnsi="Arial" w:cs="Arial"/>
          <w:i/>
        </w:rPr>
        <w:t xml:space="preserve"> Devengo de una sola vez</w:t>
      </w:r>
      <w:r>
        <w:rPr>
          <w:rFonts w:ascii="Arial" w:hAnsi="Arial" w:cs="Arial"/>
          <w:i/>
        </w:rPr>
        <w:t>.</w:t>
      </w:r>
    </w:p>
    <w:p w14:paraId="5113E171" w14:textId="77777777" w:rsidR="007D401C" w:rsidRPr="0013026D" w:rsidRDefault="007D401C" w:rsidP="00D92513">
      <w:pPr>
        <w:autoSpaceDE w:val="0"/>
        <w:autoSpaceDN w:val="0"/>
        <w:adjustRightInd w:val="0"/>
        <w:spacing w:line="360" w:lineRule="auto"/>
        <w:ind w:left="708"/>
        <w:jc w:val="both"/>
        <w:rPr>
          <w:rFonts w:ascii="Arial" w:hAnsi="Arial" w:cs="Arial"/>
          <w:i/>
        </w:rPr>
      </w:pPr>
    </w:p>
    <w:p w14:paraId="11EF9616" w14:textId="77777777" w:rsidR="00D92513" w:rsidRPr="0013026D" w:rsidRDefault="00D92513" w:rsidP="00D92513">
      <w:pPr>
        <w:autoSpaceDE w:val="0"/>
        <w:autoSpaceDN w:val="0"/>
        <w:adjustRightInd w:val="0"/>
        <w:spacing w:line="360" w:lineRule="auto"/>
        <w:ind w:left="708"/>
        <w:jc w:val="both"/>
        <w:rPr>
          <w:rFonts w:ascii="Arial" w:hAnsi="Arial" w:cs="Arial"/>
          <w:i/>
        </w:rPr>
      </w:pPr>
      <w:proofErr w:type="gramStart"/>
      <w:r w:rsidRPr="0013026D">
        <w:rPr>
          <w:rFonts w:ascii="Arial" w:hAnsi="Arial" w:cs="Arial"/>
          <w:i/>
        </w:rPr>
        <w:lastRenderedPageBreak/>
        <w:t>.-</w:t>
      </w:r>
      <w:proofErr w:type="gramEnd"/>
      <w:r w:rsidRPr="0013026D">
        <w:rPr>
          <w:rFonts w:ascii="Arial" w:hAnsi="Arial" w:cs="Arial"/>
          <w:i/>
        </w:rPr>
        <w:t xml:space="preserve"> Información al consumidor de su existencia y cuantía;</w:t>
      </w:r>
      <w:r>
        <w:rPr>
          <w:rFonts w:ascii="Arial" w:hAnsi="Arial" w:cs="Arial"/>
          <w:i/>
        </w:rPr>
        <w:t xml:space="preserve"> </w:t>
      </w:r>
      <w:r w:rsidRPr="0013026D">
        <w:rPr>
          <w:rFonts w:ascii="Arial" w:hAnsi="Arial" w:cs="Arial"/>
          <w:i/>
        </w:rPr>
        <w:t>considerando válida que dicho conocimiento se produzca en la misma</w:t>
      </w:r>
      <w:r>
        <w:rPr>
          <w:rFonts w:ascii="Arial" w:hAnsi="Arial" w:cs="Arial"/>
          <w:i/>
        </w:rPr>
        <w:t xml:space="preserve"> </w:t>
      </w:r>
      <w:r w:rsidRPr="0013026D">
        <w:rPr>
          <w:rFonts w:ascii="Arial" w:hAnsi="Arial" w:cs="Arial"/>
          <w:i/>
        </w:rPr>
        <w:t>fecha de suscripción del contrato. El consumidor conoce la naturaleza de</w:t>
      </w:r>
      <w:r>
        <w:rPr>
          <w:rFonts w:ascii="Arial" w:hAnsi="Arial" w:cs="Arial"/>
          <w:i/>
        </w:rPr>
        <w:t xml:space="preserve"> </w:t>
      </w:r>
      <w:r w:rsidRPr="0013026D">
        <w:rPr>
          <w:rFonts w:ascii="Arial" w:hAnsi="Arial" w:cs="Arial"/>
          <w:i/>
        </w:rPr>
        <w:t>los servicios prestados en contrapartida a la comisión de apertura</w:t>
      </w:r>
    </w:p>
    <w:p w14:paraId="2F5D8D0E" w14:textId="77777777" w:rsidR="00D92513" w:rsidRPr="0013026D" w:rsidRDefault="00D92513" w:rsidP="00D92513">
      <w:pPr>
        <w:autoSpaceDE w:val="0"/>
        <w:autoSpaceDN w:val="0"/>
        <w:adjustRightInd w:val="0"/>
        <w:spacing w:line="360" w:lineRule="auto"/>
        <w:ind w:left="708"/>
        <w:jc w:val="both"/>
        <w:rPr>
          <w:rFonts w:ascii="Arial" w:hAnsi="Arial" w:cs="Arial"/>
          <w:i/>
        </w:rPr>
      </w:pPr>
      <w:r w:rsidRPr="0013026D">
        <w:rPr>
          <w:rFonts w:ascii="Arial" w:hAnsi="Arial" w:cs="Arial"/>
          <w:i/>
        </w:rPr>
        <w:t>figurando claramente en la escritura pública, individualizada en relación</w:t>
      </w:r>
      <w:r>
        <w:rPr>
          <w:rFonts w:ascii="Arial" w:hAnsi="Arial" w:cs="Arial"/>
          <w:i/>
        </w:rPr>
        <w:t xml:space="preserve"> </w:t>
      </w:r>
      <w:r w:rsidRPr="0013026D">
        <w:rPr>
          <w:rFonts w:ascii="Arial" w:hAnsi="Arial" w:cs="Arial"/>
          <w:i/>
        </w:rPr>
        <w:t>con otros pactos y condiciones, con términos resaltados y claros,</w:t>
      </w:r>
      <w:r>
        <w:rPr>
          <w:rFonts w:ascii="Arial" w:hAnsi="Arial" w:cs="Arial"/>
          <w:i/>
        </w:rPr>
        <w:t xml:space="preserve"> </w:t>
      </w:r>
      <w:r w:rsidRPr="0013026D">
        <w:rPr>
          <w:rFonts w:ascii="Arial" w:hAnsi="Arial" w:cs="Arial"/>
          <w:i/>
        </w:rPr>
        <w:t>mediante una lectura comprensiva. Y respecto de lo que supone</w:t>
      </w:r>
      <w:r>
        <w:rPr>
          <w:rFonts w:ascii="Arial" w:hAnsi="Arial" w:cs="Arial"/>
          <w:i/>
        </w:rPr>
        <w:t xml:space="preserve"> </w:t>
      </w:r>
      <w:r w:rsidRPr="0013026D">
        <w:rPr>
          <w:rFonts w:ascii="Arial" w:hAnsi="Arial" w:cs="Arial"/>
          <w:i/>
        </w:rPr>
        <w:t>económicamente, también es fácilmente comprensible en cuanto a su</w:t>
      </w:r>
      <w:r>
        <w:rPr>
          <w:rFonts w:ascii="Arial" w:hAnsi="Arial" w:cs="Arial"/>
          <w:i/>
        </w:rPr>
        <w:t xml:space="preserve"> </w:t>
      </w:r>
      <w:r w:rsidRPr="0013026D">
        <w:rPr>
          <w:rFonts w:ascii="Arial" w:hAnsi="Arial" w:cs="Arial"/>
          <w:i/>
        </w:rPr>
        <w:t>coste, que está predeterminado e indicado numéricamente.</w:t>
      </w:r>
    </w:p>
    <w:p w14:paraId="32F91B5E" w14:textId="77777777" w:rsidR="00D92513" w:rsidRDefault="00D92513" w:rsidP="00D92513">
      <w:pPr>
        <w:autoSpaceDE w:val="0"/>
        <w:autoSpaceDN w:val="0"/>
        <w:adjustRightInd w:val="0"/>
        <w:spacing w:line="360" w:lineRule="auto"/>
        <w:ind w:left="708"/>
        <w:jc w:val="both"/>
        <w:rPr>
          <w:rFonts w:ascii="Arial" w:hAnsi="Arial" w:cs="Arial"/>
          <w:i/>
        </w:rPr>
      </w:pPr>
      <w:proofErr w:type="gramStart"/>
      <w:r w:rsidRPr="0013026D">
        <w:rPr>
          <w:rFonts w:ascii="Arial" w:hAnsi="Arial" w:cs="Arial"/>
          <w:i/>
        </w:rPr>
        <w:t>.-</w:t>
      </w:r>
      <w:proofErr w:type="gramEnd"/>
      <w:r w:rsidRPr="0013026D">
        <w:rPr>
          <w:rFonts w:ascii="Arial" w:hAnsi="Arial" w:cs="Arial"/>
          <w:i/>
        </w:rPr>
        <w:t xml:space="preserve"> Inclusión en el cálculo de la TAE.</w:t>
      </w:r>
    </w:p>
    <w:p w14:paraId="199BB15A" w14:textId="77777777" w:rsidR="00D92513" w:rsidRPr="0013026D" w:rsidRDefault="00D92513" w:rsidP="00D92513">
      <w:pPr>
        <w:autoSpaceDE w:val="0"/>
        <w:autoSpaceDN w:val="0"/>
        <w:adjustRightInd w:val="0"/>
        <w:spacing w:line="360" w:lineRule="auto"/>
        <w:ind w:left="513"/>
        <w:jc w:val="both"/>
        <w:rPr>
          <w:rFonts w:ascii="Arial" w:hAnsi="Arial" w:cs="Arial"/>
          <w:i/>
        </w:rPr>
      </w:pPr>
    </w:p>
    <w:p w14:paraId="04EF9920" w14:textId="77777777" w:rsidR="00D92513" w:rsidRPr="0013026D" w:rsidRDefault="00D92513" w:rsidP="00D92513">
      <w:pPr>
        <w:autoSpaceDE w:val="0"/>
        <w:autoSpaceDN w:val="0"/>
        <w:adjustRightInd w:val="0"/>
        <w:spacing w:line="360" w:lineRule="auto"/>
        <w:ind w:left="513"/>
        <w:jc w:val="both"/>
        <w:rPr>
          <w:rFonts w:ascii="Arial" w:hAnsi="Arial" w:cs="Arial"/>
          <w:i/>
        </w:rPr>
      </w:pPr>
      <w:r w:rsidRPr="0013026D">
        <w:rPr>
          <w:rFonts w:ascii="Arial" w:hAnsi="Arial" w:cs="Arial"/>
          <w:i/>
        </w:rPr>
        <w:t>Y una vez superado este control, ya la sentencia 44/2019, de 23 de</w:t>
      </w:r>
      <w:r>
        <w:rPr>
          <w:rFonts w:ascii="Arial" w:hAnsi="Arial" w:cs="Arial"/>
          <w:i/>
        </w:rPr>
        <w:t xml:space="preserve"> </w:t>
      </w:r>
      <w:r w:rsidRPr="0013026D">
        <w:rPr>
          <w:rFonts w:ascii="Arial" w:hAnsi="Arial" w:cs="Arial"/>
          <w:i/>
        </w:rPr>
        <w:t>enero, disponía que «la cláusula que establece la comisión de apertura no</w:t>
      </w:r>
      <w:r>
        <w:rPr>
          <w:rFonts w:ascii="Arial" w:hAnsi="Arial" w:cs="Arial"/>
          <w:i/>
        </w:rPr>
        <w:t xml:space="preserve"> </w:t>
      </w:r>
      <w:r w:rsidRPr="0013026D">
        <w:rPr>
          <w:rFonts w:ascii="Arial" w:hAnsi="Arial" w:cs="Arial"/>
          <w:i/>
        </w:rPr>
        <w:t>es abusiva si supera el control de transparencia</w:t>
      </w:r>
      <w:proofErr w:type="gramStart"/>
      <w:r w:rsidRPr="0013026D">
        <w:rPr>
          <w:rFonts w:ascii="Arial" w:hAnsi="Arial" w:cs="Arial"/>
          <w:i/>
        </w:rPr>
        <w:t>» .</w:t>
      </w:r>
      <w:proofErr w:type="gramEnd"/>
      <w:r w:rsidRPr="0013026D">
        <w:rPr>
          <w:rFonts w:ascii="Arial" w:hAnsi="Arial" w:cs="Arial"/>
          <w:i/>
        </w:rPr>
        <w:t xml:space="preserve"> Si bien debe tenerse</w:t>
      </w:r>
      <w:r>
        <w:rPr>
          <w:rFonts w:ascii="Arial" w:hAnsi="Arial" w:cs="Arial"/>
          <w:i/>
        </w:rPr>
        <w:t xml:space="preserve"> </w:t>
      </w:r>
      <w:r w:rsidRPr="0013026D">
        <w:rPr>
          <w:rFonts w:ascii="Arial" w:hAnsi="Arial" w:cs="Arial"/>
          <w:i/>
        </w:rPr>
        <w:t>en cuenta en lo relativo al control de contenido que el Tribunal de Justicia</w:t>
      </w:r>
      <w:r>
        <w:rPr>
          <w:rFonts w:ascii="Arial" w:hAnsi="Arial" w:cs="Arial"/>
          <w:i/>
        </w:rPr>
        <w:t xml:space="preserve"> </w:t>
      </w:r>
      <w:r w:rsidRPr="0013026D">
        <w:rPr>
          <w:rFonts w:ascii="Arial" w:hAnsi="Arial" w:cs="Arial"/>
          <w:i/>
        </w:rPr>
        <w:t>de la Unión Europea en sentencia de 16/3/23, parte de que la comisión</w:t>
      </w:r>
    </w:p>
    <w:p w14:paraId="76D2026A" w14:textId="77777777" w:rsidR="00D92513" w:rsidRDefault="00D92513" w:rsidP="00D92513">
      <w:pPr>
        <w:autoSpaceDE w:val="0"/>
        <w:autoSpaceDN w:val="0"/>
        <w:adjustRightInd w:val="0"/>
        <w:spacing w:line="360" w:lineRule="auto"/>
        <w:ind w:left="513"/>
        <w:jc w:val="both"/>
        <w:rPr>
          <w:rFonts w:ascii="Arial" w:hAnsi="Arial" w:cs="Arial"/>
          <w:i/>
        </w:rPr>
      </w:pPr>
      <w:r w:rsidRPr="0013026D">
        <w:rPr>
          <w:rFonts w:ascii="Arial" w:hAnsi="Arial" w:cs="Arial"/>
          <w:i/>
        </w:rPr>
        <w:t>de apertura no es per se abusiva, sin perjuicio de que el tribunal nacional</w:t>
      </w:r>
      <w:r>
        <w:rPr>
          <w:rFonts w:ascii="Arial" w:hAnsi="Arial" w:cs="Arial"/>
          <w:i/>
        </w:rPr>
        <w:t xml:space="preserve"> </w:t>
      </w:r>
      <w:r w:rsidRPr="0013026D">
        <w:rPr>
          <w:rFonts w:ascii="Arial" w:hAnsi="Arial" w:cs="Arial"/>
          <w:i/>
        </w:rPr>
        <w:t>competente deba comprobar que: (i) no pueda considerarse</w:t>
      </w:r>
      <w:r>
        <w:rPr>
          <w:rFonts w:ascii="Arial" w:hAnsi="Arial" w:cs="Arial"/>
          <w:i/>
        </w:rPr>
        <w:t xml:space="preserve"> </w:t>
      </w:r>
      <w:r w:rsidRPr="0013026D">
        <w:rPr>
          <w:rFonts w:ascii="Arial" w:hAnsi="Arial" w:cs="Arial"/>
          <w:i/>
        </w:rPr>
        <w:t>razonablemente que los servicios proporcionados como contrapartida se</w:t>
      </w:r>
      <w:r>
        <w:rPr>
          <w:rFonts w:ascii="Arial" w:hAnsi="Arial" w:cs="Arial"/>
          <w:i/>
        </w:rPr>
        <w:t xml:space="preserve"> </w:t>
      </w:r>
      <w:r w:rsidRPr="0013026D">
        <w:rPr>
          <w:rFonts w:ascii="Arial" w:hAnsi="Arial" w:cs="Arial"/>
          <w:i/>
        </w:rPr>
        <w:t>prestan en el ámbito de las prestaciones antes descritas; o (</w:t>
      </w:r>
      <w:proofErr w:type="spellStart"/>
      <w:r w:rsidRPr="0013026D">
        <w:rPr>
          <w:rFonts w:ascii="Arial" w:hAnsi="Arial" w:cs="Arial"/>
          <w:i/>
        </w:rPr>
        <w:t>ii</w:t>
      </w:r>
      <w:proofErr w:type="spellEnd"/>
      <w:r w:rsidRPr="0013026D">
        <w:rPr>
          <w:rFonts w:ascii="Arial" w:hAnsi="Arial" w:cs="Arial"/>
          <w:i/>
        </w:rPr>
        <w:t>) que el</w:t>
      </w:r>
      <w:r>
        <w:rPr>
          <w:rFonts w:ascii="Arial" w:hAnsi="Arial" w:cs="Arial"/>
          <w:i/>
        </w:rPr>
        <w:t xml:space="preserve"> </w:t>
      </w:r>
      <w:r w:rsidRPr="0013026D">
        <w:rPr>
          <w:rFonts w:ascii="Arial" w:hAnsi="Arial" w:cs="Arial"/>
          <w:i/>
        </w:rPr>
        <w:t>importe que debe abonar el consumidor en concepto de dicha comisión</w:t>
      </w:r>
      <w:r>
        <w:rPr>
          <w:rFonts w:ascii="Arial" w:hAnsi="Arial" w:cs="Arial"/>
          <w:i/>
        </w:rPr>
        <w:t xml:space="preserve"> </w:t>
      </w:r>
      <w:r w:rsidRPr="0013026D">
        <w:rPr>
          <w:rFonts w:ascii="Arial" w:hAnsi="Arial" w:cs="Arial"/>
          <w:i/>
        </w:rPr>
        <w:t>sea desproporcionado en relación con el importe del préstamo (habiendo recogido la sentencia del TS que según las estadísticas del coste medio</w:t>
      </w:r>
      <w:r>
        <w:rPr>
          <w:rFonts w:ascii="Arial" w:hAnsi="Arial" w:cs="Arial"/>
          <w:i/>
        </w:rPr>
        <w:t xml:space="preserve"> </w:t>
      </w:r>
      <w:r w:rsidRPr="0013026D">
        <w:rPr>
          <w:rFonts w:ascii="Arial" w:hAnsi="Arial" w:cs="Arial"/>
          <w:i/>
        </w:rPr>
        <w:t>de comisiones de apertura en España accesibles en internet, dicho coste</w:t>
      </w:r>
      <w:r>
        <w:rPr>
          <w:rFonts w:ascii="Arial" w:hAnsi="Arial" w:cs="Arial"/>
          <w:i/>
        </w:rPr>
        <w:t xml:space="preserve"> </w:t>
      </w:r>
      <w:r w:rsidRPr="0013026D">
        <w:rPr>
          <w:rFonts w:ascii="Arial" w:hAnsi="Arial" w:cs="Arial"/>
          <w:i/>
        </w:rPr>
        <w:t>oscila entre 0,25% y 1,50%; por lo que en principio, las comisiones que</w:t>
      </w:r>
      <w:r>
        <w:rPr>
          <w:rFonts w:ascii="Arial" w:hAnsi="Arial" w:cs="Arial"/>
          <w:i/>
        </w:rPr>
        <w:t xml:space="preserve"> </w:t>
      </w:r>
      <w:r w:rsidRPr="0013026D">
        <w:rPr>
          <w:rFonts w:ascii="Arial" w:hAnsi="Arial" w:cs="Arial"/>
          <w:i/>
        </w:rPr>
        <w:t>se muevan en este arco no serían consideradas como abusivas).</w:t>
      </w:r>
    </w:p>
    <w:p w14:paraId="71B399A3" w14:textId="77777777" w:rsidR="00D92513" w:rsidRPr="0013026D" w:rsidRDefault="00D92513" w:rsidP="00D92513">
      <w:pPr>
        <w:autoSpaceDE w:val="0"/>
        <w:autoSpaceDN w:val="0"/>
        <w:adjustRightInd w:val="0"/>
        <w:spacing w:line="360" w:lineRule="auto"/>
        <w:ind w:left="513"/>
        <w:jc w:val="both"/>
        <w:rPr>
          <w:rFonts w:ascii="Arial" w:hAnsi="Arial" w:cs="Arial"/>
          <w:i/>
        </w:rPr>
      </w:pPr>
    </w:p>
    <w:p w14:paraId="1219E93F" w14:textId="77777777" w:rsidR="00D92513" w:rsidRPr="0013026D" w:rsidRDefault="00D92513" w:rsidP="00D92513">
      <w:pPr>
        <w:autoSpaceDE w:val="0"/>
        <w:autoSpaceDN w:val="0"/>
        <w:adjustRightInd w:val="0"/>
        <w:spacing w:line="360" w:lineRule="auto"/>
        <w:ind w:left="513"/>
        <w:jc w:val="both"/>
        <w:rPr>
          <w:rFonts w:ascii="Arial" w:hAnsi="Arial" w:cs="Arial"/>
          <w:i/>
        </w:rPr>
      </w:pPr>
      <w:r w:rsidRPr="0013026D">
        <w:rPr>
          <w:rFonts w:ascii="Arial" w:hAnsi="Arial" w:cs="Arial"/>
          <w:i/>
        </w:rPr>
        <w:t>En el supuesto de autos, la comisión de apertura pactada cumple</w:t>
      </w:r>
      <w:r>
        <w:rPr>
          <w:rFonts w:ascii="Arial" w:hAnsi="Arial" w:cs="Arial"/>
          <w:i/>
        </w:rPr>
        <w:t xml:space="preserve"> </w:t>
      </w:r>
      <w:r w:rsidRPr="0013026D">
        <w:rPr>
          <w:rFonts w:ascii="Arial" w:hAnsi="Arial" w:cs="Arial"/>
          <w:i/>
        </w:rPr>
        <w:t>todos los requisitos anteriormente mencionados por lo cual deberá</w:t>
      </w:r>
      <w:r>
        <w:rPr>
          <w:rFonts w:ascii="Arial" w:hAnsi="Arial" w:cs="Arial"/>
          <w:i/>
        </w:rPr>
        <w:t xml:space="preserve"> </w:t>
      </w:r>
      <w:proofErr w:type="gramStart"/>
      <w:r w:rsidRPr="0013026D">
        <w:rPr>
          <w:rFonts w:ascii="Arial" w:hAnsi="Arial" w:cs="Arial"/>
          <w:i/>
        </w:rPr>
        <w:t>procederse a declarar</w:t>
      </w:r>
      <w:proofErr w:type="gramEnd"/>
      <w:r w:rsidRPr="0013026D">
        <w:rPr>
          <w:rFonts w:ascii="Arial" w:hAnsi="Arial" w:cs="Arial"/>
          <w:i/>
        </w:rPr>
        <w:t xml:space="preserve"> su validez estimando en este punto el recurso</w:t>
      </w:r>
      <w:r>
        <w:rPr>
          <w:rFonts w:ascii="Arial" w:hAnsi="Arial" w:cs="Arial"/>
          <w:i/>
        </w:rPr>
        <w:t xml:space="preserve"> </w:t>
      </w:r>
      <w:r w:rsidRPr="0013026D">
        <w:rPr>
          <w:rFonts w:ascii="Arial" w:hAnsi="Arial" w:cs="Arial"/>
          <w:i/>
        </w:rPr>
        <w:t>interpuesto por la entidad bancaria.</w:t>
      </w:r>
    </w:p>
    <w:p w14:paraId="0715C013" w14:textId="77777777" w:rsidR="00D92513" w:rsidRDefault="00D92513" w:rsidP="00D92513">
      <w:pPr>
        <w:spacing w:line="360" w:lineRule="auto"/>
        <w:ind w:left="-567" w:right="140"/>
        <w:jc w:val="both"/>
        <w:rPr>
          <w:rFonts w:ascii="Arial" w:hAnsi="Arial" w:cs="Arial"/>
        </w:rPr>
      </w:pPr>
    </w:p>
    <w:p w14:paraId="6876567E" w14:textId="77777777" w:rsidR="00D92513" w:rsidRDefault="00D92513" w:rsidP="00D92513">
      <w:pPr>
        <w:spacing w:line="360" w:lineRule="auto"/>
        <w:ind w:left="-567" w:right="140"/>
        <w:jc w:val="both"/>
        <w:rPr>
          <w:rFonts w:ascii="Arial" w:hAnsi="Arial" w:cs="Arial"/>
        </w:rPr>
      </w:pPr>
      <w:r>
        <w:rPr>
          <w:rFonts w:ascii="Arial" w:hAnsi="Arial" w:cs="Arial"/>
        </w:rPr>
        <w:t>Igualmente,</w:t>
      </w:r>
      <w:r w:rsidRPr="002B08B6">
        <w:rPr>
          <w:rFonts w:ascii="Arial" w:hAnsi="Arial" w:cs="Arial"/>
        </w:rPr>
        <w:t xml:space="preserve"> </w:t>
      </w:r>
      <w:r w:rsidRPr="002B08B6">
        <w:rPr>
          <w:rFonts w:ascii="Arial" w:hAnsi="Arial" w:cs="Arial"/>
          <w:b/>
        </w:rPr>
        <w:t xml:space="preserve">la Sentencia núm. </w:t>
      </w:r>
      <w:r>
        <w:rPr>
          <w:rFonts w:ascii="Arial" w:hAnsi="Arial" w:cs="Arial"/>
          <w:b/>
        </w:rPr>
        <w:t>400</w:t>
      </w:r>
      <w:r w:rsidRPr="002B08B6">
        <w:rPr>
          <w:rFonts w:ascii="Arial" w:hAnsi="Arial" w:cs="Arial"/>
          <w:b/>
        </w:rPr>
        <w:t xml:space="preserve">/2023, de la Audiencia Provincial de </w:t>
      </w:r>
      <w:r>
        <w:rPr>
          <w:rFonts w:ascii="Arial" w:hAnsi="Arial" w:cs="Arial"/>
          <w:b/>
        </w:rPr>
        <w:t>Badajoz, Sección 2</w:t>
      </w:r>
      <w:r w:rsidRPr="002B08B6">
        <w:rPr>
          <w:rFonts w:ascii="Arial" w:hAnsi="Arial" w:cs="Arial"/>
          <w:b/>
        </w:rPr>
        <w:t xml:space="preserve">ª, de </w:t>
      </w:r>
      <w:r>
        <w:rPr>
          <w:rFonts w:ascii="Arial" w:hAnsi="Arial" w:cs="Arial"/>
          <w:b/>
        </w:rPr>
        <w:t>8 de junio</w:t>
      </w:r>
      <w:r>
        <w:rPr>
          <w:rFonts w:ascii="Arial" w:hAnsi="Arial" w:cs="Arial"/>
        </w:rPr>
        <w:t xml:space="preserve">, </w:t>
      </w:r>
      <w:proofErr w:type="gramStart"/>
      <w:r>
        <w:rPr>
          <w:rFonts w:ascii="Arial" w:hAnsi="Arial" w:cs="Arial"/>
        </w:rPr>
        <w:t>que</w:t>
      </w:r>
      <w:proofErr w:type="gramEnd"/>
      <w:r>
        <w:rPr>
          <w:rFonts w:ascii="Arial" w:hAnsi="Arial" w:cs="Arial"/>
        </w:rPr>
        <w:t xml:space="preserve"> aplicando la reciente jurisprudencia, entiende también que la cláusula de comisión de apertura es válida:</w:t>
      </w:r>
    </w:p>
    <w:p w14:paraId="1EE10574" w14:textId="77777777" w:rsidR="00D92513" w:rsidRDefault="00D92513" w:rsidP="00D92513">
      <w:pPr>
        <w:spacing w:line="360" w:lineRule="auto"/>
        <w:ind w:left="-567" w:right="140"/>
        <w:jc w:val="both"/>
        <w:rPr>
          <w:rFonts w:ascii="Arial" w:hAnsi="Arial" w:cs="Arial"/>
        </w:rPr>
      </w:pPr>
    </w:p>
    <w:p w14:paraId="399AF946" w14:textId="77777777" w:rsidR="00D92513" w:rsidRPr="00133B06" w:rsidRDefault="00D92513" w:rsidP="00D92513">
      <w:pPr>
        <w:autoSpaceDE w:val="0"/>
        <w:autoSpaceDN w:val="0"/>
        <w:adjustRightInd w:val="0"/>
        <w:spacing w:line="360" w:lineRule="auto"/>
        <w:ind w:left="513"/>
        <w:jc w:val="both"/>
        <w:rPr>
          <w:rFonts w:ascii="Arial" w:hAnsi="Arial" w:cs="Arial"/>
          <w:i/>
        </w:rPr>
      </w:pPr>
      <w:r w:rsidRPr="00133B06">
        <w:rPr>
          <w:rFonts w:ascii="Arial" w:hAnsi="Arial" w:cs="Arial"/>
          <w:i/>
        </w:rPr>
        <w:t xml:space="preserve">Pues bien, siguiendo tal doctrina, en el presente caso, constatamos que se ha cumplido con lo establecido en el apartado 4.1 del Anexo II de la Orden de 5 de mayo de 1994, que imponía que la comisión debía comprender todos («cualesquiera») los gastos de estudio, concesión o tramitación del préstamo hipotecario, u otros similares inherentes a la actividad de la entidad prestamista ocasionada por la concesión del préstamo; que debía integrarse obligatoriamente en una única comisión, que tenía que denominarse necesariamente «comisión de apertura»; que dicha comisión se devengaría de una sola vez; y, finalmente, </w:t>
      </w:r>
      <w:r w:rsidRPr="00133B06">
        <w:rPr>
          <w:rFonts w:ascii="Arial" w:hAnsi="Arial" w:cs="Arial"/>
          <w:i/>
        </w:rPr>
        <w:lastRenderedPageBreak/>
        <w:t xml:space="preserve">que su importe y su forma y fecha de liquidación debían estar especificados en la propia cláusula. </w:t>
      </w:r>
    </w:p>
    <w:p w14:paraId="0959CCDF" w14:textId="77777777" w:rsidR="00D92513" w:rsidRPr="00133B06" w:rsidRDefault="00D92513" w:rsidP="00D92513">
      <w:pPr>
        <w:autoSpaceDE w:val="0"/>
        <w:autoSpaceDN w:val="0"/>
        <w:adjustRightInd w:val="0"/>
        <w:spacing w:line="360" w:lineRule="auto"/>
        <w:ind w:left="513"/>
        <w:jc w:val="both"/>
        <w:rPr>
          <w:rFonts w:ascii="Arial" w:hAnsi="Arial" w:cs="Arial"/>
          <w:i/>
        </w:rPr>
      </w:pPr>
      <w:r w:rsidRPr="00133B06">
        <w:rPr>
          <w:rFonts w:ascii="Arial" w:hAnsi="Arial" w:cs="Arial"/>
          <w:i/>
        </w:rPr>
        <w:t xml:space="preserve">La cláusula era comprensible por el consumidor, pues figuraba claramente en la escritura pública, individualizada y resaltada como un pago único e inicial si se disponía de una sola vez de la totalidad del crédito, tal y como sucedió. </w:t>
      </w:r>
    </w:p>
    <w:p w14:paraId="551543B4" w14:textId="77777777" w:rsidR="00D92513" w:rsidRPr="00133B06" w:rsidRDefault="00D92513" w:rsidP="00D92513">
      <w:pPr>
        <w:autoSpaceDE w:val="0"/>
        <w:autoSpaceDN w:val="0"/>
        <w:adjustRightInd w:val="0"/>
        <w:spacing w:line="360" w:lineRule="auto"/>
        <w:ind w:left="513"/>
        <w:jc w:val="both"/>
        <w:rPr>
          <w:rFonts w:ascii="Arial" w:hAnsi="Arial" w:cs="Arial"/>
          <w:i/>
        </w:rPr>
      </w:pPr>
      <w:r w:rsidRPr="00133B06">
        <w:rPr>
          <w:rFonts w:ascii="Arial" w:hAnsi="Arial" w:cs="Arial"/>
          <w:i/>
        </w:rPr>
        <w:t>La carga económica era conocida, pues el coste estaba predeterminado e indicado numéricamente y, además, el prestatario supo de su cobro en la misma fecha y se incluye como uno de los conceptos integrantes de la TAE.</w:t>
      </w:r>
    </w:p>
    <w:p w14:paraId="2BD32F2D" w14:textId="77777777" w:rsidR="00D92513" w:rsidRPr="00133B06" w:rsidRDefault="00D92513" w:rsidP="00D92513">
      <w:pPr>
        <w:autoSpaceDE w:val="0"/>
        <w:autoSpaceDN w:val="0"/>
        <w:adjustRightInd w:val="0"/>
        <w:spacing w:line="360" w:lineRule="auto"/>
        <w:ind w:left="513"/>
        <w:jc w:val="both"/>
        <w:rPr>
          <w:rFonts w:ascii="Arial" w:hAnsi="Arial" w:cs="Arial"/>
          <w:i/>
        </w:rPr>
      </w:pPr>
      <w:r w:rsidRPr="00133B06">
        <w:rPr>
          <w:rFonts w:ascii="Arial" w:hAnsi="Arial" w:cs="Arial"/>
          <w:i/>
        </w:rPr>
        <w:t xml:space="preserve">No consta solapamiento de comisiones ni consta que se cobrara por ello otra cantidad diferente. </w:t>
      </w:r>
    </w:p>
    <w:p w14:paraId="5FC5A291" w14:textId="77777777" w:rsidR="00D92513" w:rsidRPr="00133B06" w:rsidRDefault="00D92513" w:rsidP="00D92513">
      <w:pPr>
        <w:autoSpaceDE w:val="0"/>
        <w:autoSpaceDN w:val="0"/>
        <w:adjustRightInd w:val="0"/>
        <w:spacing w:line="360" w:lineRule="auto"/>
        <w:ind w:left="513"/>
        <w:jc w:val="both"/>
        <w:rPr>
          <w:rFonts w:ascii="Arial" w:hAnsi="Arial" w:cs="Arial"/>
          <w:i/>
        </w:rPr>
      </w:pPr>
      <w:r w:rsidRPr="00133B06">
        <w:rPr>
          <w:rFonts w:ascii="Arial" w:hAnsi="Arial" w:cs="Arial"/>
          <w:i/>
        </w:rPr>
        <w:t xml:space="preserve">Finalmente, la sala aprecia que el importe cobrado, 649,09 euros, no es desproporcionado, en relación con el total de capital prestado. </w:t>
      </w:r>
    </w:p>
    <w:p w14:paraId="3BFA90FB" w14:textId="77777777" w:rsidR="00D92513" w:rsidRPr="00133B06" w:rsidRDefault="00D92513" w:rsidP="00D92513">
      <w:pPr>
        <w:autoSpaceDE w:val="0"/>
        <w:autoSpaceDN w:val="0"/>
        <w:adjustRightInd w:val="0"/>
        <w:spacing w:line="360" w:lineRule="auto"/>
        <w:ind w:left="513"/>
        <w:jc w:val="both"/>
        <w:rPr>
          <w:rFonts w:ascii="Arial" w:hAnsi="Arial" w:cs="Arial"/>
          <w:i/>
        </w:rPr>
      </w:pPr>
      <w:r w:rsidRPr="00133B06">
        <w:rPr>
          <w:rFonts w:ascii="Arial" w:hAnsi="Arial" w:cs="Arial"/>
          <w:i/>
        </w:rPr>
        <w:t>Por todo ello, procede la estimación del recurso, dejando sin efecto la declaración de nulidad emitida en la resolución recurrida y el consecuente pronunciamiento de condena a la devolución de la cantidad abonada en concepto de comisión de apertura.</w:t>
      </w:r>
    </w:p>
    <w:p w14:paraId="1698D423" w14:textId="77777777" w:rsidR="00D92513" w:rsidRDefault="00D92513" w:rsidP="00D92513">
      <w:pPr>
        <w:spacing w:line="360" w:lineRule="auto"/>
        <w:ind w:left="-567" w:right="140"/>
        <w:jc w:val="both"/>
        <w:rPr>
          <w:rFonts w:ascii="Arial" w:hAnsi="Arial" w:cs="Arial"/>
        </w:rPr>
      </w:pPr>
    </w:p>
    <w:p w14:paraId="000F0C39" w14:textId="77777777" w:rsidR="00D92513" w:rsidRPr="00C77F1B" w:rsidRDefault="00D92513" w:rsidP="00D92513">
      <w:pPr>
        <w:spacing w:line="360" w:lineRule="auto"/>
        <w:jc w:val="both"/>
        <w:rPr>
          <w:rFonts w:ascii="Arial" w:hAnsi="Arial" w:cs="Arial"/>
        </w:rPr>
      </w:pPr>
      <w:r w:rsidRPr="00C77F1B">
        <w:rPr>
          <w:rFonts w:ascii="Arial" w:hAnsi="Arial" w:cs="Arial"/>
        </w:rPr>
        <w:t xml:space="preserve">O la </w:t>
      </w:r>
      <w:r w:rsidRPr="00C77F1B">
        <w:rPr>
          <w:rFonts w:ascii="Arial" w:hAnsi="Arial" w:cs="Arial"/>
          <w:b/>
          <w:bCs/>
        </w:rPr>
        <w:t xml:space="preserve">Sentencia </w:t>
      </w:r>
      <w:r>
        <w:rPr>
          <w:rFonts w:ascii="Arial" w:hAnsi="Arial" w:cs="Arial"/>
          <w:b/>
          <w:bCs/>
        </w:rPr>
        <w:t xml:space="preserve">núm. 458/2023, de la Audiencia Provincial de Palma de Mallorca, Sección Quinta, </w:t>
      </w:r>
      <w:r w:rsidRPr="00C77F1B">
        <w:rPr>
          <w:rFonts w:ascii="Arial" w:hAnsi="Arial" w:cs="Arial"/>
          <w:b/>
          <w:bCs/>
        </w:rPr>
        <w:t>de 8 de junio</w:t>
      </w:r>
      <w:r w:rsidRPr="00C77F1B">
        <w:rPr>
          <w:rFonts w:ascii="Arial" w:hAnsi="Arial" w:cs="Arial"/>
        </w:rPr>
        <w:t xml:space="preserve">. </w:t>
      </w:r>
    </w:p>
    <w:p w14:paraId="5C54A173" w14:textId="77777777" w:rsidR="00D92513" w:rsidRPr="00C77F1B" w:rsidRDefault="00D92513" w:rsidP="00D92513">
      <w:pPr>
        <w:autoSpaceDE w:val="0"/>
        <w:autoSpaceDN w:val="0"/>
        <w:adjustRightInd w:val="0"/>
        <w:spacing w:line="360" w:lineRule="auto"/>
        <w:ind w:left="513"/>
        <w:jc w:val="both"/>
        <w:rPr>
          <w:rFonts w:ascii="Arial" w:hAnsi="Arial" w:cs="Arial"/>
          <w:i/>
        </w:rPr>
      </w:pPr>
      <w:r w:rsidRPr="00C77F1B">
        <w:rPr>
          <w:rFonts w:ascii="Arial" w:hAnsi="Arial" w:cs="Arial"/>
          <w:i/>
        </w:rPr>
        <w:t>En este caso las exigencias de transparencia que exigía la normativa bancaria que regía en la fecha del contrato son las de la Orden de 5 de mayo de 1994.</w:t>
      </w:r>
    </w:p>
    <w:p w14:paraId="35C2A234" w14:textId="77777777" w:rsidR="00D92513" w:rsidRPr="00C77F1B" w:rsidRDefault="00D92513" w:rsidP="00D92513">
      <w:pPr>
        <w:autoSpaceDE w:val="0"/>
        <w:autoSpaceDN w:val="0"/>
        <w:adjustRightInd w:val="0"/>
        <w:spacing w:line="360" w:lineRule="auto"/>
        <w:ind w:left="513"/>
        <w:jc w:val="both"/>
        <w:rPr>
          <w:rFonts w:ascii="Arial" w:hAnsi="Arial" w:cs="Arial"/>
          <w:i/>
        </w:rPr>
      </w:pPr>
      <w:r w:rsidRPr="00C77F1B">
        <w:rPr>
          <w:rFonts w:ascii="Arial" w:hAnsi="Arial" w:cs="Arial"/>
          <w:i/>
        </w:rPr>
        <w:t>Los requisitos de transparencia de la comisión de apertura que exigía la normativa bancaria que regía en la fecha del contrato (apartado 4.1 del anexo II de la Orden de 5 de mayo de 1994, sobre transparencia de las condiciones financieras de los préstamos hipotecarios), se cumplen en este caso. La comisión de apertura comprende todos los gastos de estudio, concesión o tramitación del préstamo, se integra en una única comisión que se denomina comisión de apertura, se devenga de una sola vez y su importe y fecha de liquidación están especificados en la escritura.</w:t>
      </w:r>
    </w:p>
    <w:p w14:paraId="06D57BD0" w14:textId="77777777" w:rsidR="00D92513" w:rsidRPr="00C77F1B" w:rsidRDefault="00D92513" w:rsidP="00D92513">
      <w:pPr>
        <w:autoSpaceDE w:val="0"/>
        <w:autoSpaceDN w:val="0"/>
        <w:adjustRightInd w:val="0"/>
        <w:spacing w:line="360" w:lineRule="auto"/>
        <w:ind w:left="513"/>
        <w:jc w:val="both"/>
        <w:rPr>
          <w:rFonts w:ascii="Arial" w:hAnsi="Arial" w:cs="Arial"/>
          <w:i/>
        </w:rPr>
      </w:pPr>
      <w:r w:rsidRPr="00C77F1B">
        <w:rPr>
          <w:rFonts w:ascii="Arial" w:hAnsi="Arial" w:cs="Arial"/>
          <w:i/>
        </w:rPr>
        <w:t>En la escritura se hace constar (…)</w:t>
      </w:r>
    </w:p>
    <w:p w14:paraId="46FB82A6" w14:textId="77777777" w:rsidR="00D92513" w:rsidRPr="00C77F1B" w:rsidRDefault="00D92513" w:rsidP="00D92513">
      <w:pPr>
        <w:autoSpaceDE w:val="0"/>
        <w:autoSpaceDN w:val="0"/>
        <w:adjustRightInd w:val="0"/>
        <w:spacing w:line="360" w:lineRule="auto"/>
        <w:ind w:left="513"/>
        <w:jc w:val="both"/>
        <w:rPr>
          <w:rFonts w:ascii="Arial" w:hAnsi="Arial" w:cs="Arial"/>
          <w:i/>
        </w:rPr>
      </w:pPr>
      <w:r w:rsidRPr="00C77F1B">
        <w:rPr>
          <w:rFonts w:ascii="Arial" w:hAnsi="Arial" w:cs="Arial"/>
          <w:i/>
        </w:rPr>
        <w:t>La cláusula relativa a la comisión de apertura figura claramente en la escritura, individualizada en relación con otros pactos y condiciones (incluso relativos a otras comisiones), sus términos están resaltados y queda claro que consiste en un pago único e inicial, también es fácilmente comprensible en cuanto a su coste y los prestatarios supieron de su cobro en la misma fecha.</w:t>
      </w:r>
    </w:p>
    <w:p w14:paraId="39CFFAF6" w14:textId="77777777" w:rsidR="00D92513" w:rsidRPr="00C77F1B" w:rsidRDefault="00D92513" w:rsidP="00D92513">
      <w:pPr>
        <w:autoSpaceDE w:val="0"/>
        <w:autoSpaceDN w:val="0"/>
        <w:adjustRightInd w:val="0"/>
        <w:spacing w:line="360" w:lineRule="auto"/>
        <w:ind w:left="513"/>
        <w:jc w:val="both"/>
        <w:rPr>
          <w:rFonts w:ascii="Arial" w:hAnsi="Arial" w:cs="Arial"/>
          <w:i/>
        </w:rPr>
      </w:pPr>
      <w:r w:rsidRPr="00C77F1B">
        <w:rPr>
          <w:rFonts w:ascii="Arial" w:hAnsi="Arial" w:cs="Arial"/>
          <w:i/>
        </w:rPr>
        <w:t>No hay solapamiento de comisiones por el mismo concepto ya que del examen de la escritura pública no consta que por el estudio y concesión del préstamo se cobrara otra cantidad diferente, pues en la escritura figuran otras comisiones, pero por conceptos distintos y claramente diferenciados.</w:t>
      </w:r>
    </w:p>
    <w:p w14:paraId="7ADB9557" w14:textId="77777777" w:rsidR="00D92513" w:rsidRPr="00C77F1B" w:rsidRDefault="00D92513" w:rsidP="00D92513">
      <w:pPr>
        <w:autoSpaceDE w:val="0"/>
        <w:autoSpaceDN w:val="0"/>
        <w:adjustRightInd w:val="0"/>
        <w:spacing w:line="360" w:lineRule="auto"/>
        <w:ind w:left="513"/>
        <w:jc w:val="both"/>
        <w:rPr>
          <w:rFonts w:ascii="Arial" w:hAnsi="Arial" w:cs="Arial"/>
          <w:i/>
        </w:rPr>
      </w:pPr>
      <w:r w:rsidRPr="00C77F1B">
        <w:rPr>
          <w:rFonts w:ascii="Arial" w:hAnsi="Arial" w:cs="Arial"/>
          <w:i/>
        </w:rPr>
        <w:t>Respecto de la proporcionalidad, según las estadísticas del coste medio de comisiones de apertura en España, accesibles en internet, dicho coste oscila entre 0,25% y 1,50%. Por tanto, el 1% sobre el capital prestado no se considera desproporcionado.</w:t>
      </w:r>
    </w:p>
    <w:p w14:paraId="54FD32F9" w14:textId="77777777" w:rsidR="00D92513" w:rsidRPr="00C77F1B" w:rsidRDefault="00D92513" w:rsidP="00D92513">
      <w:pPr>
        <w:autoSpaceDE w:val="0"/>
        <w:autoSpaceDN w:val="0"/>
        <w:adjustRightInd w:val="0"/>
        <w:spacing w:line="360" w:lineRule="auto"/>
        <w:ind w:left="513"/>
        <w:jc w:val="both"/>
        <w:rPr>
          <w:rFonts w:ascii="Arial" w:hAnsi="Arial" w:cs="Arial"/>
          <w:i/>
        </w:rPr>
      </w:pPr>
      <w:r w:rsidRPr="00C77F1B">
        <w:rPr>
          <w:rFonts w:ascii="Arial" w:hAnsi="Arial" w:cs="Arial"/>
          <w:i/>
        </w:rPr>
        <w:lastRenderedPageBreak/>
        <w:t>Por tanto, en este caso, la cláusula que impuso el pago de la comisión de apertura fue transparente y no abusiva y, en consecuencia, se estima el motivo de apelación y se revoca la sentencia de primera instancia en cuanto declara la nulidad de la cláusula relativa a la comisión de apertura contenida en la escritura de fecha 4/4/2002, a que se refiere el presente procedimiento.</w:t>
      </w:r>
    </w:p>
    <w:p w14:paraId="10996AC7" w14:textId="77777777" w:rsidR="00D92513" w:rsidRPr="00C77F1B" w:rsidRDefault="00D92513" w:rsidP="00D92513">
      <w:pPr>
        <w:autoSpaceDE w:val="0"/>
        <w:autoSpaceDN w:val="0"/>
        <w:adjustRightInd w:val="0"/>
        <w:spacing w:line="360" w:lineRule="auto"/>
        <w:ind w:left="513"/>
        <w:jc w:val="both"/>
        <w:rPr>
          <w:rFonts w:ascii="Arial" w:hAnsi="Arial" w:cs="Arial"/>
          <w:i/>
        </w:rPr>
      </w:pPr>
      <w:r w:rsidRPr="00C77F1B">
        <w:rPr>
          <w:rFonts w:ascii="Arial" w:hAnsi="Arial" w:cs="Arial"/>
          <w:i/>
        </w:rPr>
        <w:t xml:space="preserve">La declaración de validez de la cláusula relativa a la comisión de apertura hace innecesario entrar a valorar si la acción de restitución de la cantidad pagada en tal concepto estaba prescrita en el momento de la interposición de la </w:t>
      </w:r>
      <w:r>
        <w:rPr>
          <w:rFonts w:ascii="Arial" w:hAnsi="Arial" w:cs="Arial"/>
          <w:i/>
        </w:rPr>
        <w:t>demanda.</w:t>
      </w:r>
    </w:p>
    <w:p w14:paraId="53E57DA0" w14:textId="77777777" w:rsidR="00D92513" w:rsidRPr="002B08B6" w:rsidRDefault="00D92513" w:rsidP="007360B4">
      <w:pPr>
        <w:spacing w:line="360" w:lineRule="auto"/>
        <w:ind w:left="-567" w:right="140"/>
        <w:jc w:val="both"/>
        <w:rPr>
          <w:rFonts w:ascii="Arial" w:hAnsi="Arial" w:cs="Arial"/>
        </w:rPr>
      </w:pPr>
    </w:p>
    <w:p w14:paraId="07927C9F" w14:textId="54AAA1A8" w:rsidR="00011F76" w:rsidRPr="001811B8" w:rsidRDefault="00011F76" w:rsidP="006A3653">
      <w:pPr>
        <w:spacing w:line="360" w:lineRule="auto"/>
        <w:rPr>
          <w:rFonts w:ascii="Arial" w:hAnsi="Arial" w:cs="Arial"/>
          <w:b/>
          <w:bCs/>
          <w:color w:val="auto"/>
        </w:rPr>
      </w:pPr>
    </w:p>
    <w:p w14:paraId="322A2993" w14:textId="2D0E1CEC" w:rsidR="00560EE3" w:rsidRPr="001811B8" w:rsidRDefault="00FC3EF0" w:rsidP="001811B8">
      <w:pPr>
        <w:spacing w:line="360" w:lineRule="auto"/>
        <w:jc w:val="center"/>
        <w:rPr>
          <w:rFonts w:ascii="Arial" w:hAnsi="Arial" w:cs="Arial"/>
          <w:b/>
          <w:bCs/>
          <w:color w:val="auto"/>
        </w:rPr>
      </w:pPr>
      <w:r>
        <w:rPr>
          <w:rFonts w:ascii="Arial" w:hAnsi="Arial" w:cs="Arial"/>
          <w:b/>
          <w:bCs/>
          <w:color w:val="auto"/>
        </w:rPr>
        <w:t>C</w:t>
      </w:r>
    </w:p>
    <w:p w14:paraId="4146DB7E" w14:textId="77777777" w:rsidR="00F84CCE" w:rsidRPr="001811B8" w:rsidRDefault="00F84CCE" w:rsidP="001811B8">
      <w:pPr>
        <w:spacing w:line="360" w:lineRule="auto"/>
        <w:jc w:val="center"/>
        <w:rPr>
          <w:rFonts w:ascii="Arial" w:hAnsi="Arial" w:cs="Arial"/>
          <w:b/>
          <w:bCs/>
          <w:color w:val="auto"/>
        </w:rPr>
      </w:pPr>
    </w:p>
    <w:p w14:paraId="1689A7D3" w14:textId="6CC52CE3" w:rsidR="0028798D" w:rsidRPr="001811B8" w:rsidRDefault="0028798D" w:rsidP="001811B8">
      <w:pPr>
        <w:suppressAutoHyphens/>
        <w:spacing w:line="360" w:lineRule="auto"/>
        <w:ind w:right="6" w:firstLine="426"/>
        <w:jc w:val="center"/>
        <w:rPr>
          <w:rFonts w:ascii="Arial" w:hAnsi="Arial" w:cs="Arial"/>
          <w:b/>
          <w:color w:val="auto"/>
          <w:u w:val="single"/>
        </w:rPr>
      </w:pPr>
      <w:r w:rsidRPr="001811B8">
        <w:rPr>
          <w:rFonts w:ascii="Arial" w:hAnsi="Arial" w:cs="Arial"/>
          <w:b/>
          <w:color w:val="auto"/>
          <w:u w:val="single"/>
        </w:rPr>
        <w:t>De la improcedencia de la imposición de costas</w:t>
      </w:r>
    </w:p>
    <w:p w14:paraId="39F7FEB4" w14:textId="77777777" w:rsidR="0028798D" w:rsidRPr="001811B8" w:rsidRDefault="0028798D" w:rsidP="001811B8">
      <w:pPr>
        <w:spacing w:line="360" w:lineRule="auto"/>
        <w:jc w:val="both"/>
        <w:rPr>
          <w:rFonts w:ascii="Arial" w:hAnsi="Arial" w:cs="Arial"/>
          <w:color w:val="auto"/>
        </w:rPr>
      </w:pPr>
    </w:p>
    <w:p w14:paraId="161803C2" w14:textId="77777777" w:rsidR="00FC3EF0" w:rsidRPr="00F059C5" w:rsidRDefault="00FC3EF0" w:rsidP="00FC3EF0">
      <w:pPr>
        <w:suppressAutoHyphens/>
        <w:spacing w:line="360" w:lineRule="auto"/>
        <w:jc w:val="both"/>
        <w:rPr>
          <w:rFonts w:ascii="Arial" w:hAnsi="Arial" w:cs="Arial"/>
          <w:color w:val="auto"/>
        </w:rPr>
      </w:pPr>
      <w:r w:rsidRPr="00F059C5">
        <w:rPr>
          <w:rFonts w:ascii="Arial" w:hAnsi="Arial" w:cs="Arial"/>
          <w:color w:val="auto"/>
          <w:spacing w:val="-4"/>
        </w:rPr>
        <w:t>De conformidad con lo establecido en el artículo 395 de la Ley de Enjuiciamiento Civil (</w:t>
      </w:r>
      <w:r w:rsidRPr="00F059C5">
        <w:rPr>
          <w:rFonts w:ascii="Arial" w:hAnsi="Arial" w:cs="Arial"/>
          <w:i/>
          <w:color w:val="auto"/>
          <w:spacing w:val="-4"/>
        </w:rPr>
        <w:t>“si el demandado se allanare a la demanda antes de contestarla, no procederá la imposición de costas salvo que el tribunal, razonándolo debidamente, aprecie mala fe en el demandado….”)</w:t>
      </w:r>
      <w:r w:rsidRPr="00F059C5">
        <w:rPr>
          <w:rFonts w:ascii="Arial" w:hAnsi="Arial" w:cs="Arial"/>
          <w:color w:val="auto"/>
          <w:spacing w:val="-4"/>
        </w:rPr>
        <w:t xml:space="preserve">, </w:t>
      </w:r>
      <w:r w:rsidRPr="00F059C5">
        <w:rPr>
          <w:rFonts w:ascii="Arial" w:hAnsi="Arial" w:cs="Arial"/>
          <w:color w:val="auto"/>
        </w:rPr>
        <w:t>presentándose el presente escrito de allanamiento antes de transcurrir el plazo al que se refiere el artículo 404.1 de la misma Ley procedimental para contestar a la demanda, solicitamos la no imposición de las costas causadas en esta instancia a mi principal.</w:t>
      </w:r>
    </w:p>
    <w:p w14:paraId="3254F53B" w14:textId="77777777" w:rsidR="00FC3EF0" w:rsidRPr="00F059C5" w:rsidRDefault="00FC3EF0" w:rsidP="00FC3EF0">
      <w:pPr>
        <w:suppressAutoHyphens/>
        <w:spacing w:line="360" w:lineRule="auto"/>
        <w:jc w:val="both"/>
        <w:rPr>
          <w:rFonts w:ascii="Arial" w:hAnsi="Arial" w:cs="Arial"/>
          <w:color w:val="auto"/>
        </w:rPr>
      </w:pPr>
    </w:p>
    <w:p w14:paraId="0050A46A" w14:textId="77777777" w:rsidR="00FC3EF0" w:rsidRPr="00F059C5" w:rsidRDefault="00FC3EF0" w:rsidP="00FC3EF0">
      <w:pPr>
        <w:spacing w:line="360" w:lineRule="auto"/>
        <w:jc w:val="both"/>
        <w:rPr>
          <w:rFonts w:ascii="Arial" w:hAnsi="Arial" w:cs="Arial"/>
        </w:rPr>
      </w:pPr>
      <w:r w:rsidRPr="00F059C5">
        <w:rPr>
          <w:rFonts w:ascii="Arial" w:hAnsi="Arial" w:cs="Arial"/>
        </w:rPr>
        <w:t xml:space="preserve">En este sentido y en un asunto idéntico al que nos ocupa sobre condiciones generales de la contratación, se ha pronunciado la reciente </w:t>
      </w:r>
      <w:r w:rsidRPr="00F059C5">
        <w:rPr>
          <w:rFonts w:ascii="Arial" w:hAnsi="Arial" w:cs="Arial"/>
          <w:u w:val="single"/>
        </w:rPr>
        <w:t xml:space="preserve">Sentencia </w:t>
      </w:r>
      <w:proofErr w:type="spellStart"/>
      <w:r w:rsidRPr="00F059C5">
        <w:rPr>
          <w:rFonts w:ascii="Arial" w:hAnsi="Arial" w:cs="Arial"/>
          <w:u w:val="single"/>
        </w:rPr>
        <w:t>nº</w:t>
      </w:r>
      <w:proofErr w:type="spellEnd"/>
      <w:r w:rsidRPr="00F059C5">
        <w:rPr>
          <w:rFonts w:ascii="Arial" w:hAnsi="Arial" w:cs="Arial"/>
          <w:u w:val="single"/>
        </w:rPr>
        <w:t xml:space="preserve"> 131/2021 del Tribunal Supremo, Sala de lo Civil, de 9 de marzo de 2021</w:t>
      </w:r>
      <w:r w:rsidRPr="00F059C5">
        <w:rPr>
          <w:rFonts w:ascii="Arial" w:hAnsi="Arial" w:cs="Arial"/>
        </w:rPr>
        <w:t xml:space="preserve">, contemplando que, en los casos en los que la parte demandada haya procedido a allanarse a la demanda, será siempre y en todo caso de aplicación el artículo 395 de la LEC, </w:t>
      </w:r>
      <w:r w:rsidRPr="00F059C5">
        <w:rPr>
          <w:rFonts w:ascii="Arial" w:hAnsi="Arial" w:cs="Arial"/>
          <w:b/>
        </w:rPr>
        <w:t>exigiendo no solo la existencia de reclamación previa, sino que ésta necesariamente deberá ser fehaciente y justificada para poder advertir mala fe en la actuación de la entidad demandada y la consecuente condena en costas</w:t>
      </w:r>
      <w:r w:rsidRPr="00F059C5">
        <w:rPr>
          <w:rFonts w:ascii="Arial" w:hAnsi="Arial" w:cs="Arial"/>
        </w:rPr>
        <w:t>.</w:t>
      </w:r>
    </w:p>
    <w:p w14:paraId="30C03107" w14:textId="77777777" w:rsidR="00FC3EF0" w:rsidRPr="00F059C5" w:rsidRDefault="00FC3EF0" w:rsidP="00FC3EF0">
      <w:pPr>
        <w:spacing w:line="360" w:lineRule="auto"/>
        <w:jc w:val="both"/>
        <w:rPr>
          <w:rFonts w:ascii="Arial" w:hAnsi="Arial" w:cs="Arial"/>
        </w:rPr>
      </w:pPr>
    </w:p>
    <w:p w14:paraId="5825AE10" w14:textId="77777777" w:rsidR="00FC3EF0" w:rsidRPr="00F059C5" w:rsidRDefault="00FC3EF0" w:rsidP="00FC3EF0">
      <w:pPr>
        <w:spacing w:line="360" w:lineRule="auto"/>
        <w:jc w:val="both"/>
        <w:rPr>
          <w:rFonts w:ascii="Arial" w:hAnsi="Arial" w:cs="Arial"/>
        </w:rPr>
      </w:pPr>
      <w:r w:rsidRPr="00F059C5">
        <w:rPr>
          <w:rFonts w:ascii="Arial" w:hAnsi="Arial" w:cs="Arial"/>
        </w:rPr>
        <w:t>En cuanto a las exigencias del requerimiento previo, establece nuestro Alto Tribunal que su mera existencia no conlleva la automática imposición de las costas, sino que es necesario que dicho requerimiento sea apto para evitar el litigio:</w:t>
      </w:r>
    </w:p>
    <w:p w14:paraId="38937FD8" w14:textId="77777777" w:rsidR="00FC3EF0" w:rsidRPr="00F059C5" w:rsidRDefault="00FC3EF0" w:rsidP="00FC3EF0">
      <w:pPr>
        <w:spacing w:line="360" w:lineRule="auto"/>
        <w:jc w:val="both"/>
        <w:rPr>
          <w:rFonts w:ascii="Arial" w:hAnsi="Arial" w:cs="Arial"/>
          <w:b/>
        </w:rPr>
      </w:pPr>
    </w:p>
    <w:p w14:paraId="3F797920" w14:textId="02BC9ACD" w:rsidR="00FC3EF0" w:rsidRPr="007D401C" w:rsidRDefault="00FC3EF0" w:rsidP="007D401C">
      <w:pPr>
        <w:spacing w:line="360" w:lineRule="auto"/>
        <w:ind w:left="567"/>
        <w:jc w:val="both"/>
        <w:rPr>
          <w:rFonts w:ascii="Arial" w:hAnsi="Arial" w:cs="Arial"/>
          <w:i/>
          <w:iCs/>
        </w:rPr>
      </w:pPr>
      <w:r w:rsidRPr="00F059C5">
        <w:rPr>
          <w:rFonts w:ascii="Arial" w:hAnsi="Arial" w:cs="Arial"/>
          <w:i/>
          <w:iCs/>
        </w:rPr>
        <w:t>“Es razonable concluir, como ha hecho la Audiencia Provincial, que el requerimiento que  determina la existencia de mala fe en la entidad financiera que no accede a satisfacer lo que se le exige (y que conlleva su condena en costas aunque posteriormente se allane a la demanda) es aquel que es apto para evitar el litigio, porque da a la requerida la oportunidad real de  satisfacer extrajudicialmente la pretensión que se le formula, de modo que, si no lo hace, pone al consumidor en la necesidad de acudir a los tribunales para desvincularse de la cláusula abusiva y conseguir la reversión de sus efectos”.</w:t>
      </w:r>
    </w:p>
    <w:p w14:paraId="32289B70" w14:textId="77777777" w:rsidR="00FC3EF0" w:rsidRPr="00F059C5" w:rsidRDefault="00FC3EF0" w:rsidP="00FC3EF0">
      <w:pPr>
        <w:spacing w:line="360" w:lineRule="auto"/>
        <w:jc w:val="both"/>
        <w:rPr>
          <w:rFonts w:ascii="Arial" w:hAnsi="Arial" w:cs="Arial"/>
        </w:rPr>
      </w:pPr>
      <w:r w:rsidRPr="00F059C5">
        <w:rPr>
          <w:rFonts w:ascii="Arial" w:hAnsi="Arial" w:cs="Arial"/>
        </w:rPr>
        <w:lastRenderedPageBreak/>
        <w:t>Además, entiende el Tribunal Supremo que la aplicación del artículo 395 LEC no resulta contraria al Derecho de la Unión Europea y a sus principios, pues necesariamente debe de “</w:t>
      </w:r>
      <w:r w:rsidRPr="00F059C5">
        <w:rPr>
          <w:rFonts w:ascii="Arial" w:hAnsi="Arial" w:cs="Arial"/>
          <w:i/>
          <w:iCs/>
        </w:rPr>
        <w:t>cohonestarse con otros principios del Derecho de la UE, como es el de garantizar la buena administración de justicia, indispensable para la efectividad del principio de Estado de Derecho que constituye uno de los pilares del ordenamiento jurídico de la UE.”</w:t>
      </w:r>
    </w:p>
    <w:p w14:paraId="5ADFF738" w14:textId="77777777" w:rsidR="00FC3EF0" w:rsidRPr="00F059C5" w:rsidRDefault="00FC3EF0" w:rsidP="00FC3EF0">
      <w:pPr>
        <w:spacing w:line="360" w:lineRule="auto"/>
        <w:jc w:val="both"/>
        <w:rPr>
          <w:rFonts w:ascii="Arial" w:hAnsi="Arial" w:cs="Arial"/>
        </w:rPr>
      </w:pPr>
    </w:p>
    <w:p w14:paraId="5D1C0FE2" w14:textId="77777777" w:rsidR="00FC3EF0" w:rsidRPr="00F059C5" w:rsidRDefault="00FC3EF0" w:rsidP="00FC3EF0">
      <w:pPr>
        <w:suppressAutoHyphens/>
        <w:spacing w:line="360" w:lineRule="auto"/>
        <w:jc w:val="both"/>
        <w:rPr>
          <w:rFonts w:ascii="Arial" w:hAnsi="Arial" w:cs="Arial"/>
          <w:color w:val="auto"/>
        </w:rPr>
      </w:pPr>
      <w:r w:rsidRPr="00F059C5">
        <w:rPr>
          <w:rFonts w:ascii="Arial" w:hAnsi="Arial" w:cs="Arial"/>
          <w:color w:val="auto"/>
        </w:rPr>
        <w:t xml:space="preserve">Pues bien, entiende esta representación que, aun cuando en el presente caso existe reclamación extrajudicial interpuesta ante la entidad financiera con anterioridad a la presentación de la demanda, </w:t>
      </w:r>
      <w:r w:rsidRPr="00F059C5">
        <w:rPr>
          <w:rFonts w:ascii="Arial" w:hAnsi="Arial" w:cs="Arial"/>
          <w:b/>
          <w:color w:val="auto"/>
        </w:rPr>
        <w:t>no cabe apreciar mala fe en la actuación de mi mandante, motivo por el que no cabría la imposición de las costas a esta parte</w:t>
      </w:r>
      <w:r w:rsidRPr="00F059C5">
        <w:rPr>
          <w:rFonts w:ascii="Arial" w:hAnsi="Arial" w:cs="Arial"/>
          <w:color w:val="auto"/>
        </w:rPr>
        <w:t>, y ello por lo siguiente:</w:t>
      </w:r>
    </w:p>
    <w:p w14:paraId="189A4A90" w14:textId="77777777" w:rsidR="00FC3EF0" w:rsidRPr="00F059C5" w:rsidRDefault="00FC3EF0" w:rsidP="00FC3EF0">
      <w:pPr>
        <w:suppressAutoHyphens/>
        <w:spacing w:line="360" w:lineRule="auto"/>
        <w:jc w:val="both"/>
        <w:rPr>
          <w:rFonts w:ascii="Arial" w:hAnsi="Arial" w:cs="Arial"/>
          <w:color w:val="auto"/>
        </w:rPr>
      </w:pPr>
    </w:p>
    <w:p w14:paraId="722B3AA5" w14:textId="77777777" w:rsidR="00FC3EF0" w:rsidRPr="00D92513" w:rsidRDefault="00FC3EF0" w:rsidP="00FC3EF0">
      <w:pPr>
        <w:pStyle w:val="Prrafodelista"/>
        <w:widowControl w:val="0"/>
        <w:numPr>
          <w:ilvl w:val="0"/>
          <w:numId w:val="15"/>
        </w:numPr>
        <w:suppressAutoHyphens w:val="0"/>
        <w:spacing w:line="360" w:lineRule="auto"/>
        <w:jc w:val="both"/>
        <w:rPr>
          <w:rFonts w:ascii="Arial" w:hAnsi="Arial"/>
        </w:rPr>
      </w:pPr>
      <w:r w:rsidRPr="00D92513">
        <w:rPr>
          <w:rFonts w:ascii="Arial" w:hAnsi="Arial"/>
          <w:b/>
        </w:rPr>
        <w:t>Inexistencia de requerimiento previo fehaciente y justificado. Reclamación previa genérica. Ausencia de desglose y concreción de los conceptos e importes reclamados.</w:t>
      </w:r>
    </w:p>
    <w:p w14:paraId="7F75BEF4" w14:textId="77777777" w:rsidR="00FC3EF0" w:rsidRPr="00F059C5" w:rsidRDefault="00FC3EF0" w:rsidP="00FC3EF0">
      <w:pPr>
        <w:spacing w:line="360" w:lineRule="auto"/>
        <w:jc w:val="both"/>
        <w:rPr>
          <w:rFonts w:ascii="Arial" w:hAnsi="Arial" w:cs="Arial"/>
          <w:highlight w:val="cyan"/>
        </w:rPr>
      </w:pPr>
    </w:p>
    <w:p w14:paraId="632B8FF3" w14:textId="77777777" w:rsidR="00FC3EF0" w:rsidRPr="00F059C5" w:rsidRDefault="00FC3EF0" w:rsidP="00FC3EF0">
      <w:pPr>
        <w:suppressAutoHyphens/>
        <w:spacing w:line="360" w:lineRule="auto"/>
        <w:jc w:val="both"/>
        <w:rPr>
          <w:rFonts w:ascii="Arial" w:hAnsi="Arial" w:cs="Arial"/>
        </w:rPr>
      </w:pPr>
      <w:r w:rsidRPr="00F059C5">
        <w:rPr>
          <w:rFonts w:ascii="Arial" w:hAnsi="Arial" w:cs="Arial"/>
        </w:rPr>
        <w:t xml:space="preserve">Conforme referíamos </w:t>
      </w:r>
      <w:r w:rsidRPr="00F059C5">
        <w:rPr>
          <w:rFonts w:ascii="Arial" w:hAnsi="Arial" w:cs="Arial"/>
          <w:i/>
        </w:rPr>
        <w:t>ab initio</w:t>
      </w:r>
      <w:r w:rsidRPr="00F059C5">
        <w:rPr>
          <w:rFonts w:ascii="Arial" w:hAnsi="Arial" w:cs="Arial"/>
        </w:rPr>
        <w:t xml:space="preserve">, la existencia de una reclamación previa no es motivo </w:t>
      </w:r>
      <w:r w:rsidRPr="00F059C5">
        <w:rPr>
          <w:rFonts w:ascii="Arial" w:hAnsi="Arial" w:cs="Arial"/>
          <w:i/>
        </w:rPr>
        <w:t>per se</w:t>
      </w:r>
      <w:r w:rsidRPr="00F059C5">
        <w:rPr>
          <w:rFonts w:ascii="Arial" w:hAnsi="Arial" w:cs="Arial"/>
        </w:rPr>
        <w:t xml:space="preserve"> para la imposición de las costas para el caso de que, interpuesta la demanda, el demandado se allane, sino que se exige que el requerimiento cumpla con dos requisitos: debe ser fehaciente y debe estar justificado. O, en términos del Tribunal Supremo, el requerimiento previo debe ser apto para evitar el litigio.</w:t>
      </w:r>
    </w:p>
    <w:p w14:paraId="193E3A1E" w14:textId="77777777" w:rsidR="00FC3EF0" w:rsidRPr="00F059C5" w:rsidRDefault="00FC3EF0" w:rsidP="00FC3EF0">
      <w:pPr>
        <w:suppressAutoHyphens/>
        <w:spacing w:line="360" w:lineRule="auto"/>
        <w:jc w:val="both"/>
        <w:rPr>
          <w:rFonts w:ascii="Arial" w:hAnsi="Arial" w:cs="Arial"/>
        </w:rPr>
      </w:pPr>
    </w:p>
    <w:p w14:paraId="03484667" w14:textId="3636DA17" w:rsidR="00FC3EF0" w:rsidRPr="00F059C5" w:rsidRDefault="00FC3EF0" w:rsidP="00FC3EF0">
      <w:pPr>
        <w:suppressAutoHyphens/>
        <w:spacing w:line="360" w:lineRule="auto"/>
        <w:jc w:val="both"/>
        <w:rPr>
          <w:rFonts w:ascii="Arial" w:hAnsi="Arial" w:cs="Arial"/>
        </w:rPr>
      </w:pPr>
      <w:r w:rsidRPr="00F059C5">
        <w:rPr>
          <w:rFonts w:ascii="Arial" w:hAnsi="Arial" w:cs="Arial"/>
        </w:rPr>
        <w:t>De este modo, y si bien es cierto que la contraparte acompaña junto a su escrito de Demanda una reclamación previa relacionada con lo que es objeto de la presente Litis</w:t>
      </w:r>
      <w:r w:rsidR="00D92513">
        <w:rPr>
          <w:rFonts w:ascii="Arial" w:hAnsi="Arial" w:cs="Arial"/>
        </w:rPr>
        <w:t xml:space="preserve"> </w:t>
      </w:r>
      <w:r w:rsidRPr="00F059C5">
        <w:rPr>
          <w:rFonts w:ascii="Arial" w:hAnsi="Arial" w:cs="Arial"/>
        </w:rPr>
        <w:t xml:space="preserve">no lo es menos que la misma resulta </w:t>
      </w:r>
      <w:r w:rsidRPr="00D92513">
        <w:rPr>
          <w:rFonts w:ascii="Arial" w:hAnsi="Arial" w:cs="Arial"/>
        </w:rPr>
        <w:t>totalmente genérica, pues ni tan siquiera identifica los conceptos reclamados, mucho menos cuantifica los importes que son objeto de reclamación, por lo que no podía mi mandante valorar la procedencia o no de dicha reclamación, y aún menos, valorarse a efectos de aplicación del art. 395.1 LEC la identidad entre lo solicitado en sede extrajudicial y lo que hoy es objeto de controversia.</w:t>
      </w:r>
      <w:r w:rsidRPr="00F059C5">
        <w:rPr>
          <w:rFonts w:ascii="Arial" w:hAnsi="Arial" w:cs="Arial"/>
        </w:rPr>
        <w:t xml:space="preserve"> </w:t>
      </w:r>
    </w:p>
    <w:p w14:paraId="06C1850F" w14:textId="77777777" w:rsidR="00FC3EF0" w:rsidRPr="00F059C5" w:rsidRDefault="00FC3EF0" w:rsidP="00FC3EF0">
      <w:pPr>
        <w:suppressAutoHyphens/>
        <w:spacing w:line="360" w:lineRule="auto"/>
        <w:jc w:val="both"/>
        <w:rPr>
          <w:rFonts w:ascii="Arial" w:hAnsi="Arial" w:cs="Arial"/>
        </w:rPr>
      </w:pPr>
    </w:p>
    <w:p w14:paraId="491A474D" w14:textId="77777777" w:rsidR="00FC3EF0" w:rsidRPr="00F059C5" w:rsidRDefault="00FC3EF0" w:rsidP="00FC3EF0">
      <w:pPr>
        <w:suppressAutoHyphens/>
        <w:spacing w:line="360" w:lineRule="auto"/>
        <w:jc w:val="both"/>
        <w:rPr>
          <w:rFonts w:ascii="Arial" w:hAnsi="Arial" w:cs="Arial"/>
        </w:rPr>
      </w:pPr>
      <w:r w:rsidRPr="00F059C5">
        <w:rPr>
          <w:rFonts w:ascii="Arial" w:hAnsi="Arial" w:cs="Arial"/>
        </w:rPr>
        <w:t xml:space="preserve">En consonancia con lo anterior la jurisprudencia viene declarando que los requisitos de fehaciencia no se cumplen en </w:t>
      </w:r>
      <w:proofErr w:type="gramStart"/>
      <w:r w:rsidRPr="00F059C5">
        <w:rPr>
          <w:rFonts w:ascii="Arial" w:hAnsi="Arial" w:cs="Arial"/>
        </w:rPr>
        <w:t>aquéllas</w:t>
      </w:r>
      <w:proofErr w:type="gramEnd"/>
      <w:r w:rsidRPr="00F059C5">
        <w:rPr>
          <w:rFonts w:ascii="Arial" w:hAnsi="Arial" w:cs="Arial"/>
        </w:rPr>
        <w:t xml:space="preserve"> reclamaciones previas genéricas como la que nos ocupa, pudiendo destacar, entre otras, las siguientes:</w:t>
      </w:r>
    </w:p>
    <w:p w14:paraId="102E1DF2" w14:textId="77777777" w:rsidR="00FC3EF0" w:rsidRPr="00F059C5" w:rsidRDefault="00FC3EF0" w:rsidP="00FC3EF0">
      <w:pPr>
        <w:suppressAutoHyphens/>
        <w:spacing w:line="360" w:lineRule="auto"/>
        <w:jc w:val="both"/>
        <w:rPr>
          <w:rFonts w:ascii="Arial" w:hAnsi="Arial" w:cs="Arial"/>
        </w:rPr>
      </w:pPr>
    </w:p>
    <w:p w14:paraId="543F9452" w14:textId="77777777" w:rsidR="00FC3EF0" w:rsidRPr="00F059C5" w:rsidRDefault="00FC3EF0" w:rsidP="00FC3EF0">
      <w:pPr>
        <w:pStyle w:val="Prrafodelista"/>
        <w:numPr>
          <w:ilvl w:val="0"/>
          <w:numId w:val="16"/>
        </w:numPr>
        <w:spacing w:line="360" w:lineRule="auto"/>
        <w:ind w:right="-1"/>
        <w:jc w:val="both"/>
        <w:rPr>
          <w:rFonts w:ascii="Arial" w:hAnsi="Arial"/>
        </w:rPr>
      </w:pPr>
      <w:r w:rsidRPr="00F059C5">
        <w:rPr>
          <w:rFonts w:ascii="Arial" w:hAnsi="Arial"/>
          <w:b/>
          <w:u w:val="single"/>
        </w:rPr>
        <w:t xml:space="preserve">Sentencia </w:t>
      </w:r>
      <w:proofErr w:type="spellStart"/>
      <w:r w:rsidRPr="00F059C5">
        <w:rPr>
          <w:rFonts w:ascii="Arial" w:hAnsi="Arial"/>
          <w:b/>
          <w:u w:val="single"/>
        </w:rPr>
        <w:t>nº</w:t>
      </w:r>
      <w:proofErr w:type="spellEnd"/>
      <w:r w:rsidRPr="00F059C5">
        <w:rPr>
          <w:rFonts w:ascii="Arial" w:hAnsi="Arial"/>
          <w:b/>
          <w:u w:val="single"/>
        </w:rPr>
        <w:t xml:space="preserve"> 380/2020, de 8 de junio, de la Audiencia Provincial de Granada, Sección 3ª</w:t>
      </w:r>
      <w:r w:rsidRPr="00F059C5">
        <w:rPr>
          <w:rFonts w:ascii="Arial" w:hAnsi="Arial"/>
        </w:rPr>
        <w:t>: “</w:t>
      </w:r>
      <w:r w:rsidRPr="00F059C5">
        <w:rPr>
          <w:rFonts w:ascii="Arial" w:hAnsi="Arial"/>
          <w:i/>
        </w:rPr>
        <w:t xml:space="preserve">En el caso ahora analizado, de la documental obrante en autos queda acreditado que la actora se dirigió a su Banco mediante carta presentada en la sucursal de Zaragoza el 29 de febrero de 2019, sin que reclamase pago de ninguna cantidad concreta y tampoco informó al banco de los gastos que habría soportado por el contrato de préstamo hipotecario, a lo que venía obligada si pretendía que esta </w:t>
      </w:r>
      <w:r w:rsidRPr="00F059C5">
        <w:rPr>
          <w:rFonts w:ascii="Arial" w:hAnsi="Arial"/>
          <w:i/>
        </w:rPr>
        <w:lastRenderedPageBreak/>
        <w:t>reclamación tuviera los efectos que busca de una condena al pago de las costas (…).</w:t>
      </w:r>
      <w:r w:rsidRPr="00F059C5">
        <w:rPr>
          <w:rFonts w:ascii="Arial" w:hAnsi="Arial"/>
        </w:rPr>
        <w:t>”</w:t>
      </w:r>
    </w:p>
    <w:p w14:paraId="2629EB9A" w14:textId="77777777" w:rsidR="00FC3EF0" w:rsidRPr="00F059C5" w:rsidRDefault="00FC3EF0" w:rsidP="00FC3EF0">
      <w:pPr>
        <w:pStyle w:val="Prrafodelista"/>
        <w:spacing w:line="360" w:lineRule="auto"/>
        <w:jc w:val="both"/>
        <w:rPr>
          <w:rFonts w:ascii="Arial" w:hAnsi="Arial"/>
        </w:rPr>
      </w:pPr>
    </w:p>
    <w:p w14:paraId="3140364F" w14:textId="77777777" w:rsidR="00FC3EF0" w:rsidRPr="00F059C5" w:rsidRDefault="00FC3EF0" w:rsidP="00FC3EF0">
      <w:pPr>
        <w:pStyle w:val="Prrafodelista"/>
        <w:numPr>
          <w:ilvl w:val="0"/>
          <w:numId w:val="16"/>
        </w:numPr>
        <w:spacing w:line="360" w:lineRule="auto"/>
        <w:ind w:right="-1"/>
        <w:jc w:val="both"/>
        <w:rPr>
          <w:rFonts w:ascii="Arial" w:hAnsi="Arial"/>
          <w:i/>
        </w:rPr>
      </w:pPr>
      <w:r w:rsidRPr="00F059C5">
        <w:rPr>
          <w:rFonts w:ascii="Arial" w:hAnsi="Arial"/>
          <w:b/>
          <w:u w:val="single"/>
        </w:rPr>
        <w:t xml:space="preserve">Sentencia </w:t>
      </w:r>
      <w:proofErr w:type="spellStart"/>
      <w:r w:rsidRPr="00F059C5">
        <w:rPr>
          <w:rFonts w:ascii="Arial" w:hAnsi="Arial"/>
          <w:b/>
          <w:u w:val="single"/>
        </w:rPr>
        <w:t>nº</w:t>
      </w:r>
      <w:proofErr w:type="spellEnd"/>
      <w:r w:rsidRPr="00F059C5">
        <w:rPr>
          <w:rFonts w:ascii="Arial" w:hAnsi="Arial"/>
          <w:b/>
          <w:u w:val="single"/>
        </w:rPr>
        <w:t xml:space="preserve"> 252/2019, de 4 de junio, de la Audiencia Provincial de Burgos, Sección 3ª</w:t>
      </w:r>
      <w:r w:rsidRPr="00F059C5">
        <w:rPr>
          <w:rFonts w:ascii="Arial" w:hAnsi="Arial"/>
          <w:b/>
        </w:rPr>
        <w:t xml:space="preserve">: </w:t>
      </w:r>
      <w:r w:rsidRPr="00F059C5">
        <w:rPr>
          <w:rFonts w:ascii="Arial" w:hAnsi="Arial"/>
          <w:i/>
        </w:rPr>
        <w:t>“Y es que el requerimiento no es suficiente porque no se concretó la cantidad que se reclamaba por la devolución de los gastos, sino que se hacía una petición genérica de reintegro de todo lo que se había pagado (…)”.</w:t>
      </w:r>
    </w:p>
    <w:p w14:paraId="0770337E" w14:textId="77777777" w:rsidR="00FC3EF0" w:rsidRPr="00F059C5" w:rsidRDefault="00FC3EF0" w:rsidP="00FC3EF0">
      <w:pPr>
        <w:suppressAutoHyphens/>
        <w:spacing w:line="360" w:lineRule="auto"/>
        <w:ind w:left="720" w:right="849"/>
        <w:jc w:val="both"/>
        <w:rPr>
          <w:rFonts w:ascii="Arial" w:hAnsi="Arial" w:cs="Arial"/>
        </w:rPr>
      </w:pPr>
    </w:p>
    <w:p w14:paraId="7674247D" w14:textId="77777777" w:rsidR="00FC3EF0" w:rsidRPr="00F059C5" w:rsidRDefault="00FC3EF0" w:rsidP="00FC3EF0">
      <w:pPr>
        <w:pStyle w:val="Prrafodelista"/>
        <w:numPr>
          <w:ilvl w:val="0"/>
          <w:numId w:val="16"/>
        </w:numPr>
        <w:spacing w:line="360" w:lineRule="auto"/>
        <w:ind w:right="-1"/>
        <w:jc w:val="both"/>
        <w:rPr>
          <w:rFonts w:ascii="Arial" w:hAnsi="Arial"/>
        </w:rPr>
      </w:pPr>
      <w:r w:rsidRPr="00F059C5">
        <w:rPr>
          <w:rFonts w:ascii="Arial" w:hAnsi="Arial"/>
          <w:b/>
          <w:u w:val="single"/>
        </w:rPr>
        <w:t xml:space="preserve">Sentencia </w:t>
      </w:r>
      <w:proofErr w:type="spellStart"/>
      <w:r w:rsidRPr="00F059C5">
        <w:rPr>
          <w:rFonts w:ascii="Arial" w:hAnsi="Arial"/>
          <w:b/>
          <w:u w:val="single"/>
        </w:rPr>
        <w:t>nº</w:t>
      </w:r>
      <w:proofErr w:type="spellEnd"/>
      <w:r w:rsidRPr="00F059C5">
        <w:rPr>
          <w:rFonts w:ascii="Arial" w:hAnsi="Arial"/>
          <w:b/>
          <w:u w:val="single"/>
        </w:rPr>
        <w:t xml:space="preserve"> 199/2020, de 30 de abril, de la Audiencia Provincial de Segovia, Sección 1ª:</w:t>
      </w:r>
      <w:r w:rsidRPr="00F059C5">
        <w:rPr>
          <w:rFonts w:ascii="Arial" w:hAnsi="Arial"/>
          <w:b/>
        </w:rPr>
        <w:t xml:space="preserve"> </w:t>
      </w:r>
      <w:r w:rsidRPr="00F059C5">
        <w:rPr>
          <w:rFonts w:ascii="Arial" w:hAnsi="Arial"/>
          <w:i/>
        </w:rPr>
        <w:t>“SEGUNDO. - El recurso debe ser acogido, no cabe hablar de requerimiento previo determinante de mala fe, pues el que se efectuó no contenía petición concreta, ni de conceptos ni de cantidades, susceptible de ser atendida. El requerimiento que marca la mala fe del demandado que se allana es el que se corresponde con lo reclamado en la demanda a la que se allana. No es este el caso. Es de aplicación, pues, la regla general de no imposición de las costas en allanamiento, art. 395.”</w:t>
      </w:r>
    </w:p>
    <w:p w14:paraId="60A8C6B2" w14:textId="77777777" w:rsidR="00FC3EF0" w:rsidRPr="00F059C5" w:rsidRDefault="00FC3EF0" w:rsidP="00FC3EF0">
      <w:pPr>
        <w:pStyle w:val="Prrafodelista"/>
        <w:spacing w:line="360" w:lineRule="auto"/>
        <w:rPr>
          <w:rFonts w:ascii="Arial" w:hAnsi="Arial"/>
        </w:rPr>
      </w:pPr>
    </w:p>
    <w:p w14:paraId="45DB7B19" w14:textId="77777777" w:rsidR="00FC3EF0" w:rsidRPr="00F059C5" w:rsidRDefault="00FC3EF0" w:rsidP="00FC3EF0">
      <w:pPr>
        <w:pStyle w:val="Prrafodelista"/>
        <w:numPr>
          <w:ilvl w:val="0"/>
          <w:numId w:val="1"/>
        </w:numPr>
        <w:spacing w:line="360" w:lineRule="auto"/>
        <w:jc w:val="both"/>
        <w:rPr>
          <w:rFonts w:ascii="Arial" w:hAnsi="Arial"/>
          <w:b/>
          <w:u w:val="single"/>
        </w:rPr>
      </w:pPr>
      <w:r w:rsidRPr="00F059C5">
        <w:rPr>
          <w:rFonts w:ascii="Arial" w:hAnsi="Arial"/>
          <w:b/>
          <w:u w:val="single"/>
        </w:rPr>
        <w:t xml:space="preserve">Sentencia </w:t>
      </w:r>
      <w:proofErr w:type="spellStart"/>
      <w:r w:rsidRPr="00F059C5">
        <w:rPr>
          <w:rFonts w:ascii="Arial" w:hAnsi="Arial"/>
          <w:b/>
          <w:u w:val="single"/>
        </w:rPr>
        <w:t>nº</w:t>
      </w:r>
      <w:proofErr w:type="spellEnd"/>
      <w:r w:rsidRPr="00F059C5">
        <w:rPr>
          <w:rFonts w:ascii="Arial" w:hAnsi="Arial"/>
          <w:b/>
          <w:u w:val="single"/>
        </w:rPr>
        <w:t xml:space="preserve"> 261/2019, de 9 de mayo, de la Audiencia Provincial de Pontevedra, Sección 1ª:</w:t>
      </w:r>
      <w:r w:rsidRPr="00F059C5">
        <w:rPr>
          <w:rFonts w:ascii="Arial" w:hAnsi="Arial"/>
          <w:b/>
        </w:rPr>
        <w:t xml:space="preserve">  </w:t>
      </w:r>
      <w:r w:rsidRPr="00F059C5">
        <w:rPr>
          <w:rFonts w:ascii="Arial" w:hAnsi="Arial"/>
          <w:i/>
        </w:rPr>
        <w:t>“En otras palabras, la oposición extrajudicial de la entidad financiera podía tacharse de infundada en lo concerniente a la declaración de nulidad de la cláusula contractual, pero en modo alguno con respecto a la distribución de los gastos una vez declarada la nulidad de la estipulación, pues lo cierto es que, de acuerdo con la doctrina jurisprudencial, la reclamación planteada nunca hubiera podido prosperar en lo que a la devolución de las cantidades satisfechas se refiere, ni siquiera en la mitad de lo peticionado.</w:t>
      </w:r>
    </w:p>
    <w:p w14:paraId="100E3F28" w14:textId="77777777" w:rsidR="00FC3EF0" w:rsidRPr="00F059C5" w:rsidRDefault="00FC3EF0" w:rsidP="00FC3EF0">
      <w:pPr>
        <w:pStyle w:val="Prrafodelista"/>
        <w:spacing w:line="360" w:lineRule="auto"/>
        <w:jc w:val="both"/>
        <w:rPr>
          <w:rFonts w:ascii="Arial" w:hAnsi="Arial"/>
          <w:b/>
          <w:u w:val="single"/>
        </w:rPr>
      </w:pPr>
    </w:p>
    <w:p w14:paraId="0D99A98A" w14:textId="77777777" w:rsidR="00FC3EF0" w:rsidRPr="00F059C5" w:rsidRDefault="00FC3EF0" w:rsidP="00FC3EF0">
      <w:pPr>
        <w:pStyle w:val="Prrafodelista"/>
        <w:spacing w:line="360" w:lineRule="auto"/>
        <w:jc w:val="both"/>
        <w:rPr>
          <w:rFonts w:ascii="Arial" w:hAnsi="Arial"/>
          <w:i/>
        </w:rPr>
      </w:pPr>
      <w:r w:rsidRPr="00F059C5">
        <w:rPr>
          <w:rFonts w:ascii="Arial" w:hAnsi="Arial"/>
          <w:i/>
        </w:rPr>
        <w:t>Al limitarse la demanda presentada a solicitar la nulidad de la cláusula, sin concretas los efectos económicos que se derivan de dicha declaración, es claro que el demandante está circunscribiendo o matizando la reclamación extrajudicial planteada, por lo que, verificado el allanamiento total a tal pretensión antes de la contestación a la demanda, aquella reclamación carece de eficacia para integrar el presupuesto determinante de la apreciación de mala fe al que remite el art. 395.1 párrafo 2º LEC .</w:t>
      </w:r>
    </w:p>
    <w:p w14:paraId="5B09DBF6" w14:textId="77777777" w:rsidR="00FC3EF0" w:rsidRPr="00F059C5" w:rsidRDefault="00FC3EF0" w:rsidP="00FC3EF0">
      <w:pPr>
        <w:pStyle w:val="Prrafodelista"/>
        <w:spacing w:line="360" w:lineRule="auto"/>
        <w:jc w:val="both"/>
        <w:rPr>
          <w:rFonts w:ascii="Arial" w:hAnsi="Arial"/>
          <w:i/>
        </w:rPr>
      </w:pPr>
    </w:p>
    <w:p w14:paraId="24485B7D" w14:textId="77777777" w:rsidR="00FC3EF0" w:rsidRPr="00F059C5" w:rsidRDefault="00FC3EF0" w:rsidP="00FC3EF0">
      <w:pPr>
        <w:pStyle w:val="Prrafodelista"/>
        <w:spacing w:line="360" w:lineRule="auto"/>
        <w:jc w:val="both"/>
        <w:rPr>
          <w:rFonts w:ascii="Arial" w:hAnsi="Arial"/>
          <w:b/>
          <w:u w:val="single"/>
        </w:rPr>
      </w:pPr>
      <w:r w:rsidRPr="00F059C5">
        <w:rPr>
          <w:rFonts w:ascii="Arial" w:hAnsi="Arial"/>
          <w:i/>
        </w:rPr>
        <w:t>En consecuencia, descartado la aplicación del mencionado párrafo 2º, como quiera que la ausencia de una doctrina jurisprudencial pacífica sobre los efectos de la declaración de nulidad de la cláusula de gastos en las fechas apuntadas impide hablar de mala fe, el recurso no puede ser estimado.”</w:t>
      </w:r>
    </w:p>
    <w:p w14:paraId="06EA8C33" w14:textId="77777777" w:rsidR="00FC3EF0" w:rsidRPr="00F059C5" w:rsidRDefault="00FC3EF0" w:rsidP="00FC3EF0">
      <w:pPr>
        <w:pStyle w:val="Prrafodelista"/>
        <w:spacing w:line="360" w:lineRule="auto"/>
        <w:ind w:right="-1"/>
        <w:jc w:val="both"/>
        <w:rPr>
          <w:rFonts w:ascii="Arial" w:hAnsi="Arial"/>
        </w:rPr>
      </w:pPr>
    </w:p>
    <w:p w14:paraId="6F11466F" w14:textId="77777777" w:rsidR="00FC3EF0" w:rsidRPr="00F059C5" w:rsidRDefault="00FC3EF0" w:rsidP="00FC3EF0">
      <w:pPr>
        <w:pStyle w:val="Sinespaciado"/>
        <w:spacing w:line="360" w:lineRule="auto"/>
        <w:jc w:val="both"/>
        <w:rPr>
          <w:rFonts w:ascii="Arial" w:hAnsi="Arial" w:cs="Arial"/>
          <w:sz w:val="20"/>
          <w:szCs w:val="20"/>
        </w:rPr>
      </w:pPr>
      <w:r w:rsidRPr="00F059C5">
        <w:rPr>
          <w:rFonts w:ascii="Arial" w:hAnsi="Arial" w:cs="Arial"/>
          <w:sz w:val="20"/>
          <w:szCs w:val="20"/>
        </w:rPr>
        <w:lastRenderedPageBreak/>
        <w:t>Así las cosas, no cabe la apreciación de la mala fe en la conducta de mi mandante habida que la reclamación previa es absolutamente genérica.</w:t>
      </w:r>
    </w:p>
    <w:p w14:paraId="20A0D7A1" w14:textId="77777777" w:rsidR="00D92513" w:rsidRDefault="00D92513" w:rsidP="00FC3EF0">
      <w:pPr>
        <w:pStyle w:val="Sinespaciado"/>
        <w:spacing w:line="360" w:lineRule="auto"/>
        <w:jc w:val="both"/>
        <w:rPr>
          <w:rFonts w:ascii="Arial" w:hAnsi="Arial" w:cs="Arial"/>
          <w:b/>
          <w:sz w:val="20"/>
          <w:szCs w:val="20"/>
        </w:rPr>
      </w:pPr>
    </w:p>
    <w:p w14:paraId="384C6459" w14:textId="77777777" w:rsidR="00D92513" w:rsidRPr="00F059C5" w:rsidRDefault="00D92513" w:rsidP="00FC3EF0">
      <w:pPr>
        <w:pStyle w:val="Sinespaciado"/>
        <w:spacing w:line="360" w:lineRule="auto"/>
        <w:jc w:val="both"/>
        <w:rPr>
          <w:rFonts w:ascii="Arial" w:hAnsi="Arial" w:cs="Arial"/>
          <w:sz w:val="20"/>
          <w:szCs w:val="20"/>
        </w:rPr>
      </w:pPr>
    </w:p>
    <w:p w14:paraId="7E19A382" w14:textId="77777777" w:rsidR="00FC3EF0" w:rsidRPr="00D92513" w:rsidRDefault="00FC3EF0" w:rsidP="00FC3EF0">
      <w:pPr>
        <w:pStyle w:val="Prrafodelista"/>
        <w:widowControl w:val="0"/>
        <w:numPr>
          <w:ilvl w:val="0"/>
          <w:numId w:val="15"/>
        </w:numPr>
        <w:suppressAutoHyphens w:val="0"/>
        <w:spacing w:line="360" w:lineRule="auto"/>
        <w:rPr>
          <w:rFonts w:ascii="Arial" w:eastAsiaTheme="minorHAnsi" w:hAnsi="Arial"/>
          <w:b/>
        </w:rPr>
      </w:pPr>
      <w:r w:rsidRPr="00D92513">
        <w:rPr>
          <w:rFonts w:ascii="Arial" w:hAnsi="Arial"/>
          <w:b/>
        </w:rPr>
        <w:t xml:space="preserve">Inexistencia de requerimiento previo fehaciente y justificado. </w:t>
      </w:r>
      <w:r w:rsidRPr="00D92513">
        <w:rPr>
          <w:rFonts w:ascii="Arial" w:eastAsiaTheme="minorHAnsi" w:hAnsi="Arial"/>
          <w:b/>
        </w:rPr>
        <w:t>No aportadas las facturas a la reclamación previa.</w:t>
      </w:r>
    </w:p>
    <w:p w14:paraId="38A2AB89" w14:textId="77777777" w:rsidR="00FC3EF0" w:rsidRPr="00F059C5" w:rsidRDefault="00FC3EF0" w:rsidP="00FC3EF0">
      <w:pPr>
        <w:pStyle w:val="Sinespaciado"/>
        <w:spacing w:line="360" w:lineRule="auto"/>
        <w:jc w:val="both"/>
        <w:rPr>
          <w:rFonts w:ascii="Arial" w:hAnsi="Arial" w:cs="Arial"/>
          <w:sz w:val="20"/>
          <w:szCs w:val="20"/>
        </w:rPr>
      </w:pPr>
    </w:p>
    <w:p w14:paraId="539B839B" w14:textId="77777777" w:rsidR="00FC3EF0" w:rsidRPr="00F059C5" w:rsidRDefault="00FC3EF0" w:rsidP="00FC3EF0">
      <w:pPr>
        <w:suppressAutoHyphens/>
        <w:spacing w:line="360" w:lineRule="auto"/>
        <w:jc w:val="both"/>
        <w:rPr>
          <w:rFonts w:ascii="Arial" w:hAnsi="Arial" w:cs="Arial"/>
        </w:rPr>
      </w:pPr>
      <w:r w:rsidRPr="00F059C5">
        <w:rPr>
          <w:rFonts w:ascii="Arial" w:hAnsi="Arial" w:cs="Arial"/>
        </w:rPr>
        <w:t xml:space="preserve">A mayor abundamiento, véase que no se desprende del cuerpo de la referida resolución, ni tan siquiera la aportación de las facturas que justificarían los gastos peticionados, no pudiendo por tanto mi mandante valorar la procedencia o no de dicha reclamación, y aún menos, valorarse a efectos de aplicación del art. 395.1 LEC la identidad entre lo solicitado en sede extrajudicial y lo que hoy es objeto de controversia. </w:t>
      </w:r>
    </w:p>
    <w:p w14:paraId="1014AD2D" w14:textId="77777777" w:rsidR="00FC3EF0" w:rsidRPr="00F059C5" w:rsidRDefault="00FC3EF0" w:rsidP="00FC3EF0">
      <w:pPr>
        <w:pStyle w:val="Sinespaciado"/>
        <w:spacing w:line="360" w:lineRule="auto"/>
        <w:jc w:val="both"/>
        <w:rPr>
          <w:rFonts w:ascii="Arial" w:hAnsi="Arial" w:cs="Arial"/>
          <w:sz w:val="20"/>
          <w:szCs w:val="20"/>
        </w:rPr>
      </w:pPr>
    </w:p>
    <w:p w14:paraId="04443EFD" w14:textId="77777777" w:rsidR="00FC3EF0" w:rsidRPr="00F059C5" w:rsidRDefault="00FC3EF0" w:rsidP="00FC3EF0">
      <w:pPr>
        <w:suppressAutoHyphens/>
        <w:spacing w:line="360" w:lineRule="auto"/>
        <w:jc w:val="both"/>
        <w:rPr>
          <w:rFonts w:ascii="Arial" w:hAnsi="Arial" w:cs="Arial"/>
        </w:rPr>
      </w:pPr>
      <w:r w:rsidRPr="00F059C5">
        <w:rPr>
          <w:rFonts w:ascii="Arial" w:hAnsi="Arial" w:cs="Arial"/>
        </w:rPr>
        <w:t xml:space="preserve">Este es el adoptado mayoritariamente por las Audiencias Provinciales, pudiendo destacar a título de ejemplo la </w:t>
      </w:r>
      <w:r w:rsidRPr="00F059C5">
        <w:rPr>
          <w:rFonts w:ascii="Arial" w:hAnsi="Arial" w:cs="Arial"/>
          <w:b/>
          <w:u w:val="single"/>
        </w:rPr>
        <w:t>Sentencia de 8 de junio de 2020 de la Audiencia Provincial de Granada, Sección 3º</w:t>
      </w:r>
      <w:r w:rsidRPr="00F059C5">
        <w:rPr>
          <w:rFonts w:ascii="Arial" w:hAnsi="Arial" w:cs="Arial"/>
        </w:rPr>
        <w:t xml:space="preserve"> que excluye de condena en costas a la entidad en un caso como el que nos ocupa en el que la parte contraria no aportó las facturas a su reclamación previa, motivo por el que la entidad demandada no podía avenirse en aquél momento a la petición realizada: </w:t>
      </w:r>
      <w:r w:rsidRPr="00F059C5">
        <w:rPr>
          <w:rFonts w:ascii="Arial" w:hAnsi="Arial" w:cs="Arial"/>
          <w:i/>
        </w:rPr>
        <w:t>En el caso ahora analizado, de la documental obrante en autos queda acreditado que la actora se dirigió a su Banco mediante carta presentada en la sucursal de Zaragoza el 29 de febrero de 2019, sin que reclamase pago de ninguna cantidad concreta y tampoco informó al banco de los gastos que habría soportado por el contrato de préstamo hipotecario, a lo que venía obligada si pretendía que esta reclamación tuviera los efectos que busca de una condena al pago de las costas, pues, en todo caso, la carga de la prueba respecto a los gastos efectuados corresponden al actor que es quien efectuó los pagos a terceras personas en el momento de constituirse escritura de préstamo con garantía hipotecaria, por lo que la entidad, aunque hubiese querido, no podía haber atendido al requerimiento.</w:t>
      </w:r>
    </w:p>
    <w:p w14:paraId="493126C2" w14:textId="77777777" w:rsidR="00FC3EF0" w:rsidRPr="00F059C5" w:rsidRDefault="00FC3EF0" w:rsidP="00FC3EF0">
      <w:pPr>
        <w:suppressAutoHyphens/>
        <w:spacing w:line="360" w:lineRule="auto"/>
        <w:ind w:left="709" w:right="707"/>
        <w:jc w:val="both"/>
        <w:rPr>
          <w:rFonts w:ascii="Arial" w:hAnsi="Arial" w:cs="Arial"/>
          <w:i/>
        </w:rPr>
      </w:pPr>
    </w:p>
    <w:p w14:paraId="7DA8B8D0" w14:textId="77777777" w:rsidR="00FC3EF0" w:rsidRPr="00F059C5" w:rsidRDefault="00FC3EF0" w:rsidP="00FC3EF0">
      <w:pPr>
        <w:suppressAutoHyphens/>
        <w:spacing w:line="360" w:lineRule="auto"/>
        <w:ind w:right="707"/>
        <w:jc w:val="both"/>
        <w:rPr>
          <w:rFonts w:ascii="Arial" w:hAnsi="Arial" w:cs="Arial"/>
          <w:i/>
        </w:rPr>
      </w:pPr>
      <w:r w:rsidRPr="00F059C5">
        <w:rPr>
          <w:rFonts w:ascii="Arial" w:hAnsi="Arial" w:cs="Arial"/>
          <w:i/>
        </w:rPr>
        <w:t xml:space="preserve">Es en la demanda presentada el 14 de mayo de 2019, cuando por primera vez aportó las facturas emitidas a su nombre por el notario, registrador y la </w:t>
      </w:r>
      <w:proofErr w:type="gramStart"/>
      <w:r w:rsidRPr="00F059C5">
        <w:rPr>
          <w:rFonts w:ascii="Arial" w:hAnsi="Arial" w:cs="Arial"/>
          <w:i/>
        </w:rPr>
        <w:t>gestoría referidas</w:t>
      </w:r>
      <w:proofErr w:type="gramEnd"/>
      <w:r w:rsidRPr="00F059C5">
        <w:rPr>
          <w:rFonts w:ascii="Arial" w:hAnsi="Arial" w:cs="Arial"/>
          <w:i/>
        </w:rPr>
        <w:t xml:space="preserve"> a la escritura de préstamo con hipoteca, omitiendo el importe de la cuantía reclamada con lo que se produce una clara infracción del art. 399.1 de la LEC, y estableciendo como único criterio para su determinación la remisión a las sentencias del Tribunal Supremo dictadas en el mes de enero de 2109.</w:t>
      </w:r>
    </w:p>
    <w:p w14:paraId="4CC709AF" w14:textId="77777777" w:rsidR="00FC3EF0" w:rsidRPr="00F059C5" w:rsidRDefault="00FC3EF0" w:rsidP="00FC3EF0">
      <w:pPr>
        <w:pStyle w:val="Sinespaciado"/>
        <w:spacing w:line="360" w:lineRule="auto"/>
        <w:jc w:val="both"/>
        <w:rPr>
          <w:rFonts w:ascii="Arial" w:hAnsi="Arial" w:cs="Arial"/>
          <w:sz w:val="20"/>
          <w:szCs w:val="20"/>
        </w:rPr>
      </w:pPr>
    </w:p>
    <w:p w14:paraId="0ACB5DD0" w14:textId="77777777" w:rsidR="00FC3EF0" w:rsidRDefault="00FC3EF0" w:rsidP="00FC3EF0">
      <w:pPr>
        <w:spacing w:line="360" w:lineRule="auto"/>
        <w:jc w:val="both"/>
        <w:rPr>
          <w:rFonts w:ascii="Arial" w:hAnsi="Arial" w:cs="Arial"/>
        </w:rPr>
      </w:pPr>
      <w:r w:rsidRPr="00F059C5">
        <w:rPr>
          <w:rFonts w:ascii="Arial" w:hAnsi="Arial" w:cs="Arial"/>
        </w:rPr>
        <w:t xml:space="preserve">También resulta este el criterio imperante, que viene siendo acogido por nuestros </w:t>
      </w:r>
      <w:r w:rsidRPr="00F059C5">
        <w:rPr>
          <w:rFonts w:ascii="Arial" w:hAnsi="Arial" w:cs="Arial"/>
          <w:u w:val="single"/>
        </w:rPr>
        <w:t>Juzgados especializados</w:t>
      </w:r>
      <w:r w:rsidRPr="00F059C5">
        <w:rPr>
          <w:rFonts w:ascii="Arial" w:hAnsi="Arial" w:cs="Arial"/>
        </w:rPr>
        <w:t>, trayendo a colación, entre otras:</w:t>
      </w:r>
    </w:p>
    <w:p w14:paraId="328C6863" w14:textId="77777777" w:rsidR="007D401C" w:rsidRDefault="007D401C" w:rsidP="00FC3EF0">
      <w:pPr>
        <w:spacing w:line="360" w:lineRule="auto"/>
        <w:jc w:val="both"/>
        <w:rPr>
          <w:rFonts w:ascii="Arial" w:hAnsi="Arial" w:cs="Arial"/>
        </w:rPr>
      </w:pPr>
    </w:p>
    <w:p w14:paraId="01598A17" w14:textId="77777777" w:rsidR="007D401C" w:rsidRPr="00F059C5" w:rsidRDefault="007D401C" w:rsidP="00FC3EF0">
      <w:pPr>
        <w:spacing w:line="360" w:lineRule="auto"/>
        <w:jc w:val="both"/>
        <w:rPr>
          <w:rFonts w:ascii="Arial" w:hAnsi="Arial" w:cs="Arial"/>
        </w:rPr>
      </w:pPr>
    </w:p>
    <w:p w14:paraId="36DAA2DE" w14:textId="77777777" w:rsidR="00FC3EF0" w:rsidRPr="00F059C5" w:rsidRDefault="00FC3EF0" w:rsidP="00FC3EF0">
      <w:pPr>
        <w:pStyle w:val="Sinespaciado"/>
        <w:spacing w:line="360" w:lineRule="auto"/>
        <w:jc w:val="both"/>
        <w:rPr>
          <w:rFonts w:ascii="Arial" w:hAnsi="Arial" w:cs="Arial"/>
          <w:sz w:val="20"/>
          <w:szCs w:val="20"/>
        </w:rPr>
      </w:pPr>
    </w:p>
    <w:p w14:paraId="7CA7023A" w14:textId="77777777" w:rsidR="00FC3EF0" w:rsidRPr="00F059C5" w:rsidRDefault="00FC3EF0" w:rsidP="00FC3EF0">
      <w:pPr>
        <w:pStyle w:val="Prrafodelista"/>
        <w:widowControl w:val="0"/>
        <w:numPr>
          <w:ilvl w:val="0"/>
          <w:numId w:val="17"/>
        </w:numPr>
        <w:spacing w:line="360" w:lineRule="auto"/>
        <w:jc w:val="both"/>
        <w:rPr>
          <w:rFonts w:ascii="Arial" w:hAnsi="Arial"/>
          <w:i/>
        </w:rPr>
      </w:pPr>
      <w:r w:rsidRPr="00F059C5">
        <w:rPr>
          <w:rFonts w:ascii="Arial" w:hAnsi="Arial"/>
          <w:b/>
          <w:u w:val="single"/>
        </w:rPr>
        <w:lastRenderedPageBreak/>
        <w:t>Sentencia 340/2021 del Juzgado de Primera Instancia 8 de Huelva, de 19 de mayo, FJ Tercero:</w:t>
      </w:r>
      <w:r w:rsidRPr="00F059C5">
        <w:rPr>
          <w:rFonts w:ascii="Arial" w:hAnsi="Arial"/>
        </w:rPr>
        <w:t xml:space="preserve"> “</w:t>
      </w:r>
      <w:r w:rsidRPr="00F059C5">
        <w:rPr>
          <w:rFonts w:ascii="Arial" w:hAnsi="Arial"/>
          <w:i/>
        </w:rPr>
        <w:t>Conforme a lo dispuesto en el art. 395 LEC, habida cuenta que la reclamación presentada difiere sustancialmente de lo después pedido en la demanda, ya ajustada a la jurisprudencia, a la que también responde el allanamiento de la demandada, además de no acompañar los justificantes de pago, tratándose el de autos de un supuesto distinto de aquel sobre el que se pronunció la STJUE de 16/7/20, entendemos no procede su imposición.”</w:t>
      </w:r>
    </w:p>
    <w:p w14:paraId="2E0D5445" w14:textId="77777777" w:rsidR="00FC3EF0" w:rsidRPr="00F059C5" w:rsidRDefault="00FC3EF0" w:rsidP="00FC3EF0">
      <w:pPr>
        <w:pStyle w:val="Prrafodelista"/>
        <w:spacing w:line="360" w:lineRule="auto"/>
        <w:jc w:val="both"/>
        <w:rPr>
          <w:rFonts w:ascii="Arial" w:hAnsi="Arial"/>
          <w:i/>
        </w:rPr>
      </w:pPr>
    </w:p>
    <w:p w14:paraId="5066B5CE" w14:textId="77777777" w:rsidR="00FC3EF0" w:rsidRPr="00F059C5" w:rsidRDefault="00FC3EF0" w:rsidP="00FC3EF0">
      <w:pPr>
        <w:pStyle w:val="Prrafodelista"/>
        <w:spacing w:line="360" w:lineRule="auto"/>
        <w:jc w:val="both"/>
        <w:rPr>
          <w:rFonts w:ascii="Arial" w:hAnsi="Arial"/>
          <w:i/>
        </w:rPr>
      </w:pPr>
    </w:p>
    <w:p w14:paraId="0F597868" w14:textId="77777777" w:rsidR="00FC3EF0" w:rsidRPr="00F059C5" w:rsidRDefault="00FC3EF0" w:rsidP="00FC3EF0">
      <w:pPr>
        <w:pStyle w:val="Prrafodelista"/>
        <w:widowControl w:val="0"/>
        <w:numPr>
          <w:ilvl w:val="0"/>
          <w:numId w:val="17"/>
        </w:numPr>
        <w:spacing w:line="360" w:lineRule="auto"/>
        <w:jc w:val="both"/>
        <w:rPr>
          <w:rFonts w:ascii="Arial" w:hAnsi="Arial"/>
          <w:i/>
        </w:rPr>
      </w:pPr>
      <w:r w:rsidRPr="00F059C5">
        <w:rPr>
          <w:rFonts w:ascii="Arial" w:hAnsi="Arial"/>
          <w:b/>
          <w:u w:val="single"/>
        </w:rPr>
        <w:t>Sentencia 4494/2019 del Juzgado de Primera Instancia 6 de Oviedo, de 11 de octubre de FJ Segundo:</w:t>
      </w:r>
      <w:r w:rsidRPr="00F059C5">
        <w:rPr>
          <w:rFonts w:ascii="Arial" w:hAnsi="Arial"/>
        </w:rPr>
        <w:t xml:space="preserve"> “</w:t>
      </w:r>
      <w:r w:rsidRPr="00F059C5">
        <w:rPr>
          <w:rFonts w:ascii="Arial" w:hAnsi="Arial"/>
          <w:i/>
        </w:rPr>
        <w:t>En cuanto a las costas procesales, teniendo en cuenta que en el requerimiento aportado por la actora no se acompañaban las facturas acreditativas del abono de los gastos reclamados, facturas que deben ser entregadas por copia a la demandada en aras a que ésta puede comprobar no sólo la emisión de las mismas, sino el importe reclamado, máxime teniendo en cuenta que nos encontramos ante un préstamo del año 2007 y que las facturas obran en poder de la parte actora, no existe mala fe en la demandada, que cuando obtiene la copia de las facturas a través del Juzgado, se allana a la demanda, todo ello, de conformidad con lo previsto en el art. 395 de la LEC.”</w:t>
      </w:r>
    </w:p>
    <w:p w14:paraId="766CD5B7" w14:textId="77777777" w:rsidR="00FC3EF0" w:rsidRPr="00F059C5" w:rsidRDefault="00FC3EF0" w:rsidP="00FC3EF0">
      <w:pPr>
        <w:pStyle w:val="Sinespaciado"/>
        <w:spacing w:line="360" w:lineRule="auto"/>
        <w:jc w:val="both"/>
        <w:rPr>
          <w:rFonts w:ascii="Arial" w:hAnsi="Arial" w:cs="Arial"/>
          <w:sz w:val="20"/>
          <w:szCs w:val="20"/>
        </w:rPr>
      </w:pPr>
    </w:p>
    <w:p w14:paraId="484FC690" w14:textId="77777777" w:rsidR="00FC3EF0" w:rsidRPr="00F059C5" w:rsidRDefault="00FC3EF0" w:rsidP="00FC3EF0">
      <w:pPr>
        <w:suppressAutoHyphens/>
        <w:spacing w:line="360" w:lineRule="auto"/>
        <w:jc w:val="both"/>
        <w:rPr>
          <w:rFonts w:ascii="Arial" w:hAnsi="Arial" w:cs="Arial"/>
          <w:color w:val="FF0000"/>
        </w:rPr>
      </w:pPr>
      <w:r w:rsidRPr="00F059C5">
        <w:rPr>
          <w:rFonts w:ascii="Arial" w:hAnsi="Arial" w:cs="Arial"/>
        </w:rPr>
        <w:t>Así las cosas y siendo que, como se ha dicho, junto con la reclamación previa presentada de contrario ni tan siquiera se acompañaban las facturas justificativas de los importes reclamados, entiende esta representación que en ningún caso puede advertirse la concurrencia de la mala fe necesaria para la imposición de las costas.</w:t>
      </w:r>
    </w:p>
    <w:p w14:paraId="37817088" w14:textId="77777777" w:rsidR="00FC3EF0" w:rsidRPr="00F059C5" w:rsidRDefault="00FC3EF0" w:rsidP="00FC3EF0">
      <w:pPr>
        <w:pStyle w:val="Sinespaciado"/>
        <w:spacing w:line="360" w:lineRule="auto"/>
        <w:jc w:val="both"/>
        <w:rPr>
          <w:rFonts w:ascii="Arial" w:hAnsi="Arial" w:cs="Arial"/>
          <w:sz w:val="20"/>
          <w:szCs w:val="20"/>
        </w:rPr>
      </w:pPr>
    </w:p>
    <w:p w14:paraId="7BC6F2A9" w14:textId="77777777" w:rsidR="00FC3EF0" w:rsidRPr="00D92513" w:rsidRDefault="00FC3EF0" w:rsidP="00FC3EF0">
      <w:pPr>
        <w:pStyle w:val="Sinespaciado"/>
        <w:numPr>
          <w:ilvl w:val="0"/>
          <w:numId w:val="15"/>
        </w:numPr>
        <w:suppressAutoHyphens w:val="0"/>
        <w:spacing w:line="360" w:lineRule="auto"/>
        <w:jc w:val="both"/>
        <w:rPr>
          <w:rFonts w:ascii="Arial" w:hAnsi="Arial" w:cs="Arial"/>
          <w:sz w:val="20"/>
          <w:szCs w:val="20"/>
        </w:rPr>
      </w:pPr>
      <w:r w:rsidRPr="00D92513">
        <w:rPr>
          <w:rFonts w:ascii="Arial" w:hAnsi="Arial" w:cs="Arial"/>
          <w:b/>
          <w:sz w:val="20"/>
          <w:szCs w:val="20"/>
        </w:rPr>
        <w:t xml:space="preserve">Imposibilidad de apreciación de mala fe en la forma de actuar de la entidad. Ausencia de criterio jurisprudencial hasta Sentencias </w:t>
      </w:r>
      <w:proofErr w:type="spellStart"/>
      <w:r w:rsidRPr="00D92513">
        <w:rPr>
          <w:rFonts w:ascii="Arial" w:hAnsi="Arial" w:cs="Arial"/>
          <w:b/>
          <w:sz w:val="20"/>
          <w:szCs w:val="20"/>
        </w:rPr>
        <w:t>nº</w:t>
      </w:r>
      <w:proofErr w:type="spellEnd"/>
      <w:r w:rsidRPr="00D92513">
        <w:rPr>
          <w:rFonts w:ascii="Arial" w:hAnsi="Arial" w:cs="Arial"/>
          <w:b/>
          <w:sz w:val="20"/>
          <w:szCs w:val="20"/>
        </w:rPr>
        <w:t xml:space="preserve"> 44 y 46 a 49 del Pleno del Tribunal Supremo, de 23.01.2019.</w:t>
      </w:r>
    </w:p>
    <w:p w14:paraId="1A5834C2" w14:textId="77777777" w:rsidR="00FC3EF0" w:rsidRPr="00F059C5" w:rsidRDefault="00FC3EF0" w:rsidP="00FC3EF0">
      <w:pPr>
        <w:pStyle w:val="Sinespaciado"/>
        <w:spacing w:line="360" w:lineRule="auto"/>
        <w:jc w:val="both"/>
        <w:rPr>
          <w:rFonts w:ascii="Arial" w:hAnsi="Arial" w:cs="Arial"/>
          <w:sz w:val="20"/>
          <w:szCs w:val="20"/>
        </w:rPr>
      </w:pPr>
    </w:p>
    <w:p w14:paraId="44ECB797" w14:textId="4D07816B" w:rsidR="00FC3EF0" w:rsidRPr="00F059C5" w:rsidRDefault="00FC3EF0" w:rsidP="00FC3EF0">
      <w:pPr>
        <w:suppressAutoHyphens/>
        <w:spacing w:line="360" w:lineRule="auto"/>
        <w:jc w:val="both"/>
        <w:rPr>
          <w:rFonts w:ascii="Arial" w:hAnsi="Arial" w:cs="Arial"/>
        </w:rPr>
      </w:pPr>
      <w:r w:rsidRPr="00F059C5">
        <w:rPr>
          <w:rFonts w:ascii="Arial" w:hAnsi="Arial" w:cs="Arial"/>
        </w:rPr>
        <w:t xml:space="preserve">Es de apreciar, igualmente, que la reclamación previa interpuesta ante la entidad </w:t>
      </w:r>
      <w:proofErr w:type="gramStart"/>
      <w:r w:rsidRPr="00F059C5">
        <w:rPr>
          <w:rFonts w:ascii="Arial" w:hAnsi="Arial" w:cs="Arial"/>
        </w:rPr>
        <w:t>financiera,</w:t>
      </w:r>
      <w:proofErr w:type="gramEnd"/>
      <w:r w:rsidRPr="00F059C5">
        <w:rPr>
          <w:rFonts w:ascii="Arial" w:hAnsi="Arial" w:cs="Arial"/>
          <w:b/>
        </w:rPr>
        <w:t xml:space="preserve"> efectuaba una reclamación por el importe global de los gastos</w:t>
      </w:r>
      <w:r w:rsidR="00D92513">
        <w:rPr>
          <w:rFonts w:ascii="Arial" w:hAnsi="Arial" w:cs="Arial"/>
          <w:b/>
        </w:rPr>
        <w:t>.</w:t>
      </w:r>
      <w:r w:rsidRPr="00F059C5">
        <w:rPr>
          <w:rFonts w:ascii="Arial" w:hAnsi="Arial" w:cs="Arial"/>
        </w:rPr>
        <w:t xml:space="preserve"> </w:t>
      </w:r>
    </w:p>
    <w:p w14:paraId="484BEFC6" w14:textId="77777777" w:rsidR="00FC3EF0" w:rsidRPr="00F059C5" w:rsidRDefault="00FC3EF0" w:rsidP="00FC3EF0">
      <w:pPr>
        <w:suppressAutoHyphens/>
        <w:spacing w:line="360" w:lineRule="auto"/>
        <w:jc w:val="both"/>
        <w:rPr>
          <w:rFonts w:ascii="Arial" w:hAnsi="Arial" w:cs="Arial"/>
        </w:rPr>
      </w:pPr>
    </w:p>
    <w:p w14:paraId="243A698E" w14:textId="01EBFF73" w:rsidR="00FC3EF0" w:rsidRPr="00F059C5" w:rsidRDefault="00FC3EF0" w:rsidP="00FC3EF0">
      <w:pPr>
        <w:pStyle w:val="Sinespaciado"/>
        <w:spacing w:line="360" w:lineRule="auto"/>
        <w:jc w:val="both"/>
        <w:rPr>
          <w:rFonts w:ascii="Arial" w:hAnsi="Arial" w:cs="Arial"/>
          <w:sz w:val="20"/>
          <w:szCs w:val="20"/>
        </w:rPr>
      </w:pPr>
      <w:r w:rsidRPr="00F059C5">
        <w:rPr>
          <w:rFonts w:ascii="Arial" w:hAnsi="Arial" w:cs="Arial"/>
          <w:sz w:val="20"/>
          <w:szCs w:val="20"/>
        </w:rPr>
        <w:t xml:space="preserve">Pues bien, no cabe apreciar la mala </w:t>
      </w:r>
      <w:r w:rsidRPr="00D92513">
        <w:rPr>
          <w:rFonts w:ascii="Arial" w:hAnsi="Arial" w:cs="Arial"/>
          <w:sz w:val="20"/>
          <w:szCs w:val="20"/>
        </w:rPr>
        <w:t xml:space="preserve">fe de mi mandante habida cuenta de la inexistencia de respuesta a la reclamación previa, pues así ha sido declarado por un amplio sector de las Audiencias Provinciales al considerar que </w:t>
      </w:r>
      <w:r w:rsidRPr="00F059C5">
        <w:rPr>
          <w:rFonts w:ascii="Arial" w:hAnsi="Arial" w:cs="Arial"/>
          <w:sz w:val="20"/>
          <w:szCs w:val="20"/>
        </w:rPr>
        <w:t>la existencia de criterios dispares entre los diferentes juzgados y Audiencias Provinciales, así como la ausencia de criterio de nuestro Alto Tribunal hasta las Sentencias de 23.01.2019, hace imposible la apreciación de mala fe en el actuar de la entidad.</w:t>
      </w:r>
    </w:p>
    <w:p w14:paraId="6FF03244" w14:textId="77777777" w:rsidR="00FC3EF0" w:rsidRDefault="00FC3EF0" w:rsidP="00FC3EF0">
      <w:pPr>
        <w:suppressAutoHyphens/>
        <w:spacing w:line="360" w:lineRule="auto"/>
        <w:jc w:val="both"/>
        <w:rPr>
          <w:rFonts w:ascii="Arial" w:hAnsi="Arial" w:cs="Arial"/>
        </w:rPr>
      </w:pPr>
    </w:p>
    <w:p w14:paraId="749AF4DA" w14:textId="77777777" w:rsidR="007D401C" w:rsidRPr="00F059C5" w:rsidRDefault="007D401C" w:rsidP="00FC3EF0">
      <w:pPr>
        <w:suppressAutoHyphens/>
        <w:spacing w:line="360" w:lineRule="auto"/>
        <w:jc w:val="both"/>
        <w:rPr>
          <w:rFonts w:ascii="Arial" w:hAnsi="Arial" w:cs="Arial"/>
        </w:rPr>
      </w:pPr>
    </w:p>
    <w:p w14:paraId="6CC5580E" w14:textId="77777777" w:rsidR="00FC3EF0" w:rsidRPr="00F059C5" w:rsidRDefault="00FC3EF0" w:rsidP="00FC3EF0">
      <w:pPr>
        <w:suppressAutoHyphens/>
        <w:spacing w:line="360" w:lineRule="auto"/>
        <w:jc w:val="both"/>
        <w:rPr>
          <w:rFonts w:ascii="Arial" w:hAnsi="Arial" w:cs="Arial"/>
        </w:rPr>
      </w:pPr>
      <w:r w:rsidRPr="00F059C5">
        <w:rPr>
          <w:rFonts w:ascii="Arial" w:hAnsi="Arial" w:cs="Arial"/>
        </w:rPr>
        <w:lastRenderedPageBreak/>
        <w:t xml:space="preserve">En efecto, </w:t>
      </w:r>
      <w:r w:rsidRPr="00F059C5">
        <w:rPr>
          <w:rFonts w:ascii="Arial" w:hAnsi="Arial" w:cs="Arial"/>
          <w:b/>
        </w:rPr>
        <w:t>resultaba legítima la resistencia de mi representada a la asunción sin paliativos de tales importes máximos y en modo alguno baladí las objeciones de fondo formuladas hasta hoy por esta entidad financiera que se han visto respaldadas, finalmente, en la mencionada jurisprudencia</w:t>
      </w:r>
      <w:r w:rsidRPr="00F059C5">
        <w:rPr>
          <w:rFonts w:ascii="Arial" w:hAnsi="Arial" w:cs="Arial"/>
        </w:rPr>
        <w:t>.</w:t>
      </w:r>
    </w:p>
    <w:p w14:paraId="69D00CF1" w14:textId="77777777" w:rsidR="00FC3EF0" w:rsidRPr="00F059C5" w:rsidRDefault="00FC3EF0" w:rsidP="00FC3EF0">
      <w:pPr>
        <w:pStyle w:val="Sinespaciado"/>
        <w:spacing w:line="360" w:lineRule="auto"/>
        <w:jc w:val="both"/>
        <w:rPr>
          <w:rFonts w:ascii="Arial" w:hAnsi="Arial" w:cs="Arial"/>
          <w:sz w:val="20"/>
          <w:szCs w:val="20"/>
        </w:rPr>
      </w:pPr>
    </w:p>
    <w:p w14:paraId="6D8D5D21" w14:textId="77777777" w:rsidR="00FC3EF0" w:rsidRPr="00F059C5" w:rsidRDefault="00FC3EF0" w:rsidP="00FC3EF0">
      <w:pPr>
        <w:pStyle w:val="Sinespaciado"/>
        <w:spacing w:line="360" w:lineRule="auto"/>
        <w:jc w:val="both"/>
        <w:rPr>
          <w:rFonts w:ascii="Arial" w:hAnsi="Arial" w:cs="Arial"/>
          <w:sz w:val="20"/>
          <w:szCs w:val="20"/>
        </w:rPr>
      </w:pPr>
      <w:r w:rsidRPr="00F059C5">
        <w:rPr>
          <w:rFonts w:ascii="Arial" w:hAnsi="Arial" w:cs="Arial"/>
          <w:sz w:val="20"/>
          <w:szCs w:val="20"/>
        </w:rPr>
        <w:t>En este sentido podemos destacar, entre otras, las siguientes:</w:t>
      </w:r>
    </w:p>
    <w:p w14:paraId="633AA430" w14:textId="77777777" w:rsidR="00FC3EF0" w:rsidRPr="00F059C5" w:rsidRDefault="00FC3EF0" w:rsidP="00FC3EF0">
      <w:pPr>
        <w:pStyle w:val="Sinespaciado"/>
        <w:spacing w:line="360" w:lineRule="auto"/>
        <w:jc w:val="both"/>
        <w:rPr>
          <w:rFonts w:ascii="Arial" w:hAnsi="Arial" w:cs="Arial"/>
          <w:sz w:val="20"/>
          <w:szCs w:val="20"/>
        </w:rPr>
      </w:pPr>
    </w:p>
    <w:p w14:paraId="5BB9A02D" w14:textId="77777777" w:rsidR="00FC3EF0" w:rsidRPr="00F059C5" w:rsidRDefault="00FC3EF0" w:rsidP="00FC3EF0">
      <w:pPr>
        <w:pStyle w:val="Prrafodelista"/>
        <w:numPr>
          <w:ilvl w:val="0"/>
          <w:numId w:val="1"/>
        </w:numPr>
        <w:spacing w:line="360" w:lineRule="auto"/>
        <w:jc w:val="both"/>
        <w:rPr>
          <w:rFonts w:ascii="Arial" w:hAnsi="Arial"/>
          <w:b/>
          <w:u w:val="single"/>
        </w:rPr>
      </w:pPr>
      <w:r w:rsidRPr="00F059C5">
        <w:rPr>
          <w:rFonts w:ascii="Arial" w:hAnsi="Arial"/>
          <w:b/>
          <w:u w:val="single"/>
        </w:rPr>
        <w:t xml:space="preserve">Sentencia </w:t>
      </w:r>
      <w:proofErr w:type="spellStart"/>
      <w:r w:rsidRPr="00F059C5">
        <w:rPr>
          <w:rFonts w:ascii="Arial" w:hAnsi="Arial"/>
          <w:b/>
          <w:u w:val="single"/>
        </w:rPr>
        <w:t>nº</w:t>
      </w:r>
      <w:proofErr w:type="spellEnd"/>
      <w:r w:rsidRPr="00F059C5">
        <w:rPr>
          <w:rFonts w:ascii="Arial" w:hAnsi="Arial"/>
          <w:b/>
          <w:u w:val="single"/>
        </w:rPr>
        <w:t xml:space="preserve"> 223/2020, de 5 de marzo, de la Audiencia Provincial de Murcia, Sección 4ª</w:t>
      </w:r>
      <w:r w:rsidRPr="00F059C5">
        <w:rPr>
          <w:rFonts w:ascii="Arial" w:hAnsi="Arial"/>
          <w:b/>
        </w:rPr>
        <w:t>:</w:t>
      </w:r>
      <w:r w:rsidRPr="00F059C5">
        <w:rPr>
          <w:rFonts w:ascii="Arial" w:hAnsi="Arial"/>
          <w:b/>
          <w:u w:val="single"/>
        </w:rPr>
        <w:t xml:space="preserve"> </w:t>
      </w:r>
      <w:r w:rsidRPr="00F059C5">
        <w:rPr>
          <w:rFonts w:ascii="Arial" w:hAnsi="Arial"/>
          <w:i/>
        </w:rPr>
        <w:t>“En este caso, dado el allanamiento de la parte demandada, resultaría de aplicación lo establecido específicamente en el artículo 395.1 LEC que prevé la no imposición de costas salvo que la parte demandada hubiese actuado con mala fe.</w:t>
      </w:r>
    </w:p>
    <w:p w14:paraId="7B42B6E9" w14:textId="77777777" w:rsidR="00FC3EF0" w:rsidRPr="00F059C5" w:rsidRDefault="00FC3EF0" w:rsidP="00FC3EF0">
      <w:pPr>
        <w:pStyle w:val="Prrafodelista"/>
        <w:spacing w:line="360" w:lineRule="auto"/>
        <w:jc w:val="both"/>
        <w:rPr>
          <w:rFonts w:ascii="Arial" w:hAnsi="Arial"/>
          <w:b/>
          <w:u w:val="single"/>
        </w:rPr>
      </w:pPr>
    </w:p>
    <w:p w14:paraId="496FFD4F" w14:textId="77777777" w:rsidR="00FC3EF0" w:rsidRPr="00F059C5" w:rsidRDefault="00FC3EF0" w:rsidP="00FC3EF0">
      <w:pPr>
        <w:pStyle w:val="Prrafodelista"/>
        <w:spacing w:line="360" w:lineRule="auto"/>
        <w:ind w:right="-1"/>
        <w:jc w:val="both"/>
        <w:rPr>
          <w:rFonts w:ascii="Arial" w:hAnsi="Arial"/>
          <w:i/>
        </w:rPr>
      </w:pPr>
      <w:r w:rsidRPr="00F059C5">
        <w:rPr>
          <w:rFonts w:ascii="Arial" w:hAnsi="Arial"/>
          <w:i/>
        </w:rPr>
        <w:t>Entendemos que la previa reclamación extrajudicial no permitiría en este caso presumir la existencia de esa mala fe conforme a lo establecido en dicha norma. Y ello porque dada la disparidad de criterios contradictorios de las Audiencias Provinciales acerca de la repercusión a una u otra parte de los gastos derivados de la nulidad de la citada cláusula, cabría afirmar que dicha reclamación extrajudicial no reuniría las notas de "requerimiento fehaciente y justificado de pago" que exige el mencionado precepto. Obsérvese además que precisamente las SSTS de 23 enero 2019 pusieron fin a tales discrepancias judiciales interpretativas, determinando, como hemos señalado, que la demandada se allanase a la pretensión actora que también había ajustado su reclamación de gastos a dicha nueva jurisprudencia.”</w:t>
      </w:r>
    </w:p>
    <w:p w14:paraId="6855927E" w14:textId="77777777" w:rsidR="00FC3EF0" w:rsidRPr="00F059C5" w:rsidRDefault="00FC3EF0" w:rsidP="00FC3EF0">
      <w:pPr>
        <w:pStyle w:val="Sinespaciado"/>
        <w:spacing w:line="360" w:lineRule="auto"/>
        <w:jc w:val="both"/>
        <w:rPr>
          <w:rFonts w:ascii="Arial" w:hAnsi="Arial" w:cs="Arial"/>
          <w:b/>
          <w:sz w:val="20"/>
          <w:szCs w:val="20"/>
        </w:rPr>
      </w:pPr>
    </w:p>
    <w:p w14:paraId="35801A81" w14:textId="3D30D17E" w:rsidR="00FC3EF0" w:rsidRPr="007D401C" w:rsidRDefault="00FC3EF0" w:rsidP="00FC3EF0">
      <w:pPr>
        <w:pStyle w:val="Prrafodelista"/>
        <w:numPr>
          <w:ilvl w:val="0"/>
          <w:numId w:val="1"/>
        </w:numPr>
        <w:spacing w:line="360" w:lineRule="auto"/>
        <w:jc w:val="both"/>
        <w:rPr>
          <w:rFonts w:ascii="Arial" w:hAnsi="Arial"/>
        </w:rPr>
      </w:pPr>
      <w:r w:rsidRPr="00F059C5">
        <w:rPr>
          <w:rFonts w:ascii="Arial" w:hAnsi="Arial"/>
          <w:b/>
          <w:u w:val="single"/>
        </w:rPr>
        <w:t xml:space="preserve">Sentencia </w:t>
      </w:r>
      <w:proofErr w:type="spellStart"/>
      <w:r w:rsidRPr="00F059C5">
        <w:rPr>
          <w:rFonts w:ascii="Arial" w:hAnsi="Arial"/>
          <w:b/>
          <w:u w:val="single"/>
        </w:rPr>
        <w:t>nº</w:t>
      </w:r>
      <w:proofErr w:type="spellEnd"/>
      <w:r w:rsidRPr="00F059C5">
        <w:rPr>
          <w:rFonts w:ascii="Arial" w:hAnsi="Arial"/>
          <w:b/>
          <w:u w:val="single"/>
        </w:rPr>
        <w:t xml:space="preserve"> 67/2020, de 7 de febrero de 2020, de la Audiencia Provincial de Burgos, Sección 3ª</w:t>
      </w:r>
      <w:r w:rsidRPr="00F059C5">
        <w:rPr>
          <w:rFonts w:ascii="Arial" w:hAnsi="Arial"/>
        </w:rPr>
        <w:t xml:space="preserve">: </w:t>
      </w:r>
      <w:r w:rsidRPr="00F059C5">
        <w:rPr>
          <w:rFonts w:ascii="Arial" w:hAnsi="Arial"/>
          <w:i/>
        </w:rPr>
        <w:t>“El recurso de apelación debe ser atendido, pues para aplicar el art. 395 de la LEC e imponer a la parte allanada las costas por mala fe procesal es preciso que haya mediado una reclamación previa no atendida por la demandada de forma injustificada, y que exista correspondencia entre el contenido del requerimiento previo y lo pedido en la demanda, siendo el caso en los actores formularon una reclamación previa contra la demandada solicitando el reintegro de la totalidad de lo pagado por impuesto de actos jurídicos documentados, gastos de notaría, registrador y gestoría, mientas que en la demanda limitaron su reclamación a la mitad de los gastos de notaría, y la totalidad de los gastos de registro y gestoría, habiéndose allanado el banco demandado al reintegro de las cantidades indebidamente pagadas según el reparto de gastos establecido por la doctrina del Tribunal Supremo en Sentencias de 23 de enero de 2019, esto es la totalidad de los gastos de registro y la mitad de los de notaria y gestoría (en la demanda se pedía el reintegro de todos los gastos de gestoría por lo que el allanamiento fue parcial), por lo que no se puede reprochar a tal banco haber actuado con mala fe, pues cuando la reclamación se ajustó a los criterios jurisprudenciales se avino a la misma.”</w:t>
      </w:r>
    </w:p>
    <w:p w14:paraId="0E85983D" w14:textId="77777777" w:rsidR="00FC3EF0" w:rsidRPr="00F059C5" w:rsidRDefault="00FC3EF0" w:rsidP="00FC3EF0">
      <w:pPr>
        <w:suppressAutoHyphens/>
        <w:spacing w:line="360" w:lineRule="auto"/>
        <w:jc w:val="both"/>
        <w:rPr>
          <w:rFonts w:ascii="Arial" w:hAnsi="Arial" w:cs="Arial"/>
        </w:rPr>
      </w:pPr>
      <w:r w:rsidRPr="00F059C5">
        <w:rPr>
          <w:rFonts w:ascii="Arial" w:hAnsi="Arial" w:cs="Arial"/>
        </w:rPr>
        <w:lastRenderedPageBreak/>
        <w:t>Ante lo expuesto, la negativa inicial de mi mandante a satisfacer un importe que hubiera resultado muy superior del cual la jurisprudencia considera debe reintegrarse, no puede entenderse en absoluto como un proceder “</w:t>
      </w:r>
      <w:r w:rsidRPr="00F059C5">
        <w:rPr>
          <w:rFonts w:ascii="Arial" w:hAnsi="Arial" w:cs="Arial"/>
          <w:i/>
        </w:rPr>
        <w:t>mala fe</w:t>
      </w:r>
      <w:r w:rsidRPr="00F059C5">
        <w:rPr>
          <w:rFonts w:ascii="Arial" w:hAnsi="Arial" w:cs="Arial"/>
        </w:rPr>
        <w:t>” que exigiría el artículo 395 de la Ley de Enjuiciamiento Civil para imponer las costas en caso de allanamiento, por lo que la reclamación extrajudicial aportada de contrario no puede servir de fundamento para imponer a la demandada allanada las costas de esta Litis.</w:t>
      </w:r>
    </w:p>
    <w:p w14:paraId="2295DCF5" w14:textId="63BAC92C" w:rsidR="00FC3EF0" w:rsidRPr="00F059C5" w:rsidRDefault="00FC3EF0" w:rsidP="00FC3EF0">
      <w:pPr>
        <w:pStyle w:val="Sinespaciado"/>
        <w:spacing w:line="360" w:lineRule="auto"/>
        <w:jc w:val="both"/>
        <w:rPr>
          <w:rFonts w:ascii="Arial" w:hAnsi="Arial" w:cs="Arial"/>
          <w:sz w:val="20"/>
          <w:szCs w:val="20"/>
        </w:rPr>
      </w:pPr>
    </w:p>
    <w:p w14:paraId="6A4A635D" w14:textId="77777777" w:rsidR="00FC3EF0" w:rsidRPr="00F059C5" w:rsidRDefault="00FC3EF0" w:rsidP="00FC3EF0">
      <w:pPr>
        <w:pStyle w:val="Sinespaciado"/>
        <w:spacing w:line="360" w:lineRule="auto"/>
        <w:jc w:val="both"/>
        <w:rPr>
          <w:rFonts w:ascii="Arial" w:hAnsi="Arial" w:cs="Arial"/>
          <w:sz w:val="20"/>
          <w:szCs w:val="20"/>
        </w:rPr>
      </w:pPr>
      <w:r w:rsidRPr="00F059C5">
        <w:rPr>
          <w:rFonts w:ascii="Arial" w:hAnsi="Arial" w:cs="Arial"/>
          <w:sz w:val="20"/>
          <w:szCs w:val="20"/>
        </w:rPr>
        <w:t>Por último, es igualmente preciso destacar que en ningún caso resultan de aplicación las recientes Sentencias del TJUE de 16.07.2020 y del Tribunal Supremo de 17.09.2020 y de 27.01,2021, pues se refieren al artículo 394 de la LEC, supuesto que, conforme ha quedado acreditado, no concurre en el presente asunto al encontrarnos en sede de allanamiento.</w:t>
      </w:r>
    </w:p>
    <w:p w14:paraId="0755E113" w14:textId="4EA92AE1" w:rsidR="00986A68" w:rsidRPr="001811B8" w:rsidRDefault="00986A68" w:rsidP="001811B8">
      <w:pPr>
        <w:spacing w:line="360" w:lineRule="auto"/>
        <w:ind w:right="140"/>
        <w:jc w:val="both"/>
        <w:rPr>
          <w:rFonts w:ascii="Arial" w:hAnsi="Arial" w:cs="Arial"/>
          <w:b/>
          <w:color w:val="auto"/>
        </w:rPr>
      </w:pPr>
    </w:p>
    <w:p w14:paraId="1B85EAE1" w14:textId="0C3BFAB8" w:rsidR="0028798D" w:rsidRDefault="0028798D" w:rsidP="001811B8">
      <w:pPr>
        <w:spacing w:line="360" w:lineRule="auto"/>
        <w:ind w:right="140"/>
        <w:jc w:val="both"/>
        <w:rPr>
          <w:rFonts w:ascii="Arial" w:hAnsi="Arial" w:cs="Arial"/>
          <w:color w:val="auto"/>
        </w:rPr>
      </w:pPr>
      <w:r w:rsidRPr="001811B8">
        <w:rPr>
          <w:rFonts w:ascii="Arial" w:hAnsi="Arial" w:cs="Arial"/>
          <w:b/>
          <w:color w:val="auto"/>
        </w:rPr>
        <w:t>En virtud de todo lo expuesto</w:t>
      </w:r>
      <w:r w:rsidRPr="001811B8">
        <w:rPr>
          <w:rFonts w:ascii="Arial" w:hAnsi="Arial" w:cs="Arial"/>
          <w:color w:val="auto"/>
        </w:rPr>
        <w:t>,</w:t>
      </w:r>
    </w:p>
    <w:p w14:paraId="2C87C951" w14:textId="77777777" w:rsidR="007D401C" w:rsidRPr="001811B8" w:rsidRDefault="007D401C" w:rsidP="001811B8">
      <w:pPr>
        <w:spacing w:line="360" w:lineRule="auto"/>
        <w:ind w:right="140"/>
        <w:jc w:val="both"/>
        <w:rPr>
          <w:rFonts w:ascii="Arial" w:hAnsi="Arial" w:cs="Arial"/>
          <w:color w:val="auto"/>
        </w:rPr>
      </w:pPr>
    </w:p>
    <w:p w14:paraId="7B908C28" w14:textId="77777777" w:rsidR="0028798D" w:rsidRPr="001811B8" w:rsidRDefault="0028798D" w:rsidP="001811B8">
      <w:pPr>
        <w:spacing w:line="360" w:lineRule="auto"/>
        <w:ind w:right="140"/>
        <w:jc w:val="both"/>
        <w:rPr>
          <w:rFonts w:ascii="Arial" w:hAnsi="Arial" w:cs="Arial"/>
          <w:color w:val="auto"/>
        </w:rPr>
      </w:pPr>
    </w:p>
    <w:p w14:paraId="2CFB5223" w14:textId="77777777" w:rsidR="00C34B7C" w:rsidRPr="001811B8" w:rsidRDefault="00C34B7C" w:rsidP="00C34B7C">
      <w:pPr>
        <w:spacing w:line="360" w:lineRule="auto"/>
        <w:ind w:right="-1"/>
        <w:jc w:val="both"/>
        <w:rPr>
          <w:rFonts w:ascii="Arial" w:hAnsi="Arial" w:cs="Arial"/>
          <w:b/>
          <w:color w:val="auto"/>
        </w:rPr>
      </w:pPr>
      <w:r w:rsidRPr="001811B8">
        <w:rPr>
          <w:rFonts w:ascii="Arial" w:hAnsi="Arial" w:cs="Arial"/>
          <w:b/>
          <w:color w:val="auto"/>
        </w:rPr>
        <w:t xml:space="preserve">SUPLICO AL JUZGADO </w:t>
      </w:r>
      <w:r w:rsidRPr="001811B8">
        <w:rPr>
          <w:rFonts w:ascii="Arial" w:hAnsi="Arial" w:cs="Arial"/>
          <w:color w:val="auto"/>
        </w:rPr>
        <w:t xml:space="preserve">que habiendo por presentado este escrito junto a los documentos que lo acompañan y copias de todo ello, se sirva admitirlo; me tenga por comparecida y parte en la representación que ostento de la entidad Bankinter, S.A.; y conforme a lo que se expresa en el cuerpo del mismo, </w:t>
      </w:r>
      <w:r w:rsidRPr="001811B8">
        <w:rPr>
          <w:rFonts w:ascii="Arial" w:hAnsi="Arial" w:cs="Arial"/>
          <w:b/>
          <w:color w:val="auto"/>
        </w:rPr>
        <w:t xml:space="preserve">tenga por formulado en tiempo y forma allanamiento parcial de la demandada </w:t>
      </w:r>
      <w:r w:rsidRPr="001811B8">
        <w:rPr>
          <w:rFonts w:ascii="Arial" w:hAnsi="Arial" w:cs="Arial"/>
          <w:bCs/>
          <w:color w:val="auto"/>
        </w:rPr>
        <w:t>en los términos del artículo 219.1 de la Ley de Enjuiciamiento Civil</w:t>
      </w:r>
      <w:r>
        <w:rPr>
          <w:rFonts w:ascii="Arial" w:hAnsi="Arial" w:cs="Arial"/>
          <w:color w:val="auto"/>
        </w:rPr>
        <w:t xml:space="preserve">, </w:t>
      </w:r>
      <w:r w:rsidRPr="005A4B7A">
        <w:rPr>
          <w:rFonts w:ascii="Arial" w:hAnsi="Arial" w:cs="Arial"/>
          <w:b/>
          <w:bCs/>
          <w:color w:val="auto"/>
          <w:u w:val="single"/>
        </w:rPr>
        <w:t>no siendo necesaria la celebración de Audiencia Previa</w:t>
      </w:r>
      <w:r>
        <w:rPr>
          <w:rFonts w:ascii="Arial" w:hAnsi="Arial" w:cs="Arial"/>
          <w:b/>
          <w:bCs/>
          <w:color w:val="auto"/>
        </w:rPr>
        <w:t xml:space="preserve"> al ser una cuestión de fondo que puede resolverse en sentencia</w:t>
      </w:r>
      <w:r w:rsidRPr="001811B8">
        <w:rPr>
          <w:rFonts w:ascii="Arial" w:hAnsi="Arial" w:cs="Arial"/>
          <w:color w:val="auto"/>
        </w:rPr>
        <w:t xml:space="preserve">; y en mérito de esta disposición del objeto del proceso y de las manifestaciones en que se sustancia, tras los trámites procesales oportunos, finalmente </w:t>
      </w:r>
      <w:r w:rsidRPr="001811B8">
        <w:rPr>
          <w:rFonts w:ascii="Arial" w:hAnsi="Arial" w:cs="Arial"/>
          <w:b/>
          <w:color w:val="auto"/>
          <w:shd w:val="clear" w:color="auto" w:fill="FFFFFF" w:themeFill="background1"/>
        </w:rPr>
        <w:t xml:space="preserve">dicte Resolución </w:t>
      </w:r>
      <w:r>
        <w:rPr>
          <w:rFonts w:ascii="Arial" w:hAnsi="Arial" w:cs="Arial"/>
          <w:b/>
          <w:color w:val="auto"/>
          <w:shd w:val="clear" w:color="auto" w:fill="FFFFFF" w:themeFill="background1"/>
        </w:rPr>
        <w:t xml:space="preserve">por la que se estime la demanda en los términos del presente allanamiento, desestimando cualquier pedimento que exceda del mismo, </w:t>
      </w:r>
      <w:r w:rsidRPr="001811B8">
        <w:rPr>
          <w:rFonts w:ascii="Arial" w:hAnsi="Arial" w:cs="Arial"/>
          <w:b/>
          <w:color w:val="auto"/>
          <w:shd w:val="clear" w:color="auto" w:fill="FFFFFF" w:themeFill="background1"/>
        </w:rPr>
        <w:t>sin hacer expresa imposición de las costas causadas a ninguna de las partes,</w:t>
      </w:r>
      <w:r w:rsidRPr="001811B8">
        <w:rPr>
          <w:rFonts w:ascii="Arial" w:hAnsi="Arial" w:cs="Arial"/>
          <w:color w:val="auto"/>
          <w:shd w:val="clear" w:color="auto" w:fill="FFFFFF" w:themeFill="background1"/>
        </w:rPr>
        <w:t xml:space="preserve"> declarándolas en consecuencia de oficio.</w:t>
      </w:r>
    </w:p>
    <w:p w14:paraId="47D50134" w14:textId="36B23788" w:rsidR="00AC5EE4" w:rsidRPr="001811B8" w:rsidRDefault="00AC5EE4" w:rsidP="001811B8">
      <w:pPr>
        <w:suppressAutoHyphens/>
        <w:spacing w:line="360" w:lineRule="auto"/>
        <w:ind w:right="6"/>
        <w:jc w:val="both"/>
        <w:rPr>
          <w:rFonts w:ascii="Arial" w:hAnsi="Arial" w:cs="Arial"/>
          <w:color w:val="auto"/>
        </w:rPr>
      </w:pPr>
    </w:p>
    <w:p w14:paraId="275356D5" w14:textId="1D50D7E9"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color w:val="auto"/>
        </w:rPr>
        <w:t>OTROSÍ DIGO</w:t>
      </w:r>
      <w:r w:rsidRPr="001811B8">
        <w:rPr>
          <w:rFonts w:ascii="Arial" w:hAnsi="Arial" w:cs="Arial"/>
          <w:color w:val="auto"/>
        </w:rPr>
        <w:t xml:space="preserve"> que a fin de subsanar los defectos en los que, en su caso, incurriese esta parte, se manifiesta, a los efectos previsto en el artículo 243.3 de la Ley Orgánica del Poder Judicial y en el artículo 231 de la Ley de Enjuiciamiento Civil, para éste y los sucesivos trámites e incluso instancias, esta parte manifiesta su voluntad de cumplir con los requisitos exigidos por la Ley en todos los actos procesales que realice en el presente procedimiento.</w:t>
      </w:r>
    </w:p>
    <w:p w14:paraId="5E1C164C" w14:textId="77777777" w:rsidR="00AC5EE4" w:rsidRPr="001811B8" w:rsidRDefault="00AC5EE4" w:rsidP="001811B8">
      <w:pPr>
        <w:suppressAutoHyphens/>
        <w:spacing w:line="360" w:lineRule="auto"/>
        <w:ind w:right="6"/>
        <w:jc w:val="both"/>
        <w:rPr>
          <w:rFonts w:ascii="Arial" w:hAnsi="Arial" w:cs="Arial"/>
          <w:color w:val="auto"/>
        </w:rPr>
      </w:pPr>
    </w:p>
    <w:p w14:paraId="4336FF52" w14:textId="77777777" w:rsidR="0028798D" w:rsidRDefault="0028798D" w:rsidP="001811B8">
      <w:pPr>
        <w:spacing w:line="360" w:lineRule="auto"/>
        <w:ind w:right="140"/>
        <w:jc w:val="both"/>
        <w:rPr>
          <w:rFonts w:ascii="Arial" w:hAnsi="Arial" w:cs="Arial"/>
          <w:color w:val="auto"/>
        </w:rPr>
      </w:pPr>
      <w:r w:rsidRPr="001811B8">
        <w:rPr>
          <w:rFonts w:ascii="Arial" w:hAnsi="Arial" w:cs="Arial"/>
          <w:b/>
          <w:color w:val="auto"/>
        </w:rPr>
        <w:t>A su razón</w:t>
      </w:r>
      <w:r w:rsidRPr="001811B8">
        <w:rPr>
          <w:rFonts w:ascii="Arial" w:hAnsi="Arial" w:cs="Arial"/>
          <w:color w:val="auto"/>
        </w:rPr>
        <w:t>,</w:t>
      </w:r>
    </w:p>
    <w:p w14:paraId="541CCEFF" w14:textId="77777777" w:rsidR="007D401C" w:rsidRDefault="007D401C" w:rsidP="001811B8">
      <w:pPr>
        <w:spacing w:line="360" w:lineRule="auto"/>
        <w:ind w:right="140"/>
        <w:jc w:val="both"/>
        <w:rPr>
          <w:rFonts w:ascii="Arial" w:hAnsi="Arial" w:cs="Arial"/>
          <w:color w:val="auto"/>
        </w:rPr>
      </w:pPr>
    </w:p>
    <w:p w14:paraId="14660979" w14:textId="77777777" w:rsidR="007D401C" w:rsidRDefault="007D401C" w:rsidP="001811B8">
      <w:pPr>
        <w:spacing w:line="360" w:lineRule="auto"/>
        <w:ind w:right="140"/>
        <w:jc w:val="both"/>
        <w:rPr>
          <w:rFonts w:ascii="Arial" w:hAnsi="Arial" w:cs="Arial"/>
          <w:color w:val="auto"/>
        </w:rPr>
      </w:pPr>
    </w:p>
    <w:p w14:paraId="1C5FBB94" w14:textId="77777777" w:rsidR="007D401C" w:rsidRDefault="007D401C" w:rsidP="001811B8">
      <w:pPr>
        <w:spacing w:line="360" w:lineRule="auto"/>
        <w:ind w:right="140"/>
        <w:jc w:val="both"/>
        <w:rPr>
          <w:rFonts w:ascii="Arial" w:hAnsi="Arial" w:cs="Arial"/>
          <w:color w:val="auto"/>
        </w:rPr>
      </w:pPr>
    </w:p>
    <w:p w14:paraId="21B63A47" w14:textId="77777777" w:rsidR="007D401C" w:rsidRDefault="007D401C" w:rsidP="001811B8">
      <w:pPr>
        <w:spacing w:line="360" w:lineRule="auto"/>
        <w:ind w:right="140"/>
        <w:jc w:val="both"/>
        <w:rPr>
          <w:rFonts w:ascii="Arial" w:hAnsi="Arial" w:cs="Arial"/>
          <w:color w:val="auto"/>
        </w:rPr>
      </w:pPr>
    </w:p>
    <w:p w14:paraId="3363AB14" w14:textId="77777777" w:rsidR="007D401C" w:rsidRPr="001811B8" w:rsidRDefault="007D401C" w:rsidP="001811B8">
      <w:pPr>
        <w:spacing w:line="360" w:lineRule="auto"/>
        <w:ind w:right="140"/>
        <w:jc w:val="both"/>
        <w:rPr>
          <w:rFonts w:ascii="Arial" w:hAnsi="Arial" w:cs="Arial"/>
          <w:color w:val="auto"/>
        </w:rPr>
      </w:pPr>
    </w:p>
    <w:p w14:paraId="2FEDD3BE" w14:textId="77777777" w:rsidR="0028798D" w:rsidRPr="001811B8" w:rsidRDefault="0028798D" w:rsidP="001811B8">
      <w:pPr>
        <w:spacing w:line="360" w:lineRule="auto"/>
        <w:ind w:right="140"/>
        <w:jc w:val="both"/>
        <w:rPr>
          <w:rFonts w:ascii="Arial" w:hAnsi="Arial" w:cs="Arial"/>
          <w:color w:val="auto"/>
        </w:rPr>
      </w:pPr>
    </w:p>
    <w:p w14:paraId="51E0E987" w14:textId="77777777"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color w:val="auto"/>
        </w:rPr>
        <w:lastRenderedPageBreak/>
        <w:t xml:space="preserve">SUPLICO AL JUZGADO </w:t>
      </w:r>
      <w:r w:rsidRPr="001811B8">
        <w:rPr>
          <w:rFonts w:ascii="Arial" w:hAnsi="Arial" w:cs="Arial"/>
          <w:color w:val="auto"/>
        </w:rPr>
        <w:t>que tenga por manifestado lo que se expresa mediante Otrosí digo y se le permita plazo para subsanar, llegado el caso, los posibles defectos procesales en que pudiere incurrir.</w:t>
      </w:r>
    </w:p>
    <w:p w14:paraId="3C6BC127" w14:textId="77777777" w:rsidR="0028798D" w:rsidRPr="001811B8" w:rsidRDefault="0028798D" w:rsidP="001811B8">
      <w:pPr>
        <w:suppressAutoHyphens/>
        <w:spacing w:line="360" w:lineRule="auto"/>
        <w:ind w:right="6"/>
        <w:jc w:val="both"/>
        <w:rPr>
          <w:rFonts w:ascii="Arial" w:hAnsi="Arial" w:cs="Arial"/>
          <w:color w:val="auto"/>
        </w:rPr>
      </w:pPr>
    </w:p>
    <w:p w14:paraId="0CDDB83B" w14:textId="77777777" w:rsidR="0028798D" w:rsidRPr="001811B8" w:rsidRDefault="0028798D" w:rsidP="001811B8">
      <w:pPr>
        <w:suppressAutoHyphens/>
        <w:spacing w:line="360" w:lineRule="auto"/>
        <w:ind w:right="6"/>
        <w:jc w:val="both"/>
        <w:rPr>
          <w:rFonts w:ascii="Arial" w:hAnsi="Arial" w:cs="Arial"/>
          <w:color w:val="auto"/>
        </w:rPr>
      </w:pPr>
    </w:p>
    <w:p w14:paraId="30F178B7" w14:textId="77777777" w:rsidR="0028798D" w:rsidRPr="001811B8" w:rsidRDefault="0028798D" w:rsidP="001811B8">
      <w:pPr>
        <w:spacing w:line="360" w:lineRule="auto"/>
        <w:jc w:val="center"/>
        <w:rPr>
          <w:rFonts w:ascii="Arial" w:hAnsi="Arial" w:cs="Arial"/>
          <w:b/>
          <w:color w:val="auto"/>
        </w:rPr>
      </w:pPr>
      <w:r w:rsidRPr="001811B8">
        <w:rPr>
          <w:rFonts w:ascii="Arial" w:hAnsi="Arial" w:cs="Arial"/>
          <w:b/>
          <w:color w:val="auto"/>
        </w:rPr>
        <w:t>Es Justicia que respetuosamente pido.</w:t>
      </w:r>
    </w:p>
    <w:p w14:paraId="3AB0D0AF" w14:textId="77777777" w:rsidR="0028798D" w:rsidRPr="001811B8" w:rsidRDefault="0028798D" w:rsidP="001811B8">
      <w:pPr>
        <w:spacing w:line="360" w:lineRule="auto"/>
        <w:jc w:val="center"/>
        <w:rPr>
          <w:rFonts w:ascii="Arial" w:hAnsi="Arial" w:cs="Arial"/>
          <w:b/>
          <w:color w:val="auto"/>
        </w:rPr>
      </w:pPr>
    </w:p>
    <w:p w14:paraId="2C429900" w14:textId="35C32A95" w:rsidR="0028798D" w:rsidRPr="001811B8" w:rsidRDefault="003E1A30" w:rsidP="001811B8">
      <w:pPr>
        <w:spacing w:line="360" w:lineRule="auto"/>
        <w:jc w:val="center"/>
        <w:rPr>
          <w:rFonts w:ascii="Arial" w:hAnsi="Arial" w:cs="Arial"/>
          <w:color w:val="auto"/>
        </w:rPr>
      </w:pPr>
      <w:r w:rsidRPr="003E1A30">
        <w:rPr>
          <w:rFonts w:ascii="Arial" w:hAnsi="Arial" w:cs="Arial"/>
          <w:color w:val="auto"/>
          <w:highlight w:val="green"/>
        </w:rPr>
        <w:fldChar w:fldCharType="begin"/>
      </w:r>
      <w:r w:rsidRPr="003E1A30">
        <w:rPr>
          <w:rFonts w:ascii="Arial" w:hAnsi="Arial" w:cs="Arial"/>
          <w:color w:val="auto"/>
          <w:highlight w:val="green"/>
        </w:rPr>
        <w:instrText>juzgado_poblacionjuz__1</w:instrText>
      </w:r>
      <w:r w:rsidRPr="003E1A30">
        <w:rPr>
          <w:rFonts w:ascii="Arial" w:hAnsi="Arial" w:cs="Arial"/>
          <w:color w:val="auto"/>
          <w:highlight w:val="green"/>
        </w:rPr>
        <w:fldChar w:fldCharType="separate"/>
      </w:r>
      <w:r w:rsidRPr="003E1A30">
        <w:rPr>
          <w:rFonts w:ascii="Arial" w:hAnsi="Arial" w:cs="Arial"/>
          <w:noProof/>
          <w:color w:val="auto"/>
          <w:highlight w:val="green"/>
        </w:rPr>
        <w:t>«Juzgados_Población»</w:t>
      </w:r>
      <w:r w:rsidRPr="003E1A30">
        <w:rPr>
          <w:rFonts w:ascii="Arial" w:hAnsi="Arial" w:cs="Arial"/>
          <w:color w:val="auto"/>
          <w:highlight w:val="green"/>
        </w:rPr>
        <w:fldChar w:fldCharType="end"/>
      </w:r>
      <w:r>
        <w:rPr>
          <w:rFonts w:ascii="Arial" w:hAnsi="Arial" w:cs="Arial"/>
          <w:color w:val="auto"/>
          <w:highlight w:val="green"/>
        </w:rPr>
        <w:t xml:space="preserve"> </w:t>
      </w:r>
      <w:r w:rsidR="00FC3EF0" w:rsidRPr="004A0A03">
        <w:rPr>
          <w:rFonts w:ascii="Arial" w:hAnsi="Arial" w:cs="Arial"/>
          <w:color w:val="auto"/>
          <w:highlight w:val="yellow"/>
        </w:rPr>
        <w:t xml:space="preserve">a </w:t>
      </w:r>
      <w:r w:rsidR="00C91FF9">
        <w:rPr>
          <w:rFonts w:ascii="Arial" w:hAnsi="Arial" w:cs="Arial"/>
          <w:color w:val="auto"/>
          <w:highlight w:val="green"/>
        </w:rPr>
        <w:fldChar w:fldCharType="begin"/>
      </w:r>
      <w:r w:rsidR="00C91FF9">
        <w:rPr>
          <w:rFonts w:ascii="Arial" w:hAnsi="Arial" w:cs="Arial"/>
          <w:color w:val="auto"/>
          <w:highlight w:val="green"/>
        </w:rPr>
        <w:instrText>director_fechaimpresionlarga</w:instrText>
      </w:r>
      <w:r w:rsidR="00C91FF9">
        <w:rPr>
          <w:rFonts w:ascii="Arial" w:hAnsi="Arial" w:cs="Arial"/>
          <w:color w:val="auto"/>
          <w:highlight w:val="green"/>
        </w:rPr>
        <w:fldChar w:fldCharType="separate"/>
      </w:r>
      <w:r w:rsidR="00C91FF9">
        <w:rPr>
          <w:rFonts w:ascii="Arial" w:hAnsi="Arial" w:cs="Arial"/>
          <w:noProof/>
          <w:color w:val="auto"/>
          <w:highlight w:val="green"/>
        </w:rPr>
        <w:t>«Empresa_Fecha_Impresión_Larga»</w:t>
      </w:r>
      <w:r w:rsidR="00C91FF9">
        <w:rPr>
          <w:rFonts w:ascii="Arial" w:hAnsi="Arial" w:cs="Arial"/>
          <w:color w:val="auto"/>
          <w:highlight w:val="green"/>
        </w:rPr>
        <w:fldChar w:fldCharType="end"/>
      </w:r>
      <w:r w:rsidR="00153C66" w:rsidRPr="004A0A03">
        <w:rPr>
          <w:rFonts w:ascii="Arial" w:hAnsi="Arial" w:cs="Arial"/>
          <w:color w:val="auto"/>
          <w:highlight w:val="yellow"/>
        </w:rPr>
        <w:t>.</w:t>
      </w:r>
    </w:p>
    <w:p w14:paraId="11F45D29" w14:textId="7228B504" w:rsidR="0028798D" w:rsidRPr="001811B8" w:rsidRDefault="0028798D" w:rsidP="001811B8">
      <w:pPr>
        <w:spacing w:line="360" w:lineRule="auto"/>
        <w:ind w:right="140"/>
        <w:rPr>
          <w:rFonts w:ascii="Arial" w:hAnsi="Arial" w:cs="Arial"/>
          <w:color w:val="auto"/>
        </w:rPr>
      </w:pPr>
    </w:p>
    <w:p w14:paraId="75680C39" w14:textId="2EA0C704" w:rsidR="00B43E83" w:rsidRPr="001811B8" w:rsidRDefault="00B43E83" w:rsidP="001811B8">
      <w:pPr>
        <w:spacing w:line="360" w:lineRule="auto"/>
        <w:ind w:right="140"/>
        <w:rPr>
          <w:rFonts w:ascii="Arial" w:hAnsi="Arial" w:cs="Arial"/>
          <w:color w:val="auto"/>
        </w:rPr>
      </w:pPr>
    </w:p>
    <w:p w14:paraId="29510315" w14:textId="77777777" w:rsidR="00B43E83" w:rsidRPr="001811B8" w:rsidRDefault="00B43E83" w:rsidP="001811B8">
      <w:pPr>
        <w:spacing w:line="360" w:lineRule="auto"/>
        <w:ind w:right="140"/>
        <w:rPr>
          <w:rFonts w:ascii="Arial" w:hAnsi="Arial" w:cs="Arial"/>
          <w:color w:val="auto"/>
        </w:rPr>
      </w:pPr>
    </w:p>
    <w:p w14:paraId="66A69E4C" w14:textId="77777777" w:rsidR="0028798D" w:rsidRPr="001811B8" w:rsidRDefault="0028798D" w:rsidP="001811B8">
      <w:pPr>
        <w:spacing w:line="360" w:lineRule="auto"/>
        <w:ind w:right="140"/>
        <w:rPr>
          <w:rFonts w:ascii="Arial" w:hAnsi="Arial" w:cs="Arial"/>
          <w:color w:val="auto"/>
        </w:rPr>
      </w:pPr>
    </w:p>
    <w:tbl>
      <w:tblPr>
        <w:tblW w:w="0" w:type="auto"/>
        <w:tblInd w:w="-567" w:type="dxa"/>
        <w:tblLook w:val="04A0" w:firstRow="1" w:lastRow="0" w:firstColumn="1" w:lastColumn="0" w:noHBand="0" w:noVBand="1"/>
      </w:tblPr>
      <w:tblGrid>
        <w:gridCol w:w="3749"/>
        <w:gridCol w:w="1259"/>
        <w:gridCol w:w="4063"/>
      </w:tblGrid>
      <w:tr w:rsidR="00DB31B0" w:rsidRPr="001811B8" w14:paraId="6943F3EE" w14:textId="77777777" w:rsidTr="00B8289A">
        <w:tc>
          <w:tcPr>
            <w:tcW w:w="3794" w:type="dxa"/>
            <w:shd w:val="clear" w:color="auto" w:fill="auto"/>
          </w:tcPr>
          <w:p w14:paraId="2113B07D" w14:textId="1D128CC5" w:rsidR="0028798D" w:rsidRPr="001811B8" w:rsidRDefault="00D92513" w:rsidP="001811B8">
            <w:pPr>
              <w:spacing w:line="360" w:lineRule="auto"/>
              <w:jc w:val="center"/>
              <w:rPr>
                <w:rFonts w:ascii="Arial" w:hAnsi="Arial" w:cs="Arial"/>
                <w:b/>
                <w:color w:val="auto"/>
              </w:rPr>
            </w:pPr>
            <w:r>
              <w:rPr>
                <w:rFonts w:ascii="Arial" w:hAnsi="Arial" w:cs="Arial"/>
                <w:b/>
                <w:color w:val="auto"/>
              </w:rPr>
              <w:t>Rocío Grondona Vives</w:t>
            </w:r>
          </w:p>
          <w:p w14:paraId="0B666DF3" w14:textId="1B00F771" w:rsidR="0028798D" w:rsidRPr="001811B8" w:rsidRDefault="00986A68" w:rsidP="001811B8">
            <w:pPr>
              <w:spacing w:line="360" w:lineRule="auto"/>
              <w:jc w:val="center"/>
              <w:rPr>
                <w:rFonts w:ascii="Arial" w:hAnsi="Arial" w:cs="Arial"/>
                <w:color w:val="auto"/>
              </w:rPr>
            </w:pPr>
            <w:r>
              <w:rPr>
                <w:rFonts w:ascii="Arial" w:hAnsi="Arial" w:cs="Arial"/>
                <w:color w:val="auto"/>
              </w:rPr>
              <w:t>Letrada</w:t>
            </w:r>
          </w:p>
        </w:tc>
        <w:tc>
          <w:tcPr>
            <w:tcW w:w="1276" w:type="dxa"/>
            <w:shd w:val="clear" w:color="auto" w:fill="auto"/>
          </w:tcPr>
          <w:p w14:paraId="7394C224" w14:textId="77777777" w:rsidR="0028798D" w:rsidRPr="001811B8" w:rsidRDefault="0028798D" w:rsidP="001811B8">
            <w:pPr>
              <w:spacing w:line="360" w:lineRule="auto"/>
              <w:jc w:val="center"/>
              <w:rPr>
                <w:rFonts w:ascii="Arial" w:hAnsi="Arial" w:cs="Arial"/>
                <w:color w:val="auto"/>
              </w:rPr>
            </w:pPr>
          </w:p>
        </w:tc>
        <w:tc>
          <w:tcPr>
            <w:tcW w:w="4110" w:type="dxa"/>
            <w:shd w:val="clear" w:color="auto" w:fill="auto"/>
          </w:tcPr>
          <w:p w14:paraId="06E4683C" w14:textId="77777777" w:rsidR="00B842FC" w:rsidRPr="00D92513" w:rsidRDefault="00C0756F" w:rsidP="001811B8">
            <w:pPr>
              <w:spacing w:line="360" w:lineRule="auto"/>
              <w:jc w:val="center"/>
              <w:rPr>
                <w:rFonts w:ascii="Arial" w:hAnsi="Arial" w:cs="Arial"/>
                <w:b/>
                <w:bCs/>
                <w:color w:val="auto"/>
                <w:lang w:val="es-ES_tradnl"/>
              </w:rPr>
            </w:pPr>
            <w:r w:rsidRPr="00D92513">
              <w:rPr>
                <w:rFonts w:ascii="Arial" w:hAnsi="Arial" w:cs="Arial"/>
                <w:b/>
                <w:bCs/>
                <w:color w:val="auto"/>
                <w:lang w:val="es-ES_tradnl"/>
              </w:rPr>
              <w:t xml:space="preserve">Gemma </w:t>
            </w:r>
            <w:proofErr w:type="spellStart"/>
            <w:r w:rsidRPr="00D92513">
              <w:rPr>
                <w:rFonts w:ascii="Arial" w:hAnsi="Arial" w:cs="Arial"/>
                <w:b/>
                <w:bCs/>
                <w:color w:val="auto"/>
                <w:lang w:val="es-ES_tradnl"/>
              </w:rPr>
              <w:t>Donderis</w:t>
            </w:r>
            <w:proofErr w:type="spellEnd"/>
            <w:r w:rsidRPr="00D92513">
              <w:rPr>
                <w:rFonts w:ascii="Arial" w:hAnsi="Arial" w:cs="Arial"/>
                <w:b/>
                <w:bCs/>
                <w:color w:val="auto"/>
                <w:lang w:val="es-ES_tradnl"/>
              </w:rPr>
              <w:t xml:space="preserve"> de Salazar</w:t>
            </w:r>
          </w:p>
          <w:p w14:paraId="795266F0" w14:textId="09F13E01" w:rsidR="0028798D" w:rsidRPr="001811B8" w:rsidRDefault="00C0756F" w:rsidP="001811B8">
            <w:pPr>
              <w:spacing w:line="360" w:lineRule="auto"/>
              <w:jc w:val="center"/>
              <w:rPr>
                <w:rFonts w:ascii="Arial" w:hAnsi="Arial" w:cs="Arial"/>
                <w:color w:val="auto"/>
              </w:rPr>
            </w:pPr>
            <w:r w:rsidRPr="00D92513">
              <w:rPr>
                <w:rFonts w:ascii="Arial" w:hAnsi="Arial" w:cs="Arial"/>
                <w:color w:val="auto"/>
              </w:rPr>
              <w:t xml:space="preserve"> </w:t>
            </w:r>
            <w:r w:rsidR="0028798D" w:rsidRPr="00D92513">
              <w:rPr>
                <w:rFonts w:ascii="Arial" w:hAnsi="Arial" w:cs="Arial"/>
                <w:color w:val="auto"/>
              </w:rPr>
              <w:t>Procuradora</w:t>
            </w:r>
          </w:p>
        </w:tc>
      </w:tr>
    </w:tbl>
    <w:p w14:paraId="6EF1DD48" w14:textId="77777777" w:rsidR="00EB030B" w:rsidRPr="001811B8" w:rsidRDefault="00EB030B" w:rsidP="001811B8">
      <w:pPr>
        <w:spacing w:line="360" w:lineRule="auto"/>
        <w:rPr>
          <w:rFonts w:ascii="Arial" w:hAnsi="Arial" w:cs="Arial"/>
          <w:color w:val="auto"/>
        </w:rPr>
      </w:pPr>
    </w:p>
    <w:sectPr w:rsidR="00EB030B" w:rsidRPr="001811B8" w:rsidSect="00B8289A">
      <w:headerReference w:type="default" r:id="rId9"/>
      <w:footerReference w:type="default" r:id="rId10"/>
      <w:pgSz w:w="11906" w:h="16838"/>
      <w:pgMar w:top="1417" w:right="170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E1D4C" w14:textId="77777777" w:rsidR="003E5A8B" w:rsidRDefault="003E5A8B">
      <w:r>
        <w:separator/>
      </w:r>
    </w:p>
  </w:endnote>
  <w:endnote w:type="continuationSeparator" w:id="0">
    <w:p w14:paraId="5B22358E" w14:textId="77777777" w:rsidR="003E5A8B" w:rsidRDefault="003E5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nkinter">
    <w:charset w:val="00"/>
    <w:family w:val="auto"/>
    <w:pitch w:val="variable"/>
    <w:sig w:usb0="800000AF" w:usb1="1000204B"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jaVu Sans">
    <w:altName w:val="Times New Roman"/>
    <w:charset w:val="00"/>
    <w:family w:val="swiss"/>
    <w:pitch w:val="variable"/>
    <w:sig w:usb0="E7002EFF" w:usb1="D200FDFF" w:usb2="0A24602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431570"/>
      <w:docPartObj>
        <w:docPartGallery w:val="Page Numbers (Bottom of Page)"/>
        <w:docPartUnique/>
      </w:docPartObj>
    </w:sdtPr>
    <w:sdtEndPr>
      <w:rPr>
        <w:sz w:val="16"/>
      </w:rPr>
    </w:sdtEndPr>
    <w:sdtContent>
      <w:p w14:paraId="634702C8" w14:textId="15AC74E0" w:rsidR="00B8289A" w:rsidRPr="002E1706" w:rsidRDefault="00B8289A">
        <w:pPr>
          <w:pStyle w:val="Piedepgina"/>
          <w:jc w:val="center"/>
          <w:rPr>
            <w:sz w:val="16"/>
          </w:rPr>
        </w:pPr>
        <w:r w:rsidRPr="002E1706">
          <w:rPr>
            <w:sz w:val="16"/>
          </w:rPr>
          <w:fldChar w:fldCharType="begin"/>
        </w:r>
        <w:r w:rsidRPr="002E1706">
          <w:rPr>
            <w:sz w:val="16"/>
          </w:rPr>
          <w:instrText>PAGE   \* MERGEFORMAT</w:instrText>
        </w:r>
        <w:r w:rsidRPr="002E1706">
          <w:rPr>
            <w:sz w:val="16"/>
          </w:rPr>
          <w:fldChar w:fldCharType="separate"/>
        </w:r>
        <w:r w:rsidR="00C34B7C">
          <w:rPr>
            <w:noProof/>
            <w:sz w:val="16"/>
          </w:rPr>
          <w:t>37</w:t>
        </w:r>
        <w:r w:rsidRPr="002E1706">
          <w:rPr>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C0D15" w14:textId="77777777" w:rsidR="003E5A8B" w:rsidRDefault="003E5A8B">
      <w:r>
        <w:separator/>
      </w:r>
    </w:p>
  </w:footnote>
  <w:footnote w:type="continuationSeparator" w:id="0">
    <w:p w14:paraId="57E861F5" w14:textId="77777777" w:rsidR="003E5A8B" w:rsidRDefault="003E5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B1F7B" w14:textId="77777777" w:rsidR="00B8289A" w:rsidRDefault="00B8289A">
    <w:pPr>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65402"/>
    <w:multiLevelType w:val="hybridMultilevel"/>
    <w:tmpl w:val="26C836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D83F7C"/>
    <w:multiLevelType w:val="hybridMultilevel"/>
    <w:tmpl w:val="FA86A3B8"/>
    <w:lvl w:ilvl="0" w:tplc="1E1A563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C620565"/>
    <w:multiLevelType w:val="hybridMultilevel"/>
    <w:tmpl w:val="2C9CC760"/>
    <w:lvl w:ilvl="0" w:tplc="6BDEAAA2">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9665B9"/>
    <w:multiLevelType w:val="hybridMultilevel"/>
    <w:tmpl w:val="6CC06826"/>
    <w:lvl w:ilvl="0" w:tplc="0C0A0005">
      <w:start w:val="1"/>
      <w:numFmt w:val="bullet"/>
      <w:lvlText w:val=""/>
      <w:lvlJc w:val="left"/>
      <w:pPr>
        <w:ind w:left="1364" w:hanging="360"/>
      </w:pPr>
      <w:rPr>
        <w:rFonts w:ascii="Wingdings" w:hAnsi="Wingdings" w:hint="default"/>
      </w:rPr>
    </w:lvl>
    <w:lvl w:ilvl="1" w:tplc="0C0A0003" w:tentative="1">
      <w:start w:val="1"/>
      <w:numFmt w:val="bullet"/>
      <w:lvlText w:val="o"/>
      <w:lvlJc w:val="left"/>
      <w:pPr>
        <w:ind w:left="2084" w:hanging="360"/>
      </w:pPr>
      <w:rPr>
        <w:rFonts w:ascii="Courier New" w:hAnsi="Courier New" w:cs="Courier New" w:hint="default"/>
      </w:rPr>
    </w:lvl>
    <w:lvl w:ilvl="2" w:tplc="0C0A0005" w:tentative="1">
      <w:start w:val="1"/>
      <w:numFmt w:val="bullet"/>
      <w:lvlText w:val=""/>
      <w:lvlJc w:val="left"/>
      <w:pPr>
        <w:ind w:left="2804" w:hanging="360"/>
      </w:pPr>
      <w:rPr>
        <w:rFonts w:ascii="Wingdings" w:hAnsi="Wingdings" w:hint="default"/>
      </w:rPr>
    </w:lvl>
    <w:lvl w:ilvl="3" w:tplc="0C0A0001" w:tentative="1">
      <w:start w:val="1"/>
      <w:numFmt w:val="bullet"/>
      <w:lvlText w:val=""/>
      <w:lvlJc w:val="left"/>
      <w:pPr>
        <w:ind w:left="3524" w:hanging="360"/>
      </w:pPr>
      <w:rPr>
        <w:rFonts w:ascii="Symbol" w:hAnsi="Symbol" w:hint="default"/>
      </w:rPr>
    </w:lvl>
    <w:lvl w:ilvl="4" w:tplc="0C0A0003" w:tentative="1">
      <w:start w:val="1"/>
      <w:numFmt w:val="bullet"/>
      <w:lvlText w:val="o"/>
      <w:lvlJc w:val="left"/>
      <w:pPr>
        <w:ind w:left="4244" w:hanging="360"/>
      </w:pPr>
      <w:rPr>
        <w:rFonts w:ascii="Courier New" w:hAnsi="Courier New" w:cs="Courier New" w:hint="default"/>
      </w:rPr>
    </w:lvl>
    <w:lvl w:ilvl="5" w:tplc="0C0A0005" w:tentative="1">
      <w:start w:val="1"/>
      <w:numFmt w:val="bullet"/>
      <w:lvlText w:val=""/>
      <w:lvlJc w:val="left"/>
      <w:pPr>
        <w:ind w:left="4964" w:hanging="360"/>
      </w:pPr>
      <w:rPr>
        <w:rFonts w:ascii="Wingdings" w:hAnsi="Wingdings" w:hint="default"/>
      </w:rPr>
    </w:lvl>
    <w:lvl w:ilvl="6" w:tplc="0C0A0001" w:tentative="1">
      <w:start w:val="1"/>
      <w:numFmt w:val="bullet"/>
      <w:lvlText w:val=""/>
      <w:lvlJc w:val="left"/>
      <w:pPr>
        <w:ind w:left="5684" w:hanging="360"/>
      </w:pPr>
      <w:rPr>
        <w:rFonts w:ascii="Symbol" w:hAnsi="Symbol" w:hint="default"/>
      </w:rPr>
    </w:lvl>
    <w:lvl w:ilvl="7" w:tplc="0C0A0003" w:tentative="1">
      <w:start w:val="1"/>
      <w:numFmt w:val="bullet"/>
      <w:lvlText w:val="o"/>
      <w:lvlJc w:val="left"/>
      <w:pPr>
        <w:ind w:left="6404" w:hanging="360"/>
      </w:pPr>
      <w:rPr>
        <w:rFonts w:ascii="Courier New" w:hAnsi="Courier New" w:cs="Courier New" w:hint="default"/>
      </w:rPr>
    </w:lvl>
    <w:lvl w:ilvl="8" w:tplc="0C0A0005" w:tentative="1">
      <w:start w:val="1"/>
      <w:numFmt w:val="bullet"/>
      <w:lvlText w:val=""/>
      <w:lvlJc w:val="left"/>
      <w:pPr>
        <w:ind w:left="7124" w:hanging="360"/>
      </w:pPr>
      <w:rPr>
        <w:rFonts w:ascii="Wingdings" w:hAnsi="Wingdings" w:hint="default"/>
      </w:rPr>
    </w:lvl>
  </w:abstractNum>
  <w:abstractNum w:abstractNumId="4" w15:restartNumberingAfterBreak="0">
    <w:nsid w:val="2ADA1D67"/>
    <w:multiLevelType w:val="hybridMultilevel"/>
    <w:tmpl w:val="27EC084C"/>
    <w:lvl w:ilvl="0" w:tplc="BD6A3E02">
      <w:start w:val="1"/>
      <w:numFmt w:val="decimal"/>
      <w:lvlText w:val="%1."/>
      <w:lvlJc w:val="left"/>
      <w:pPr>
        <w:ind w:left="720" w:hanging="360"/>
      </w:pPr>
      <w:rPr>
        <w:rFonts w:hint="default"/>
        <w:b w:val="0"/>
        <w:bCs/>
        <w:i w:val="0"/>
      </w:rPr>
    </w:lvl>
    <w:lvl w:ilvl="1" w:tplc="46BAA2E4">
      <w:start w:val="1"/>
      <w:numFmt w:val="lowerRoman"/>
      <w:lvlText w:val="(%2)"/>
      <w:lvlJc w:val="left"/>
      <w:pPr>
        <w:ind w:left="1440" w:hanging="360"/>
      </w:pPr>
      <w:rPr>
        <w:rFonts w:asciiTheme="majorBidi" w:eastAsia="Times New Roman" w:hAnsiTheme="majorBidi" w:cstheme="majorBidi"/>
      </w:rPr>
    </w:lvl>
    <w:lvl w:ilvl="2" w:tplc="3488A6B0">
      <w:numFmt w:val="bullet"/>
      <w:lvlText w:val="-"/>
      <w:lvlJc w:val="left"/>
      <w:pPr>
        <w:ind w:left="2340" w:hanging="360"/>
      </w:pPr>
      <w:rPr>
        <w:rFonts w:ascii="Times New Roman" w:eastAsia="Times New Roman" w:hAnsi="Times New Roman" w:cs="Times New Roman"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DB95523"/>
    <w:multiLevelType w:val="hybridMultilevel"/>
    <w:tmpl w:val="CA00E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6C01123"/>
    <w:multiLevelType w:val="hybridMultilevel"/>
    <w:tmpl w:val="B30C5C22"/>
    <w:lvl w:ilvl="0" w:tplc="719CF8EA">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370170D9"/>
    <w:multiLevelType w:val="hybridMultilevel"/>
    <w:tmpl w:val="701ECB90"/>
    <w:lvl w:ilvl="0" w:tplc="CE50482E">
      <w:start w:val="1"/>
      <w:numFmt w:val="upp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33802AF"/>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abstractNum w:abstractNumId="9" w15:restartNumberingAfterBreak="0">
    <w:nsid w:val="452011B7"/>
    <w:multiLevelType w:val="hybridMultilevel"/>
    <w:tmpl w:val="0E729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6F01916"/>
    <w:multiLevelType w:val="hybridMultilevel"/>
    <w:tmpl w:val="D9C61296"/>
    <w:lvl w:ilvl="0" w:tplc="00FC0C94">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5776EC"/>
    <w:multiLevelType w:val="hybridMultilevel"/>
    <w:tmpl w:val="FD02F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C9D6326"/>
    <w:multiLevelType w:val="hybridMultilevel"/>
    <w:tmpl w:val="529EE9EE"/>
    <w:lvl w:ilvl="0" w:tplc="7E7CE994">
      <w:start w:val="1"/>
      <w:numFmt w:val="upperRoman"/>
      <w:lvlText w:val="%1."/>
      <w:lvlJc w:val="left"/>
      <w:pPr>
        <w:ind w:left="153" w:hanging="720"/>
      </w:pPr>
      <w:rPr>
        <w:rFonts w:hint="default"/>
      </w:rPr>
    </w:lvl>
    <w:lvl w:ilvl="1" w:tplc="0C0A0019" w:tentative="1">
      <w:start w:val="1"/>
      <w:numFmt w:val="lowerLetter"/>
      <w:lvlText w:val="%2."/>
      <w:lvlJc w:val="left"/>
      <w:pPr>
        <w:ind w:left="513" w:hanging="360"/>
      </w:pPr>
    </w:lvl>
    <w:lvl w:ilvl="2" w:tplc="0C0A001B" w:tentative="1">
      <w:start w:val="1"/>
      <w:numFmt w:val="lowerRoman"/>
      <w:lvlText w:val="%3."/>
      <w:lvlJc w:val="right"/>
      <w:pPr>
        <w:ind w:left="1233" w:hanging="180"/>
      </w:pPr>
    </w:lvl>
    <w:lvl w:ilvl="3" w:tplc="0C0A000F" w:tentative="1">
      <w:start w:val="1"/>
      <w:numFmt w:val="decimal"/>
      <w:lvlText w:val="%4."/>
      <w:lvlJc w:val="left"/>
      <w:pPr>
        <w:ind w:left="1953" w:hanging="360"/>
      </w:pPr>
    </w:lvl>
    <w:lvl w:ilvl="4" w:tplc="0C0A0019" w:tentative="1">
      <w:start w:val="1"/>
      <w:numFmt w:val="lowerLetter"/>
      <w:lvlText w:val="%5."/>
      <w:lvlJc w:val="left"/>
      <w:pPr>
        <w:ind w:left="2673" w:hanging="360"/>
      </w:pPr>
    </w:lvl>
    <w:lvl w:ilvl="5" w:tplc="0C0A001B" w:tentative="1">
      <w:start w:val="1"/>
      <w:numFmt w:val="lowerRoman"/>
      <w:lvlText w:val="%6."/>
      <w:lvlJc w:val="right"/>
      <w:pPr>
        <w:ind w:left="3393" w:hanging="180"/>
      </w:pPr>
    </w:lvl>
    <w:lvl w:ilvl="6" w:tplc="0C0A000F" w:tentative="1">
      <w:start w:val="1"/>
      <w:numFmt w:val="decimal"/>
      <w:lvlText w:val="%7."/>
      <w:lvlJc w:val="left"/>
      <w:pPr>
        <w:ind w:left="4113" w:hanging="360"/>
      </w:pPr>
    </w:lvl>
    <w:lvl w:ilvl="7" w:tplc="0C0A0019" w:tentative="1">
      <w:start w:val="1"/>
      <w:numFmt w:val="lowerLetter"/>
      <w:lvlText w:val="%8."/>
      <w:lvlJc w:val="left"/>
      <w:pPr>
        <w:ind w:left="4833" w:hanging="360"/>
      </w:pPr>
    </w:lvl>
    <w:lvl w:ilvl="8" w:tplc="0C0A001B" w:tentative="1">
      <w:start w:val="1"/>
      <w:numFmt w:val="lowerRoman"/>
      <w:lvlText w:val="%9."/>
      <w:lvlJc w:val="right"/>
      <w:pPr>
        <w:ind w:left="5553" w:hanging="180"/>
      </w:pPr>
    </w:lvl>
  </w:abstractNum>
  <w:abstractNum w:abstractNumId="13" w15:restartNumberingAfterBreak="0">
    <w:nsid w:val="51212239"/>
    <w:multiLevelType w:val="hybridMultilevel"/>
    <w:tmpl w:val="9474C8EC"/>
    <w:lvl w:ilvl="0" w:tplc="39C80F12">
      <w:numFmt w:val="bullet"/>
      <w:lvlText w:val="-"/>
      <w:lvlJc w:val="left"/>
      <w:pPr>
        <w:ind w:left="720" w:hanging="360"/>
      </w:pPr>
      <w:rPr>
        <w:rFonts w:ascii="Bankinter" w:eastAsia="Times New Roman" w:hAnsi="Bankinter"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48C4F14"/>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abstractNum w:abstractNumId="15" w15:restartNumberingAfterBreak="0">
    <w:nsid w:val="63226122"/>
    <w:multiLevelType w:val="hybridMultilevel"/>
    <w:tmpl w:val="A7A617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4387EC6"/>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abstractNum w:abstractNumId="17" w15:restartNumberingAfterBreak="0">
    <w:nsid w:val="644740F8"/>
    <w:multiLevelType w:val="hybridMultilevel"/>
    <w:tmpl w:val="C840D47A"/>
    <w:lvl w:ilvl="0" w:tplc="881E60B0">
      <w:start w:val="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60C280B"/>
    <w:multiLevelType w:val="hybridMultilevel"/>
    <w:tmpl w:val="E96A47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CF712E9"/>
    <w:multiLevelType w:val="hybridMultilevel"/>
    <w:tmpl w:val="FBAA6C5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DCE3F04"/>
    <w:multiLevelType w:val="hybridMultilevel"/>
    <w:tmpl w:val="B0BE1A92"/>
    <w:lvl w:ilvl="0" w:tplc="C6A084EC">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6FD63396"/>
    <w:multiLevelType w:val="hybridMultilevel"/>
    <w:tmpl w:val="92E02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2A85923"/>
    <w:multiLevelType w:val="hybridMultilevel"/>
    <w:tmpl w:val="818419C6"/>
    <w:lvl w:ilvl="0" w:tplc="0C0A000F">
      <w:start w:val="1"/>
      <w:numFmt w:val="decimal"/>
      <w:lvlText w:val="%1."/>
      <w:lvlJc w:val="left"/>
      <w:pPr>
        <w:ind w:left="644" w:hanging="360"/>
      </w:pPr>
      <w:rPr>
        <w:rFonts w:hint="default"/>
        <w:b w:val="0"/>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23" w15:restartNumberingAfterBreak="0">
    <w:nsid w:val="753071E9"/>
    <w:multiLevelType w:val="hybridMultilevel"/>
    <w:tmpl w:val="E1922D0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D60205E"/>
    <w:multiLevelType w:val="hybridMultilevel"/>
    <w:tmpl w:val="4C908064"/>
    <w:lvl w:ilvl="0" w:tplc="0C0A001B">
      <w:start w:val="1"/>
      <w:numFmt w:val="lowerRoman"/>
      <w:lvlText w:val="%1."/>
      <w:lvlJc w:val="right"/>
      <w:pPr>
        <w:ind w:left="513" w:hanging="360"/>
      </w:pPr>
      <w:rPr>
        <w:rFonts w:hint="default"/>
      </w:rPr>
    </w:lvl>
    <w:lvl w:ilvl="1" w:tplc="0C0A0019">
      <w:start w:val="1"/>
      <w:numFmt w:val="lowerLetter"/>
      <w:lvlText w:val="%2."/>
      <w:lvlJc w:val="left"/>
      <w:pPr>
        <w:ind w:left="1233" w:hanging="360"/>
      </w:pPr>
    </w:lvl>
    <w:lvl w:ilvl="2" w:tplc="0C0A001B" w:tentative="1">
      <w:start w:val="1"/>
      <w:numFmt w:val="lowerRoman"/>
      <w:lvlText w:val="%3."/>
      <w:lvlJc w:val="right"/>
      <w:pPr>
        <w:ind w:left="1953" w:hanging="180"/>
      </w:pPr>
    </w:lvl>
    <w:lvl w:ilvl="3" w:tplc="0C0A000F" w:tentative="1">
      <w:start w:val="1"/>
      <w:numFmt w:val="decimal"/>
      <w:lvlText w:val="%4."/>
      <w:lvlJc w:val="left"/>
      <w:pPr>
        <w:ind w:left="2673" w:hanging="360"/>
      </w:pPr>
    </w:lvl>
    <w:lvl w:ilvl="4" w:tplc="0C0A0019" w:tentative="1">
      <w:start w:val="1"/>
      <w:numFmt w:val="lowerLetter"/>
      <w:lvlText w:val="%5."/>
      <w:lvlJc w:val="left"/>
      <w:pPr>
        <w:ind w:left="3393" w:hanging="360"/>
      </w:pPr>
    </w:lvl>
    <w:lvl w:ilvl="5" w:tplc="0C0A001B" w:tentative="1">
      <w:start w:val="1"/>
      <w:numFmt w:val="lowerRoman"/>
      <w:lvlText w:val="%6."/>
      <w:lvlJc w:val="right"/>
      <w:pPr>
        <w:ind w:left="4113" w:hanging="180"/>
      </w:pPr>
    </w:lvl>
    <w:lvl w:ilvl="6" w:tplc="0C0A000F" w:tentative="1">
      <w:start w:val="1"/>
      <w:numFmt w:val="decimal"/>
      <w:lvlText w:val="%7."/>
      <w:lvlJc w:val="left"/>
      <w:pPr>
        <w:ind w:left="4833" w:hanging="360"/>
      </w:pPr>
    </w:lvl>
    <w:lvl w:ilvl="7" w:tplc="0C0A0019" w:tentative="1">
      <w:start w:val="1"/>
      <w:numFmt w:val="lowerLetter"/>
      <w:lvlText w:val="%8."/>
      <w:lvlJc w:val="left"/>
      <w:pPr>
        <w:ind w:left="5553" w:hanging="360"/>
      </w:pPr>
    </w:lvl>
    <w:lvl w:ilvl="8" w:tplc="0C0A001B" w:tentative="1">
      <w:start w:val="1"/>
      <w:numFmt w:val="lowerRoman"/>
      <w:lvlText w:val="%9."/>
      <w:lvlJc w:val="right"/>
      <w:pPr>
        <w:ind w:left="6273" w:hanging="180"/>
      </w:pPr>
    </w:lvl>
  </w:abstractNum>
  <w:num w:numId="1" w16cid:durableId="1456485665">
    <w:abstractNumId w:val="2"/>
  </w:num>
  <w:num w:numId="2" w16cid:durableId="1854881939">
    <w:abstractNumId w:val="0"/>
  </w:num>
  <w:num w:numId="3" w16cid:durableId="1101098087">
    <w:abstractNumId w:val="21"/>
  </w:num>
  <w:num w:numId="4" w16cid:durableId="841774715">
    <w:abstractNumId w:val="11"/>
  </w:num>
  <w:num w:numId="5" w16cid:durableId="818687189">
    <w:abstractNumId w:val="13"/>
  </w:num>
  <w:num w:numId="6" w16cid:durableId="726683733">
    <w:abstractNumId w:val="0"/>
  </w:num>
  <w:num w:numId="7" w16cid:durableId="1558398757">
    <w:abstractNumId w:val="21"/>
  </w:num>
  <w:num w:numId="8" w16cid:durableId="964699873">
    <w:abstractNumId w:val="11"/>
  </w:num>
  <w:num w:numId="9" w16cid:durableId="1824352587">
    <w:abstractNumId w:val="15"/>
  </w:num>
  <w:num w:numId="10" w16cid:durableId="1946691563">
    <w:abstractNumId w:val="7"/>
  </w:num>
  <w:num w:numId="11" w16cid:durableId="1117481416">
    <w:abstractNumId w:val="4"/>
  </w:num>
  <w:num w:numId="12" w16cid:durableId="779496237">
    <w:abstractNumId w:val="6"/>
  </w:num>
  <w:num w:numId="13" w16cid:durableId="933825521">
    <w:abstractNumId w:val="20"/>
  </w:num>
  <w:num w:numId="14" w16cid:durableId="682171380">
    <w:abstractNumId w:val="5"/>
  </w:num>
  <w:num w:numId="15" w16cid:durableId="1267812049">
    <w:abstractNumId w:val="23"/>
  </w:num>
  <w:num w:numId="16" w16cid:durableId="1284077764">
    <w:abstractNumId w:val="9"/>
  </w:num>
  <w:num w:numId="17" w16cid:durableId="996808778">
    <w:abstractNumId w:val="18"/>
  </w:num>
  <w:num w:numId="18" w16cid:durableId="439684299">
    <w:abstractNumId w:val="22"/>
  </w:num>
  <w:num w:numId="19" w16cid:durableId="1664502812">
    <w:abstractNumId w:val="10"/>
  </w:num>
  <w:num w:numId="20" w16cid:durableId="875578557">
    <w:abstractNumId w:val="1"/>
  </w:num>
  <w:num w:numId="21" w16cid:durableId="366223339">
    <w:abstractNumId w:val="3"/>
  </w:num>
  <w:num w:numId="22" w16cid:durableId="1963223815">
    <w:abstractNumId w:val="19"/>
  </w:num>
  <w:num w:numId="23" w16cid:durableId="22564103">
    <w:abstractNumId w:val="17"/>
  </w:num>
  <w:num w:numId="24" w16cid:durableId="182592918">
    <w:abstractNumId w:val="12"/>
  </w:num>
  <w:num w:numId="25" w16cid:durableId="756097099">
    <w:abstractNumId w:val="8"/>
  </w:num>
  <w:num w:numId="26" w16cid:durableId="60637580">
    <w:abstractNumId w:val="14"/>
  </w:num>
  <w:num w:numId="27" w16cid:durableId="1633556377">
    <w:abstractNumId w:val="16"/>
  </w:num>
  <w:num w:numId="28" w16cid:durableId="64824374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98D"/>
    <w:rsid w:val="00011F76"/>
    <w:rsid w:val="00022879"/>
    <w:rsid w:val="00034DD3"/>
    <w:rsid w:val="00046618"/>
    <w:rsid w:val="00066C2C"/>
    <w:rsid w:val="0007081F"/>
    <w:rsid w:val="00082BFC"/>
    <w:rsid w:val="00083620"/>
    <w:rsid w:val="000A40E8"/>
    <w:rsid w:val="000B1C86"/>
    <w:rsid w:val="000F48AE"/>
    <w:rsid w:val="000F76CB"/>
    <w:rsid w:val="00122255"/>
    <w:rsid w:val="00131F6D"/>
    <w:rsid w:val="00146C62"/>
    <w:rsid w:val="00147EF0"/>
    <w:rsid w:val="00152B9F"/>
    <w:rsid w:val="00153C66"/>
    <w:rsid w:val="00156398"/>
    <w:rsid w:val="001613FC"/>
    <w:rsid w:val="00173E72"/>
    <w:rsid w:val="001811B8"/>
    <w:rsid w:val="00194523"/>
    <w:rsid w:val="0019766A"/>
    <w:rsid w:val="001C25D6"/>
    <w:rsid w:val="001E03DE"/>
    <w:rsid w:val="00217208"/>
    <w:rsid w:val="00224A72"/>
    <w:rsid w:val="00254AF1"/>
    <w:rsid w:val="002569D8"/>
    <w:rsid w:val="00276902"/>
    <w:rsid w:val="0028798D"/>
    <w:rsid w:val="002A5A1E"/>
    <w:rsid w:val="002C37D9"/>
    <w:rsid w:val="003231DE"/>
    <w:rsid w:val="00333421"/>
    <w:rsid w:val="003A29E8"/>
    <w:rsid w:val="003A55AD"/>
    <w:rsid w:val="003E1A30"/>
    <w:rsid w:val="003E5A8B"/>
    <w:rsid w:val="003F4929"/>
    <w:rsid w:val="0042285E"/>
    <w:rsid w:val="00450281"/>
    <w:rsid w:val="00453B7E"/>
    <w:rsid w:val="0046314B"/>
    <w:rsid w:val="00476C24"/>
    <w:rsid w:val="004A0A03"/>
    <w:rsid w:val="004B653E"/>
    <w:rsid w:val="004C46CA"/>
    <w:rsid w:val="004D3175"/>
    <w:rsid w:val="004F1869"/>
    <w:rsid w:val="004F1ED9"/>
    <w:rsid w:val="004F2038"/>
    <w:rsid w:val="00557CD6"/>
    <w:rsid w:val="00560EE3"/>
    <w:rsid w:val="00584010"/>
    <w:rsid w:val="005846AD"/>
    <w:rsid w:val="005A1725"/>
    <w:rsid w:val="005A4B7A"/>
    <w:rsid w:val="005A7BBD"/>
    <w:rsid w:val="005B3233"/>
    <w:rsid w:val="005B4485"/>
    <w:rsid w:val="005B588A"/>
    <w:rsid w:val="005C4DAC"/>
    <w:rsid w:val="005D5FFD"/>
    <w:rsid w:val="005F7B4B"/>
    <w:rsid w:val="00602781"/>
    <w:rsid w:val="00606F4E"/>
    <w:rsid w:val="00610AD2"/>
    <w:rsid w:val="00616FC6"/>
    <w:rsid w:val="006243C3"/>
    <w:rsid w:val="00625042"/>
    <w:rsid w:val="00641415"/>
    <w:rsid w:val="00657A58"/>
    <w:rsid w:val="00660615"/>
    <w:rsid w:val="006A3653"/>
    <w:rsid w:val="006B79BC"/>
    <w:rsid w:val="006C3B9C"/>
    <w:rsid w:val="006D5B0E"/>
    <w:rsid w:val="006D7E64"/>
    <w:rsid w:val="006F46EB"/>
    <w:rsid w:val="00712058"/>
    <w:rsid w:val="00715F52"/>
    <w:rsid w:val="00724D91"/>
    <w:rsid w:val="00735EFF"/>
    <w:rsid w:val="007360B4"/>
    <w:rsid w:val="007A0B8E"/>
    <w:rsid w:val="007B55BA"/>
    <w:rsid w:val="007D401C"/>
    <w:rsid w:val="007E4089"/>
    <w:rsid w:val="00811B18"/>
    <w:rsid w:val="00817697"/>
    <w:rsid w:val="00860FD8"/>
    <w:rsid w:val="00865C86"/>
    <w:rsid w:val="00876B04"/>
    <w:rsid w:val="008A54C7"/>
    <w:rsid w:val="008F1A23"/>
    <w:rsid w:val="00933C70"/>
    <w:rsid w:val="0095036A"/>
    <w:rsid w:val="00981C21"/>
    <w:rsid w:val="00986A68"/>
    <w:rsid w:val="0098757C"/>
    <w:rsid w:val="009C33E9"/>
    <w:rsid w:val="00A36184"/>
    <w:rsid w:val="00A37E25"/>
    <w:rsid w:val="00A47385"/>
    <w:rsid w:val="00A557E7"/>
    <w:rsid w:val="00A951D0"/>
    <w:rsid w:val="00AB5607"/>
    <w:rsid w:val="00AB7475"/>
    <w:rsid w:val="00AC5EE4"/>
    <w:rsid w:val="00AD0BA2"/>
    <w:rsid w:val="00AD67D0"/>
    <w:rsid w:val="00AF7066"/>
    <w:rsid w:val="00B077BD"/>
    <w:rsid w:val="00B43E83"/>
    <w:rsid w:val="00B747A5"/>
    <w:rsid w:val="00B8070C"/>
    <w:rsid w:val="00B8289A"/>
    <w:rsid w:val="00B842FC"/>
    <w:rsid w:val="00BA7EAC"/>
    <w:rsid w:val="00BB7B90"/>
    <w:rsid w:val="00BC05AE"/>
    <w:rsid w:val="00BC7E2D"/>
    <w:rsid w:val="00BD7CC7"/>
    <w:rsid w:val="00BF225B"/>
    <w:rsid w:val="00C0756F"/>
    <w:rsid w:val="00C3270D"/>
    <w:rsid w:val="00C34B7C"/>
    <w:rsid w:val="00C4049F"/>
    <w:rsid w:val="00C73D3E"/>
    <w:rsid w:val="00C91FF9"/>
    <w:rsid w:val="00CA7416"/>
    <w:rsid w:val="00CB1EE1"/>
    <w:rsid w:val="00CB314E"/>
    <w:rsid w:val="00CD42E9"/>
    <w:rsid w:val="00D1504C"/>
    <w:rsid w:val="00D20932"/>
    <w:rsid w:val="00D26B59"/>
    <w:rsid w:val="00D76F7F"/>
    <w:rsid w:val="00D92513"/>
    <w:rsid w:val="00DA6773"/>
    <w:rsid w:val="00DB31B0"/>
    <w:rsid w:val="00DC4F92"/>
    <w:rsid w:val="00E04512"/>
    <w:rsid w:val="00E354C2"/>
    <w:rsid w:val="00E363EC"/>
    <w:rsid w:val="00E56753"/>
    <w:rsid w:val="00EB030B"/>
    <w:rsid w:val="00EB69DE"/>
    <w:rsid w:val="00ED4F53"/>
    <w:rsid w:val="00EE10F5"/>
    <w:rsid w:val="00F267CD"/>
    <w:rsid w:val="00F30DD4"/>
    <w:rsid w:val="00F33B0C"/>
    <w:rsid w:val="00F57D49"/>
    <w:rsid w:val="00F62F50"/>
    <w:rsid w:val="00F758AB"/>
    <w:rsid w:val="00F84CCE"/>
    <w:rsid w:val="00F90552"/>
    <w:rsid w:val="00FA7196"/>
    <w:rsid w:val="00FB0057"/>
    <w:rsid w:val="00FC3EF0"/>
    <w:rsid w:val="00FC59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6380"/>
  <w15:chartTrackingRefBased/>
  <w15:docId w15:val="{F1E74096-945B-48AB-BC63-9FF6D080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798D"/>
    <w:pPr>
      <w:widowControl w:val="0"/>
      <w:spacing w:after="0" w:line="240" w:lineRule="auto"/>
    </w:pPr>
    <w:rPr>
      <w:rFonts w:ascii="Times New Roman" w:eastAsia="Times New Roman" w:hAnsi="Times New Roman" w:cs="Times New Roman"/>
      <w:color w:val="000000"/>
      <w:sz w:val="20"/>
      <w:szCs w:val="20"/>
      <w:lang w:eastAsia="es-ES"/>
    </w:rPr>
  </w:style>
  <w:style w:type="paragraph" w:styleId="Ttulo2">
    <w:name w:val="heading 2"/>
    <w:basedOn w:val="Normal"/>
    <w:next w:val="Normal"/>
    <w:link w:val="Ttulo2Car"/>
    <w:uiPriority w:val="9"/>
    <w:unhideWhenUsed/>
    <w:qFormat/>
    <w:rsid w:val="00173E72"/>
    <w:pPr>
      <w:keepNext/>
      <w:keepLines/>
      <w:widowControl/>
      <w:spacing w:before="40" w:line="276" w:lineRule="auto"/>
      <w:outlineLvl w:val="1"/>
    </w:pPr>
    <w:rPr>
      <w:rFonts w:asciiTheme="majorHAnsi" w:eastAsiaTheme="majorEastAsia" w:hAnsiTheme="majorHAnsi" w:cstheme="majorBidi"/>
      <w:color w:val="2F5496" w:themeColor="accent1" w:themeShade="BF"/>
      <w:sz w:val="26"/>
      <w:szCs w:val="26"/>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8798D"/>
    <w:pPr>
      <w:tabs>
        <w:tab w:val="center" w:pos="4252"/>
        <w:tab w:val="right" w:pos="8504"/>
      </w:tabs>
    </w:pPr>
  </w:style>
  <w:style w:type="character" w:customStyle="1" w:styleId="PiedepginaCar">
    <w:name w:val="Pie de página Car"/>
    <w:basedOn w:val="Fuentedeprrafopredeter"/>
    <w:link w:val="Piedepgina"/>
    <w:uiPriority w:val="99"/>
    <w:rsid w:val="0028798D"/>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
    <w:basedOn w:val="Normal"/>
    <w:link w:val="PrrafodelistaCar"/>
    <w:uiPriority w:val="15"/>
    <w:qFormat/>
    <w:rsid w:val="0028798D"/>
    <w:pPr>
      <w:widowControl/>
      <w:suppressAutoHyphens/>
      <w:ind w:left="720"/>
      <w:contextualSpacing/>
    </w:pPr>
    <w:rPr>
      <w:rFonts w:ascii="Verdana" w:eastAsia="Calibri" w:hAnsi="Verdana" w:cs="Arial"/>
      <w:color w:val="auto"/>
      <w:spacing w:val="4"/>
      <w:szCs w:val="21"/>
      <w:lang w:eastAsia="en-US"/>
    </w:rPr>
  </w:style>
  <w:style w:type="paragraph" w:customStyle="1" w:styleId="Sinespaciado1">
    <w:name w:val="Sin espaciado1"/>
    <w:rsid w:val="0028798D"/>
    <w:pPr>
      <w:suppressAutoHyphens/>
      <w:spacing w:after="0" w:line="240" w:lineRule="auto"/>
    </w:pPr>
    <w:rPr>
      <w:rFonts w:ascii="Calibri" w:eastAsia="Calibri" w:hAnsi="Calibri" w:cs="DejaVu Sans"/>
      <w:kern w:val="1"/>
    </w:rPr>
  </w:style>
  <w:style w:type="character" w:styleId="Textoennegrita">
    <w:name w:val="Strong"/>
    <w:basedOn w:val="Fuentedeprrafopredeter"/>
    <w:uiPriority w:val="22"/>
    <w:qFormat/>
    <w:rsid w:val="00453B7E"/>
    <w:rPr>
      <w:b/>
      <w:bCs/>
    </w:rPr>
  </w:style>
  <w:style w:type="paragraph" w:styleId="Textonotapie">
    <w:name w:val="footnote text"/>
    <w:aliases w:val="Texto nota pie Car2,Texto nota pie Car Car1,Texto nota pie Car1 Car Car,Texto nota pie Car Car Car Car,Texto nota pie Car1 Car1,Texto nota pie Car Car Car1,Footnote Text Char Car,Footnote Text Char Char,Footnote Text Char2 Char Char,fn,ft"/>
    <w:basedOn w:val="Normal"/>
    <w:link w:val="TextonotapieCar"/>
    <w:uiPriority w:val="99"/>
    <w:unhideWhenUsed/>
    <w:qFormat/>
    <w:rsid w:val="00BC7E2D"/>
  </w:style>
  <w:style w:type="character" w:customStyle="1" w:styleId="TextonotapieCar">
    <w:name w:val="Texto nota pie Car"/>
    <w:aliases w:val="Texto nota pie Car2 Car,Texto nota pie Car Car1 Car,Texto nota pie Car1 Car Car Car,Texto nota pie Car Car Car Car Car,Texto nota pie Car1 Car1 Car,Texto nota pie Car Car Car1 Car,Footnote Text Char Car Car,Footnote Text Char Char Car"/>
    <w:basedOn w:val="Fuentedeprrafopredeter"/>
    <w:link w:val="Textonotapie"/>
    <w:uiPriority w:val="99"/>
    <w:rsid w:val="00BC7E2D"/>
    <w:rPr>
      <w:rFonts w:ascii="Times New Roman" w:eastAsia="Times New Roman" w:hAnsi="Times New Roman" w:cs="Times New Roman"/>
      <w:color w:val="000000"/>
      <w:sz w:val="20"/>
      <w:szCs w:val="20"/>
      <w:lang w:eastAsia="es-ES"/>
    </w:rPr>
  </w:style>
  <w:style w:type="character" w:styleId="Refdenotaalpie">
    <w:name w:val="footnote reference"/>
    <w:aliases w:val="fr,Footnote ReferenceW,Style 13,Ref. de nota al pie1"/>
    <w:basedOn w:val="Fuentedeprrafopredeter"/>
    <w:uiPriority w:val="99"/>
    <w:unhideWhenUsed/>
    <w:rsid w:val="00BC7E2D"/>
    <w:rPr>
      <w:vertAlign w:val="superscript"/>
    </w:rPr>
  </w:style>
  <w:style w:type="character" w:customStyle="1" w:styleId="PrrafodelistaCar">
    <w:name w:val="Párrafo de lista Car"/>
    <w:aliases w:val="GCC. Instructa numeración general Car"/>
    <w:link w:val="Prrafodelista"/>
    <w:uiPriority w:val="15"/>
    <w:locked/>
    <w:rsid w:val="00B8070C"/>
    <w:rPr>
      <w:rFonts w:ascii="Verdana" w:eastAsia="Calibri" w:hAnsi="Verdana" w:cs="Arial"/>
      <w:spacing w:val="4"/>
      <w:sz w:val="20"/>
      <w:szCs w:val="21"/>
    </w:rPr>
  </w:style>
  <w:style w:type="paragraph" w:styleId="Sinespaciado">
    <w:name w:val="No Spacing"/>
    <w:qFormat/>
    <w:rsid w:val="00254AF1"/>
    <w:pPr>
      <w:suppressAutoHyphens/>
      <w:spacing w:after="0" w:line="240" w:lineRule="auto"/>
    </w:pPr>
    <w:rPr>
      <w:rFonts w:ascii="Times New Roman" w:eastAsia="Calibri" w:hAnsi="Times New Roman" w:cs="DejaVu Sans"/>
      <w:sz w:val="24"/>
    </w:rPr>
  </w:style>
  <w:style w:type="paragraph" w:customStyle="1" w:styleId="Default">
    <w:name w:val="Default"/>
    <w:rsid w:val="00147EF0"/>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BD7CC7"/>
    <w:rPr>
      <w:color w:val="0000FF"/>
      <w:u w:val="single"/>
    </w:rPr>
  </w:style>
  <w:style w:type="character" w:customStyle="1" w:styleId="Ttulo2Car">
    <w:name w:val="Título 2 Car"/>
    <w:basedOn w:val="Fuentedeprrafopredeter"/>
    <w:link w:val="Ttulo2"/>
    <w:uiPriority w:val="9"/>
    <w:rsid w:val="00173E7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521510">
      <w:bodyDiv w:val="1"/>
      <w:marLeft w:val="0"/>
      <w:marRight w:val="0"/>
      <w:marTop w:val="0"/>
      <w:marBottom w:val="0"/>
      <w:divBdr>
        <w:top w:val="none" w:sz="0" w:space="0" w:color="auto"/>
        <w:left w:val="none" w:sz="0" w:space="0" w:color="auto"/>
        <w:bottom w:val="none" w:sz="0" w:space="0" w:color="auto"/>
        <w:right w:val="none" w:sz="0" w:space="0" w:color="auto"/>
      </w:divBdr>
    </w:div>
    <w:div w:id="548301446">
      <w:bodyDiv w:val="1"/>
      <w:marLeft w:val="0"/>
      <w:marRight w:val="0"/>
      <w:marTop w:val="0"/>
      <w:marBottom w:val="0"/>
      <w:divBdr>
        <w:top w:val="none" w:sz="0" w:space="0" w:color="auto"/>
        <w:left w:val="none" w:sz="0" w:space="0" w:color="auto"/>
        <w:bottom w:val="none" w:sz="0" w:space="0" w:color="auto"/>
        <w:right w:val="none" w:sz="0" w:space="0" w:color="auto"/>
      </w:divBdr>
    </w:div>
    <w:div w:id="830365317">
      <w:bodyDiv w:val="1"/>
      <w:marLeft w:val="0"/>
      <w:marRight w:val="0"/>
      <w:marTop w:val="0"/>
      <w:marBottom w:val="0"/>
      <w:divBdr>
        <w:top w:val="none" w:sz="0" w:space="0" w:color="auto"/>
        <w:left w:val="none" w:sz="0" w:space="0" w:color="auto"/>
        <w:bottom w:val="none" w:sz="0" w:space="0" w:color="auto"/>
        <w:right w:val="none" w:sz="0" w:space="0" w:color="auto"/>
      </w:divBdr>
    </w:div>
    <w:div w:id="874348128">
      <w:bodyDiv w:val="1"/>
      <w:marLeft w:val="0"/>
      <w:marRight w:val="0"/>
      <w:marTop w:val="0"/>
      <w:marBottom w:val="0"/>
      <w:divBdr>
        <w:top w:val="none" w:sz="0" w:space="0" w:color="auto"/>
        <w:left w:val="none" w:sz="0" w:space="0" w:color="auto"/>
        <w:bottom w:val="none" w:sz="0" w:space="0" w:color="auto"/>
        <w:right w:val="none" w:sz="0" w:space="0" w:color="auto"/>
      </w:divBdr>
    </w:div>
    <w:div w:id="938609229">
      <w:bodyDiv w:val="1"/>
      <w:marLeft w:val="0"/>
      <w:marRight w:val="0"/>
      <w:marTop w:val="0"/>
      <w:marBottom w:val="0"/>
      <w:divBdr>
        <w:top w:val="none" w:sz="0" w:space="0" w:color="auto"/>
        <w:left w:val="none" w:sz="0" w:space="0" w:color="auto"/>
        <w:bottom w:val="none" w:sz="0" w:space="0" w:color="auto"/>
        <w:right w:val="none" w:sz="0" w:space="0" w:color="auto"/>
      </w:divBdr>
    </w:div>
    <w:div w:id="1058354932">
      <w:bodyDiv w:val="1"/>
      <w:marLeft w:val="0"/>
      <w:marRight w:val="0"/>
      <w:marTop w:val="0"/>
      <w:marBottom w:val="0"/>
      <w:divBdr>
        <w:top w:val="none" w:sz="0" w:space="0" w:color="auto"/>
        <w:left w:val="none" w:sz="0" w:space="0" w:color="auto"/>
        <w:bottom w:val="none" w:sz="0" w:space="0" w:color="auto"/>
        <w:right w:val="none" w:sz="0" w:space="0" w:color="auto"/>
      </w:divBdr>
    </w:div>
    <w:div w:id="1060133444">
      <w:bodyDiv w:val="1"/>
      <w:marLeft w:val="0"/>
      <w:marRight w:val="0"/>
      <w:marTop w:val="0"/>
      <w:marBottom w:val="0"/>
      <w:divBdr>
        <w:top w:val="none" w:sz="0" w:space="0" w:color="auto"/>
        <w:left w:val="none" w:sz="0" w:space="0" w:color="auto"/>
        <w:bottom w:val="none" w:sz="0" w:space="0" w:color="auto"/>
        <w:right w:val="none" w:sz="0" w:space="0" w:color="auto"/>
      </w:divBdr>
    </w:div>
    <w:div w:id="1224490508">
      <w:bodyDiv w:val="1"/>
      <w:marLeft w:val="0"/>
      <w:marRight w:val="0"/>
      <w:marTop w:val="0"/>
      <w:marBottom w:val="0"/>
      <w:divBdr>
        <w:top w:val="none" w:sz="0" w:space="0" w:color="auto"/>
        <w:left w:val="none" w:sz="0" w:space="0" w:color="auto"/>
        <w:bottom w:val="none" w:sz="0" w:space="0" w:color="auto"/>
        <w:right w:val="none" w:sz="0" w:space="0" w:color="auto"/>
      </w:divBdr>
    </w:div>
    <w:div w:id="1264142746">
      <w:bodyDiv w:val="1"/>
      <w:marLeft w:val="0"/>
      <w:marRight w:val="0"/>
      <w:marTop w:val="0"/>
      <w:marBottom w:val="0"/>
      <w:divBdr>
        <w:top w:val="none" w:sz="0" w:space="0" w:color="auto"/>
        <w:left w:val="none" w:sz="0" w:space="0" w:color="auto"/>
        <w:bottom w:val="none" w:sz="0" w:space="0" w:color="auto"/>
        <w:right w:val="none" w:sz="0" w:space="0" w:color="auto"/>
      </w:divBdr>
    </w:div>
    <w:div w:id="1271085283">
      <w:bodyDiv w:val="1"/>
      <w:marLeft w:val="0"/>
      <w:marRight w:val="0"/>
      <w:marTop w:val="0"/>
      <w:marBottom w:val="0"/>
      <w:divBdr>
        <w:top w:val="none" w:sz="0" w:space="0" w:color="auto"/>
        <w:left w:val="none" w:sz="0" w:space="0" w:color="auto"/>
        <w:bottom w:val="none" w:sz="0" w:space="0" w:color="auto"/>
        <w:right w:val="none" w:sz="0" w:space="0" w:color="auto"/>
      </w:divBdr>
    </w:div>
    <w:div w:id="1334601592">
      <w:bodyDiv w:val="1"/>
      <w:marLeft w:val="0"/>
      <w:marRight w:val="0"/>
      <w:marTop w:val="0"/>
      <w:marBottom w:val="0"/>
      <w:divBdr>
        <w:top w:val="none" w:sz="0" w:space="0" w:color="auto"/>
        <w:left w:val="none" w:sz="0" w:space="0" w:color="auto"/>
        <w:bottom w:val="none" w:sz="0" w:space="0" w:color="auto"/>
        <w:right w:val="none" w:sz="0" w:space="0" w:color="auto"/>
      </w:divBdr>
    </w:div>
    <w:div w:id="1375421106">
      <w:bodyDiv w:val="1"/>
      <w:marLeft w:val="0"/>
      <w:marRight w:val="0"/>
      <w:marTop w:val="0"/>
      <w:marBottom w:val="0"/>
      <w:divBdr>
        <w:top w:val="none" w:sz="0" w:space="0" w:color="auto"/>
        <w:left w:val="none" w:sz="0" w:space="0" w:color="auto"/>
        <w:bottom w:val="none" w:sz="0" w:space="0" w:color="auto"/>
        <w:right w:val="none" w:sz="0" w:space="0" w:color="auto"/>
      </w:divBdr>
    </w:div>
    <w:div w:id="1410879934">
      <w:bodyDiv w:val="1"/>
      <w:marLeft w:val="0"/>
      <w:marRight w:val="0"/>
      <w:marTop w:val="0"/>
      <w:marBottom w:val="0"/>
      <w:divBdr>
        <w:top w:val="none" w:sz="0" w:space="0" w:color="auto"/>
        <w:left w:val="none" w:sz="0" w:space="0" w:color="auto"/>
        <w:bottom w:val="none" w:sz="0" w:space="0" w:color="auto"/>
        <w:right w:val="none" w:sz="0" w:space="0" w:color="auto"/>
      </w:divBdr>
    </w:div>
    <w:div w:id="1477837560">
      <w:bodyDiv w:val="1"/>
      <w:marLeft w:val="0"/>
      <w:marRight w:val="0"/>
      <w:marTop w:val="0"/>
      <w:marBottom w:val="0"/>
      <w:divBdr>
        <w:top w:val="none" w:sz="0" w:space="0" w:color="auto"/>
        <w:left w:val="none" w:sz="0" w:space="0" w:color="auto"/>
        <w:bottom w:val="none" w:sz="0" w:space="0" w:color="auto"/>
        <w:right w:val="none" w:sz="0" w:space="0" w:color="auto"/>
      </w:divBdr>
    </w:div>
    <w:div w:id="1478957694">
      <w:bodyDiv w:val="1"/>
      <w:marLeft w:val="0"/>
      <w:marRight w:val="0"/>
      <w:marTop w:val="0"/>
      <w:marBottom w:val="0"/>
      <w:divBdr>
        <w:top w:val="none" w:sz="0" w:space="0" w:color="auto"/>
        <w:left w:val="none" w:sz="0" w:space="0" w:color="auto"/>
        <w:bottom w:val="none" w:sz="0" w:space="0" w:color="auto"/>
        <w:right w:val="none" w:sz="0" w:space="0" w:color="auto"/>
      </w:divBdr>
    </w:div>
    <w:div w:id="1619796288">
      <w:bodyDiv w:val="1"/>
      <w:marLeft w:val="0"/>
      <w:marRight w:val="0"/>
      <w:marTop w:val="0"/>
      <w:marBottom w:val="0"/>
      <w:divBdr>
        <w:top w:val="none" w:sz="0" w:space="0" w:color="auto"/>
        <w:left w:val="none" w:sz="0" w:space="0" w:color="auto"/>
        <w:bottom w:val="none" w:sz="0" w:space="0" w:color="auto"/>
        <w:right w:val="none" w:sz="0" w:space="0" w:color="auto"/>
      </w:divBdr>
    </w:div>
    <w:div w:id="1678580139">
      <w:bodyDiv w:val="1"/>
      <w:marLeft w:val="0"/>
      <w:marRight w:val="0"/>
      <w:marTop w:val="0"/>
      <w:marBottom w:val="0"/>
      <w:divBdr>
        <w:top w:val="none" w:sz="0" w:space="0" w:color="auto"/>
        <w:left w:val="none" w:sz="0" w:space="0" w:color="auto"/>
        <w:bottom w:val="none" w:sz="0" w:space="0" w:color="auto"/>
        <w:right w:val="none" w:sz="0" w:space="0" w:color="auto"/>
      </w:divBdr>
    </w:div>
    <w:div w:id="1820490738">
      <w:bodyDiv w:val="1"/>
      <w:marLeft w:val="0"/>
      <w:marRight w:val="0"/>
      <w:marTop w:val="0"/>
      <w:marBottom w:val="0"/>
      <w:divBdr>
        <w:top w:val="none" w:sz="0" w:space="0" w:color="auto"/>
        <w:left w:val="none" w:sz="0" w:space="0" w:color="auto"/>
        <w:bottom w:val="none" w:sz="0" w:space="0" w:color="auto"/>
        <w:right w:val="none" w:sz="0" w:space="0" w:color="auto"/>
      </w:divBdr>
    </w:div>
    <w:div w:id="1877038614">
      <w:bodyDiv w:val="1"/>
      <w:marLeft w:val="0"/>
      <w:marRight w:val="0"/>
      <w:marTop w:val="0"/>
      <w:marBottom w:val="0"/>
      <w:divBdr>
        <w:top w:val="none" w:sz="0" w:space="0" w:color="auto"/>
        <w:left w:val="none" w:sz="0" w:space="0" w:color="auto"/>
        <w:bottom w:val="none" w:sz="0" w:space="0" w:color="auto"/>
        <w:right w:val="none" w:sz="0" w:space="0" w:color="auto"/>
      </w:divBdr>
    </w:div>
    <w:div w:id="1925534357">
      <w:bodyDiv w:val="1"/>
      <w:marLeft w:val="0"/>
      <w:marRight w:val="0"/>
      <w:marTop w:val="0"/>
      <w:marBottom w:val="0"/>
      <w:divBdr>
        <w:top w:val="none" w:sz="0" w:space="0" w:color="auto"/>
        <w:left w:val="none" w:sz="0" w:space="0" w:color="auto"/>
        <w:bottom w:val="none" w:sz="0" w:space="0" w:color="auto"/>
        <w:right w:val="none" w:sz="0" w:space="0" w:color="auto"/>
      </w:divBdr>
    </w:div>
    <w:div w:id="1960722194">
      <w:bodyDiv w:val="1"/>
      <w:marLeft w:val="0"/>
      <w:marRight w:val="0"/>
      <w:marTop w:val="0"/>
      <w:marBottom w:val="0"/>
      <w:divBdr>
        <w:top w:val="none" w:sz="0" w:space="0" w:color="auto"/>
        <w:left w:val="none" w:sz="0" w:space="0" w:color="auto"/>
        <w:bottom w:val="none" w:sz="0" w:space="0" w:color="auto"/>
        <w:right w:val="none" w:sz="0" w:space="0" w:color="auto"/>
      </w:divBdr>
    </w:div>
    <w:div w:id="1967273660">
      <w:bodyDiv w:val="1"/>
      <w:marLeft w:val="0"/>
      <w:marRight w:val="0"/>
      <w:marTop w:val="0"/>
      <w:marBottom w:val="0"/>
      <w:divBdr>
        <w:top w:val="none" w:sz="0" w:space="0" w:color="auto"/>
        <w:left w:val="none" w:sz="0" w:space="0" w:color="auto"/>
        <w:bottom w:val="none" w:sz="0" w:space="0" w:color="auto"/>
        <w:right w:val="none" w:sz="0" w:space="0" w:color="auto"/>
      </w:divBdr>
    </w:div>
    <w:div w:id="206598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4E5F7-D28F-4607-8164-979BB6E18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22</Pages>
  <Words>8220</Words>
  <Characters>45212</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dc:creator>
  <cp:keywords/>
  <dc:description/>
  <cp:lastModifiedBy>FRANCISCO JAVIER FERRÁNDEZ PINA</cp:lastModifiedBy>
  <cp:revision>21</cp:revision>
  <cp:lastPrinted>2023-06-21T08:31:00Z</cp:lastPrinted>
  <dcterms:created xsi:type="dcterms:W3CDTF">2023-09-18T09:06:00Z</dcterms:created>
  <dcterms:modified xsi:type="dcterms:W3CDTF">2023-09-29T12:20:00Z</dcterms:modified>
</cp:coreProperties>
</file>