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72161" w14:textId="77777777" w:rsidR="00170451" w:rsidRDefault="00170451" w:rsidP="00656890">
      <w:pPr>
        <w:pStyle w:val="Encabezado"/>
        <w:spacing w:after="210" w:line="240" w:lineRule="auto"/>
        <w:rPr>
          <w:rFonts w:cs="Arial"/>
          <w:b/>
          <w:sz w:val="22"/>
          <w:szCs w:val="22"/>
          <w:highlight w:val="green"/>
          <w:lang w:val="es-ES_tradnl"/>
        </w:rPr>
      </w:pPr>
      <w:bookmarkStart w:id="0" w:name="_Hlk147484115"/>
      <w:bookmarkStart w:id="1" w:name="_Hlk147484458"/>
    </w:p>
    <w:p w14:paraId="6ED77788" w14:textId="77777777" w:rsidR="0023073B" w:rsidRDefault="0023073B" w:rsidP="0023073B">
      <w:pPr>
        <w:pStyle w:val="Encabezado"/>
        <w:spacing w:after="210" w:line="240" w:lineRule="auto"/>
        <w:jc w:val="center"/>
        <w:rPr>
          <w:rFonts w:cs="Arial"/>
          <w:b/>
          <w:sz w:val="22"/>
          <w:szCs w:val="22"/>
          <w:highlight w:val="green"/>
          <w:lang w:val="es-ES"/>
        </w:rPr>
      </w:pPr>
      <w:r>
        <w:rPr>
          <w:rFonts w:cs="Arial"/>
          <w:b/>
          <w:sz w:val="22"/>
          <w:szCs w:val="22"/>
          <w:highlight w:val="green"/>
          <w:lang w:val="es-ES"/>
        </w:rPr>
        <w:t xml:space="preserve">MODELO PARA TAE ÚNICA en contrato </w:t>
      </w:r>
    </w:p>
    <w:p w14:paraId="5B118DFF" w14:textId="77777777" w:rsidR="0023073B" w:rsidRDefault="0023073B" w:rsidP="0023073B">
      <w:pPr>
        <w:pStyle w:val="Encabezado"/>
        <w:spacing w:after="210" w:line="240" w:lineRule="auto"/>
        <w:jc w:val="center"/>
        <w:rPr>
          <w:rFonts w:cs="Arial"/>
          <w:b/>
          <w:sz w:val="22"/>
          <w:szCs w:val="22"/>
          <w:highlight w:val="green"/>
          <w:lang w:val="es-ES"/>
        </w:rPr>
      </w:pPr>
      <w:r>
        <w:rPr>
          <w:rFonts w:cs="Arial"/>
          <w:b/>
          <w:sz w:val="22"/>
          <w:szCs w:val="22"/>
          <w:highlight w:val="green"/>
          <w:lang w:val="es-ES"/>
        </w:rPr>
        <w:t>ORIGEN BARCLAYS</w:t>
      </w:r>
    </w:p>
    <w:p w14:paraId="2B53DA02" w14:textId="77777777" w:rsidR="0023073B" w:rsidRPr="001B0C3B" w:rsidRDefault="0023073B" w:rsidP="00656890">
      <w:pPr>
        <w:pStyle w:val="Encabezado"/>
        <w:spacing w:after="210" w:line="240" w:lineRule="auto"/>
        <w:rPr>
          <w:rFonts w:cs="Arial"/>
          <w:b/>
          <w:sz w:val="22"/>
          <w:szCs w:val="22"/>
          <w:highlight w:val="yellow"/>
          <w:lang w:val="es-ES_tradnl"/>
        </w:rPr>
      </w:pPr>
    </w:p>
    <w:p w14:paraId="278CEEF9" w14:textId="6C96DF34" w:rsidR="0062169A" w:rsidRPr="001B0C3B" w:rsidRDefault="0062169A" w:rsidP="00656890">
      <w:pPr>
        <w:pStyle w:val="Encabezado"/>
        <w:spacing w:after="210" w:line="240" w:lineRule="auto"/>
        <w:rPr>
          <w:rFonts w:cs="Arial"/>
          <w:b/>
          <w:sz w:val="22"/>
          <w:szCs w:val="22"/>
          <w:highlight w:val="yellow"/>
          <w:lang w:val="es-ES_tradnl"/>
        </w:rPr>
      </w:pPr>
      <w:r w:rsidRPr="001B0C3B">
        <w:rPr>
          <w:rFonts w:cs="Arial"/>
          <w:b/>
          <w:sz w:val="22"/>
          <w:szCs w:val="22"/>
          <w:highlight w:val="yellow"/>
          <w:lang w:val="es-ES_tradnl"/>
        </w:rPr>
        <w:t xml:space="preserve">Procedimiento ordinario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Demandado:</w:t>
      </w:r>
      <w:r w:rsidR="007B1C0F" w:rsidRPr="001B0C3B">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proofErr w:type="spellStart"/>
      <w:r w:rsidRPr="001B0C3B">
        <w:rPr>
          <w:rFonts w:cs="Arial"/>
          <w:sz w:val="22"/>
          <w:szCs w:val="22"/>
          <w:highlight w:val="yellow"/>
          <w:lang w:val="es-ES_tradnl"/>
        </w:rPr>
        <w:t>Ref.Wizink</w:t>
      </w:r>
      <w:bookmarkEnd w:id="0"/>
      <w:proofErr w:type="spellEnd"/>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r w:rsidR="0062169A" w:rsidRPr="001B0C3B">
        <w:rPr>
          <w:rFonts w:eastAsia="Calibri" w:cs="Arial"/>
          <w:b/>
          <w:bCs/>
          <w:smallCaps/>
          <w:sz w:val="22"/>
          <w:szCs w:val="22"/>
          <w:lang w:val="es-ES" w:eastAsia="en-US"/>
        </w:rPr>
        <w:t xml:space="preserve">Wizink Bank, S.A. </w:t>
      </w:r>
      <w:r w:rsidR="0062169A" w:rsidRPr="001B0C3B">
        <w:rPr>
          <w:rFonts w:eastAsia="Calibri" w:cs="Arial"/>
          <w:sz w:val="22"/>
          <w:szCs w:val="22"/>
          <w:lang w:val="es-ES" w:eastAsia="en-US"/>
        </w:rPr>
        <w:t>(“</w:t>
      </w:r>
      <w:r w:rsidR="0062169A" w:rsidRPr="001B0C3B">
        <w:rPr>
          <w:rFonts w:eastAsia="Calibri" w:cs="Arial"/>
          <w:b/>
          <w:bCs/>
          <w:sz w:val="22"/>
          <w:szCs w:val="22"/>
          <w:lang w:val="es-ES" w:eastAsia="en-US"/>
        </w:rPr>
        <w:t>Wizink</w:t>
      </w:r>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 xml:space="preserve">Aitana Bermúdez </w:t>
      </w:r>
      <w:proofErr w:type="spellStart"/>
      <w:r w:rsidR="007B1C0F" w:rsidRPr="001B0C3B">
        <w:rPr>
          <w:rFonts w:eastAsia="Calibri" w:cs="Arial"/>
          <w:b/>
          <w:bCs/>
          <w:sz w:val="22"/>
          <w:szCs w:val="22"/>
          <w:lang w:val="es-ES_tradnl" w:eastAsia="en-US"/>
        </w:rPr>
        <w:t>Bermúdez</w:t>
      </w:r>
      <w:proofErr w:type="spellEnd"/>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Wizink,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1B0C3B">
        <w:rPr>
          <w:rFonts w:cs="Arial"/>
          <w:b/>
          <w:bCs/>
          <w:caps/>
          <w:sz w:val="22"/>
          <w:szCs w:val="22"/>
          <w:lang w:val="es-ES_tradnl"/>
        </w:rPr>
        <w:t>PREVIO.-</w:t>
      </w:r>
      <w:proofErr w:type="gramEnd"/>
      <w:r w:rsidRPr="001B0C3B">
        <w:rPr>
          <w:rFonts w:cs="Arial"/>
          <w:b/>
          <w:bCs/>
          <w:caps/>
          <w:sz w:val="22"/>
          <w:szCs w:val="22"/>
          <w:lang w:val="es-ES_tradnl"/>
        </w:rPr>
        <w:t xml:space="preserve">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68CDA478" w:rsidR="007B1C0F"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Wizink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2E7BB8DD" w14:textId="61C64975" w:rsidR="0023073B" w:rsidRPr="001B0C3B" w:rsidRDefault="0023073B" w:rsidP="007B1C0F">
      <w:pPr>
        <w:pStyle w:val="Body1"/>
        <w:spacing w:line="360" w:lineRule="auto"/>
        <w:rPr>
          <w:rFonts w:cs="Arial"/>
          <w:sz w:val="22"/>
          <w:szCs w:val="22"/>
          <w:lang w:val="es-ES"/>
        </w:rPr>
      </w:pPr>
      <w:r w:rsidRPr="0023073B">
        <w:rPr>
          <w:rFonts w:cs="Arial"/>
          <w:sz w:val="22"/>
          <w:szCs w:val="22"/>
          <w:highlight w:val="green"/>
          <w:lang w:val="es-ES"/>
        </w:rPr>
        <w:t>[LO DEJAMOS SI SE LE HA APLICADO UNA REDUCCIÓN EN LA TAE, LO COMPROBAMOS EN LOS EXTRACTOS A PARTIR DE ABRIL DE 2020]</w:t>
      </w:r>
    </w:p>
    <w:p w14:paraId="1CD84D67" w14:textId="77777777"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t xml:space="preserve">Finalmente, conviene destacar, tal y como se muestra en los extractos, que en el año 2020 Wizink redujo el precio de todos sus contratos (incluyendo el de la Tarjeta) a un </w:t>
      </w:r>
      <w:r w:rsidRPr="001B0C3B">
        <w:rPr>
          <w:rFonts w:cs="Arial"/>
          <w:b/>
          <w:bCs/>
          <w:sz w:val="22"/>
          <w:szCs w:val="22"/>
          <w:lang w:val="es-ES"/>
        </w:rPr>
        <w:t>21,94% TAE</w:t>
      </w:r>
      <w:r w:rsidRPr="001B0C3B">
        <w:rPr>
          <w:rFonts w:cs="Arial"/>
          <w:sz w:val="22"/>
          <w:szCs w:val="22"/>
          <w:lang w:val="es-ES"/>
        </w:rPr>
        <w:t xml:space="preserve">, </w:t>
      </w:r>
      <w:r w:rsidRPr="001B0C3B">
        <w:rPr>
          <w:rFonts w:cs="Arial"/>
          <w:sz w:val="22"/>
          <w:szCs w:val="22"/>
          <w:lang w:val="es-ES"/>
        </w:rPr>
        <w:lastRenderedPageBreak/>
        <w:t>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proofErr w:type="spellStart"/>
      <w:r w:rsidRPr="001B0C3B">
        <w:rPr>
          <w:rFonts w:cs="Arial"/>
          <w:b/>
          <w:bCs/>
          <w:i/>
          <w:iCs/>
          <w:sz w:val="22"/>
          <w:szCs w:val="22"/>
          <w:lang w:val="es-ES"/>
        </w:rPr>
        <w:t>revolving</w:t>
      </w:r>
      <w:proofErr w:type="spellEnd"/>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1B0C3B">
        <w:rPr>
          <w:rFonts w:cs="Arial"/>
          <w:b/>
          <w:bCs/>
          <w:sz w:val="22"/>
          <w:szCs w:val="22"/>
          <w:lang w:val="es-ES"/>
        </w:rPr>
        <w:t>TAEs</w:t>
      </w:r>
      <w:proofErr w:type="spellEnd"/>
      <w:r w:rsidRPr="001B0C3B">
        <w:rPr>
          <w:rFonts w:cs="Arial"/>
          <w:b/>
          <w:bCs/>
          <w:sz w:val="22"/>
          <w:szCs w:val="22"/>
          <w:lang w:val="es-ES"/>
        </w:rPr>
        <w:t xml:space="preserve"> pactadas en los contratos porque aquéllos están registrados en base TEDR</w:t>
      </w:r>
      <w:r w:rsidRPr="001B0C3B">
        <w:rPr>
          <w:rFonts w:cs="Arial"/>
          <w:sz w:val="22"/>
          <w:szCs w:val="22"/>
          <w:lang w:val="es-ES"/>
        </w:rPr>
        <w:t xml:space="preserve"> y hay que comparar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TAEs</w:t>
      </w:r>
      <w:proofErr w:type="spellEnd"/>
      <w:r w:rsidRPr="001B0C3B">
        <w:rPr>
          <w:rFonts w:cs="Arial"/>
          <w:sz w:val="22"/>
          <w:szCs w:val="22"/>
          <w:lang w:val="es-ES"/>
        </w:rPr>
        <w:t xml:space="preserve">, no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TEDRs</w:t>
      </w:r>
      <w:proofErr w:type="spellEnd"/>
      <w:r w:rsidRPr="001B0C3B">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 xml:space="preserve">el TS exige que, antes de hacer la comparativa, a los </w:t>
      </w:r>
      <w:proofErr w:type="spellStart"/>
      <w:r w:rsidRPr="001B0C3B">
        <w:rPr>
          <w:rFonts w:cs="Arial"/>
          <w:b/>
          <w:bCs/>
          <w:sz w:val="22"/>
          <w:szCs w:val="22"/>
          <w:lang w:val="es-ES"/>
        </w:rPr>
        <w:t>TEDRs</w:t>
      </w:r>
      <w:proofErr w:type="spellEnd"/>
      <w:r w:rsidRPr="001B0C3B">
        <w:rPr>
          <w:rFonts w:cs="Arial"/>
          <w:b/>
          <w:bCs/>
          <w:sz w:val="22"/>
          <w:szCs w:val="22"/>
          <w:lang w:val="es-ES"/>
        </w:rPr>
        <w:t xml:space="preserve">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lastRenderedPageBreak/>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w:t>
      </w:r>
      <w:proofErr w:type="gramStart"/>
      <w:r w:rsidRPr="001B0C3B">
        <w:rPr>
          <w:rFonts w:cs="Arial"/>
          <w:sz w:val="22"/>
          <w:szCs w:val="22"/>
          <w:lang w:val="es-ES"/>
        </w:rPr>
        <w:t>contratación  (</w:t>
      </w:r>
      <w:proofErr w:type="gramEnd"/>
      <w:r w:rsidRPr="001B0C3B">
        <w:rPr>
          <w:rFonts w:cs="Arial"/>
          <w:sz w:val="22"/>
          <w:szCs w:val="22"/>
          <w:lang w:val="es-ES"/>
        </w:rPr>
        <w:t xml:space="preserve"> </w:t>
      </w:r>
      <w:r w:rsidR="00840EEB">
        <w:rPr>
          <w:rFonts w:cs="Arial"/>
          <w:sz w:val="22"/>
          <w:szCs w:val="22"/>
          <w:highlight w:val="yellow"/>
          <w:lang w:val="es-ES"/>
        </w:rPr>
        <w:lastRenderedPageBreak/>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w:t>
      </w:r>
      <w:proofErr w:type="spellStart"/>
      <w:r w:rsidRPr="001B0C3B">
        <w:rPr>
          <w:rFonts w:cs="Arial"/>
          <w:sz w:val="22"/>
          <w:szCs w:val="22"/>
          <w:lang w:val="es-ES"/>
        </w:rPr>
        <w:t>revolving</w:t>
      </w:r>
      <w:proofErr w:type="spellEnd"/>
      <w:r w:rsidRPr="001B0C3B">
        <w:rPr>
          <w:rFonts w:cs="Arial"/>
          <w:sz w:val="22"/>
          <w:szCs w:val="22"/>
          <w:lang w:val="es-ES"/>
        </w:rPr>
        <w:t xml:space="preserve">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Wizink ha cumplido con los requisitos legal y jurisprudencialmente exigibles para garantizar 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lastRenderedPageBreak/>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1977EA63" w14:textId="77777777" w:rsidR="0023073B" w:rsidRDefault="0023073B" w:rsidP="0023073B">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t>[PARA CONTRATO DE ORIGEN BARCLAYS SUSCRITO ENTRE 2001 Y 2004]</w:t>
      </w:r>
    </w:p>
    <w:p w14:paraId="28679017"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80F8EB6" w14:textId="77777777" w:rsidR="0023073B" w:rsidRDefault="0023073B" w:rsidP="0023073B">
      <w:pPr>
        <w:spacing w:line="360" w:lineRule="auto"/>
        <w:rPr>
          <w:rFonts w:eastAsiaTheme="minorEastAsia" w:cs="Arial"/>
          <w:sz w:val="22"/>
          <w:szCs w:val="22"/>
          <w:lang w:val="es-ES" w:eastAsia="es-ES_tradnl"/>
        </w:rPr>
      </w:pPr>
    </w:p>
    <w:p w14:paraId="77E2931D" w14:textId="4CBBF59C"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 xml:space="preserve">Barclays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xml:space="preserve"> es lo argumentado por la Sección 5ª de la Audiencia Provincial de Sevilla</w:t>
      </w:r>
      <w:r>
        <w:rPr>
          <w:rStyle w:val="Refdenotaalpie"/>
          <w:rFonts w:eastAsiaTheme="minorEastAsia" w:cs="Arial"/>
          <w:sz w:val="22"/>
          <w:szCs w:val="22"/>
          <w:lang w:val="es-ES" w:eastAsia="es-ES_tradnl"/>
        </w:rPr>
        <w:footnoteReference w:id="6"/>
      </w:r>
      <w:r>
        <w:rPr>
          <w:rFonts w:eastAsiaTheme="minorEastAsia" w:cs="Arial"/>
          <w:sz w:val="22"/>
          <w:szCs w:val="22"/>
          <w:lang w:val="es-ES" w:eastAsia="es-ES_tradnl"/>
        </w:rPr>
        <w:t xml:space="preserve"> o por la Sección 3ª de la Audiencia Provincial de Badajoz/Mérida</w:t>
      </w:r>
      <w:r>
        <w:rPr>
          <w:rStyle w:val="Refdenotaalpie"/>
          <w:rFonts w:eastAsiaTheme="minorEastAsia"/>
          <w:sz w:val="22"/>
          <w:szCs w:val="22"/>
          <w:lang w:val="es-ES" w:eastAsia="es-ES_tradnl"/>
        </w:rPr>
        <w:footnoteReference w:id="7"/>
      </w:r>
      <w:r>
        <w:rPr>
          <w:rFonts w:eastAsiaTheme="minorEastAsia" w:cs="Arial"/>
          <w:sz w:val="22"/>
          <w:szCs w:val="22"/>
          <w:lang w:val="es-ES" w:eastAsia="es-ES_tradnl"/>
        </w:rPr>
        <w:t>, entre otras muchas.</w:t>
      </w:r>
    </w:p>
    <w:p w14:paraId="4A32A5D0" w14:textId="77777777" w:rsidR="0023073B" w:rsidRDefault="0023073B" w:rsidP="0023073B">
      <w:pPr>
        <w:spacing w:line="360" w:lineRule="auto"/>
        <w:rPr>
          <w:rFonts w:eastAsiaTheme="minorEastAsia" w:cs="Arial"/>
          <w:sz w:val="22"/>
          <w:szCs w:val="22"/>
          <w:lang w:val="es-ES" w:eastAsia="es-ES_tradnl"/>
        </w:rPr>
      </w:pPr>
    </w:p>
    <w:p w14:paraId="140FF428" w14:textId="77777777" w:rsidR="0023073B" w:rsidRDefault="0023073B" w:rsidP="0023073B">
      <w:pPr>
        <w:spacing w:line="360" w:lineRule="auto"/>
        <w:rPr>
          <w:rFonts w:cs="Arial"/>
          <w:sz w:val="22"/>
          <w:szCs w:val="22"/>
          <w:lang w:val="es-ES"/>
        </w:rPr>
      </w:pPr>
      <w:r>
        <w:rPr>
          <w:rFonts w:eastAsiaTheme="minorEastAsia" w:cs="Arial"/>
          <w:sz w:val="22"/>
          <w:szCs w:val="22"/>
          <w:lang w:val="es-ES" w:eastAsia="es-ES_tradnl"/>
        </w:rPr>
        <w:t xml:space="preserve">A este respecto, por ejemplo, la </w:t>
      </w:r>
      <w:r>
        <w:rPr>
          <w:rFonts w:eastAsiaTheme="minorEastAsia" w:cs="Arial"/>
          <w:b/>
          <w:bCs/>
          <w:sz w:val="22"/>
          <w:szCs w:val="22"/>
          <w:lang w:val="es-ES" w:eastAsia="es-ES_tradnl"/>
        </w:rPr>
        <w:t>Sección 5ª</w:t>
      </w:r>
      <w:r>
        <w:rPr>
          <w:rFonts w:eastAsiaTheme="minorEastAsia" w:cs="Arial"/>
          <w:sz w:val="22"/>
          <w:szCs w:val="22"/>
          <w:lang w:val="es-ES" w:eastAsia="es-ES_tradnl"/>
        </w:rPr>
        <w:t xml:space="preserve"> de la Audiencia Provincial de Sevilla, destaca que </w:t>
      </w:r>
      <w:r>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Pr>
          <w:rFonts w:cs="Arial"/>
          <w:b/>
          <w:bCs/>
          <w:sz w:val="22"/>
          <w:szCs w:val="22"/>
          <w:lang w:val="es-ES"/>
        </w:rPr>
        <w:t>Sección 3</w:t>
      </w:r>
      <w:r>
        <w:rPr>
          <w:rFonts w:eastAsiaTheme="minorEastAsia" w:cs="Arial"/>
          <w:b/>
          <w:bCs/>
          <w:sz w:val="22"/>
          <w:szCs w:val="22"/>
          <w:lang w:val="es-ES" w:eastAsia="es-ES_tradnl"/>
        </w:rPr>
        <w:t>ª</w:t>
      </w:r>
      <w:r>
        <w:rPr>
          <w:rFonts w:cs="Arial"/>
          <w:sz w:val="22"/>
          <w:szCs w:val="22"/>
          <w:lang w:val="es-ES"/>
        </w:rPr>
        <w:t xml:space="preserve"> de la Audiencia </w:t>
      </w:r>
      <w:r>
        <w:rPr>
          <w:rFonts w:cs="Arial"/>
          <w:sz w:val="22"/>
          <w:szCs w:val="22"/>
          <w:lang w:val="es-ES"/>
        </w:rPr>
        <w:lastRenderedPageBreak/>
        <w:t>Provincial de Badajoz/Mérida es también meridiana al señalar que,</w:t>
      </w:r>
      <w:r>
        <w:rPr>
          <w:rFonts w:eastAsiaTheme="minorEastAsia" w:cs="Arial"/>
          <w:sz w:val="22"/>
          <w:szCs w:val="22"/>
          <w:lang w:val="es-ES" w:eastAsia="es-ES_tradnl"/>
        </w:rPr>
        <w:t xml:space="preserve"> </w:t>
      </w:r>
      <w:r>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431662F8" w14:textId="77777777" w:rsidR="0023073B" w:rsidRDefault="0023073B" w:rsidP="0023073B">
      <w:pPr>
        <w:spacing w:line="360" w:lineRule="auto"/>
        <w:rPr>
          <w:rFonts w:cs="Arial"/>
          <w:sz w:val="22"/>
          <w:szCs w:val="22"/>
          <w:lang w:val="es-ES"/>
        </w:rPr>
      </w:pPr>
    </w:p>
    <w:p w14:paraId="4CDFA606"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5D56C89A" w14:textId="77777777" w:rsidR="006F3231" w:rsidRDefault="006F3231" w:rsidP="0023073B">
      <w:pPr>
        <w:spacing w:line="360" w:lineRule="auto"/>
        <w:rPr>
          <w:rFonts w:eastAsiaTheme="minorEastAsia" w:cs="Arial"/>
          <w:sz w:val="22"/>
          <w:szCs w:val="22"/>
          <w:lang w:val="es-ES" w:eastAsia="es-ES_tradnl"/>
        </w:rPr>
      </w:pPr>
    </w:p>
    <w:p w14:paraId="7CE1BAB6" w14:textId="77777777" w:rsidR="006F3231" w:rsidRPr="00605F61" w:rsidRDefault="006F3231" w:rsidP="006F3231">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2005 Y 2008]</w:t>
      </w:r>
    </w:p>
    <w:p w14:paraId="7AC4DD09"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D60AB76" w14:textId="77777777" w:rsidR="006F3231" w:rsidRPr="00605F61" w:rsidRDefault="006F3231" w:rsidP="006F3231">
      <w:pPr>
        <w:spacing w:line="360" w:lineRule="auto"/>
        <w:rPr>
          <w:rFonts w:eastAsiaTheme="minorEastAsia" w:cs="Arial"/>
          <w:sz w:val="22"/>
          <w:szCs w:val="22"/>
          <w:lang w:val="es-ES" w:eastAsia="es-ES_tradnl"/>
        </w:rPr>
      </w:pPr>
    </w:p>
    <w:p w14:paraId="309EBE30"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Barclays 2005</w:t>
      </w:r>
      <w:r w:rsidRPr="00605F61">
        <w:rPr>
          <w:rFonts w:eastAsiaTheme="minorEastAsia" w:cs="Arial"/>
          <w:sz w:val="22"/>
          <w:szCs w:val="22"/>
          <w:lang w:val="es-ES" w:eastAsia="es-ES_tradnl"/>
        </w:rPr>
        <w:t xml:space="preserve"> lo argumentado por la Sección 4ª de la Audiencia Provincial de A Coruña</w:t>
      </w:r>
      <w:r w:rsidRPr="00605F61">
        <w:rPr>
          <w:rStyle w:val="Refdenotaalpie"/>
          <w:rFonts w:eastAsiaTheme="minorEastAsia" w:cs="Arial"/>
          <w:sz w:val="22"/>
          <w:szCs w:val="22"/>
          <w:lang w:val="es-ES" w:eastAsia="es-ES_tradnl"/>
        </w:rPr>
        <w:footnoteReference w:id="8"/>
      </w:r>
      <w:r w:rsidRPr="00605F61">
        <w:rPr>
          <w:rFonts w:eastAsiaTheme="minorEastAsia" w:cs="Arial"/>
          <w:sz w:val="22"/>
          <w:szCs w:val="22"/>
          <w:lang w:val="es-ES" w:eastAsia="es-ES_tradnl"/>
        </w:rPr>
        <w:t>; por la</w:t>
      </w:r>
      <w:bookmarkStart w:id="17" w:name="_Hlk156585946"/>
      <w:r w:rsidRPr="00605F61">
        <w:rPr>
          <w:rFonts w:eastAsiaTheme="minorEastAsia" w:cs="Arial"/>
          <w:sz w:val="22"/>
          <w:szCs w:val="22"/>
          <w:lang w:val="es-ES" w:eastAsia="es-ES_tradnl"/>
        </w:rPr>
        <w:t xml:space="preserve"> Sección 5ª</w:t>
      </w:r>
      <w:bookmarkEnd w:id="17"/>
      <w:r w:rsidRPr="00605F61">
        <w:rPr>
          <w:rFonts w:eastAsiaTheme="minorEastAsia" w:cs="Arial"/>
          <w:sz w:val="22"/>
          <w:szCs w:val="22"/>
          <w:lang w:val="es-ES" w:eastAsia="es-ES_tradnl"/>
        </w:rPr>
        <w:t xml:space="preserve"> de la Audiencia Provincial de Palma de Mallorca</w:t>
      </w:r>
      <w:r w:rsidRPr="00605F61">
        <w:rPr>
          <w:rStyle w:val="Refdenotaalpie"/>
          <w:rFonts w:eastAsiaTheme="minorEastAsia"/>
          <w:sz w:val="22"/>
          <w:szCs w:val="22"/>
          <w:lang w:val="es-ES" w:eastAsia="es-ES_tradnl"/>
        </w:rPr>
        <w:footnoteReference w:id="9"/>
      </w:r>
      <w:r w:rsidRPr="00605F61">
        <w:rPr>
          <w:rFonts w:eastAsiaTheme="minorEastAsia" w:cs="Arial"/>
          <w:sz w:val="22"/>
          <w:szCs w:val="22"/>
          <w:lang w:val="es-ES" w:eastAsia="es-ES_tradnl"/>
        </w:rPr>
        <w:t>, o por la Sección 2ª de la Audiencia Provincial de León</w:t>
      </w:r>
      <w:r w:rsidRPr="00605F61">
        <w:rPr>
          <w:rStyle w:val="Refdenotaalpie"/>
          <w:rFonts w:eastAsiaTheme="minorEastAsia"/>
          <w:sz w:val="22"/>
          <w:szCs w:val="22"/>
          <w:lang w:val="es-ES" w:eastAsia="es-ES_tradnl"/>
        </w:rPr>
        <w:footnoteReference w:id="10"/>
      </w:r>
      <w:r w:rsidRPr="00605F61">
        <w:rPr>
          <w:rFonts w:eastAsiaTheme="minorEastAsia" w:cs="Arial"/>
          <w:sz w:val="22"/>
          <w:szCs w:val="22"/>
          <w:lang w:val="es-ES" w:eastAsia="es-ES_tradnl"/>
        </w:rPr>
        <w:t>, entre otras muchas.</w:t>
      </w:r>
    </w:p>
    <w:p w14:paraId="54F2F5B4" w14:textId="77777777" w:rsidR="006F3231" w:rsidRPr="00605F61" w:rsidRDefault="006F3231" w:rsidP="006F3231">
      <w:pPr>
        <w:spacing w:line="360" w:lineRule="auto"/>
        <w:rPr>
          <w:rFonts w:eastAsiaTheme="minorEastAsia" w:cs="Arial"/>
          <w:sz w:val="22"/>
          <w:szCs w:val="22"/>
          <w:lang w:val="es-ES" w:eastAsia="es-ES_tradnl"/>
        </w:rPr>
      </w:pPr>
    </w:p>
    <w:p w14:paraId="07C8D20F" w14:textId="77777777" w:rsidR="006F3231" w:rsidRPr="00605F61" w:rsidRDefault="006F3231" w:rsidP="006F3231">
      <w:pPr>
        <w:spacing w:line="360" w:lineRule="auto"/>
        <w:rPr>
          <w:rFonts w:cs="Arial"/>
          <w:sz w:val="22"/>
          <w:szCs w:val="22"/>
          <w:lang w:val="es-ES"/>
        </w:rPr>
      </w:pPr>
      <w:r w:rsidRPr="00605F61">
        <w:rPr>
          <w:rFonts w:eastAsiaTheme="minorEastAsia" w:cs="Arial"/>
          <w:sz w:val="22"/>
          <w:szCs w:val="22"/>
          <w:lang w:val="es-ES" w:eastAsia="es-ES_tradnl"/>
        </w:rPr>
        <w:t xml:space="preserve">Entrando con mayor detalle en algunas de ellas, por ejemplo, la </w:t>
      </w:r>
      <w:r w:rsidRPr="00605F61">
        <w:rPr>
          <w:rFonts w:eastAsiaTheme="minorEastAsia" w:cs="Arial"/>
          <w:b/>
          <w:bCs/>
          <w:sz w:val="22"/>
          <w:szCs w:val="22"/>
          <w:lang w:val="es-ES" w:eastAsia="es-ES_tradnl"/>
        </w:rPr>
        <w:t>Sección 4ª</w:t>
      </w:r>
      <w:r w:rsidRPr="00605F61">
        <w:rPr>
          <w:rFonts w:eastAsiaTheme="minorEastAsia" w:cs="Arial"/>
          <w:sz w:val="22"/>
          <w:szCs w:val="22"/>
          <w:lang w:val="es-ES" w:eastAsia="es-ES_tradnl"/>
        </w:rPr>
        <w:t xml:space="preserve"> de la Audiencia Provincial de A Coruña destaca que </w:t>
      </w:r>
      <w:r w:rsidRPr="00605F61">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605F61">
        <w:rPr>
          <w:rFonts w:cs="Arial"/>
          <w:b/>
          <w:bCs/>
          <w:sz w:val="22"/>
          <w:szCs w:val="22"/>
          <w:lang w:val="es-ES"/>
        </w:rPr>
        <w:t>Sección 2</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León, concluye que la cláusula del contrato </w:t>
      </w:r>
      <w:r w:rsidRPr="00605F61">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3E2F50DB" w14:textId="77777777" w:rsidR="006F3231" w:rsidRPr="00605F61" w:rsidRDefault="006F3231" w:rsidP="006F3231">
      <w:pPr>
        <w:spacing w:line="360" w:lineRule="auto"/>
        <w:rPr>
          <w:rFonts w:cs="Arial"/>
          <w:sz w:val="22"/>
          <w:szCs w:val="22"/>
          <w:lang w:val="es-ES"/>
        </w:rPr>
      </w:pPr>
    </w:p>
    <w:p w14:paraId="383DBF5F" w14:textId="77777777" w:rsidR="006F3231" w:rsidRPr="00605F61" w:rsidRDefault="006F3231" w:rsidP="006F3231">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BEA76F0" w14:textId="77777777" w:rsidR="006F3231" w:rsidRDefault="006F3231" w:rsidP="0023073B">
      <w:pPr>
        <w:spacing w:line="360" w:lineRule="auto"/>
        <w:rPr>
          <w:rFonts w:eastAsiaTheme="minorEastAsia" w:cs="Arial"/>
          <w:sz w:val="22"/>
          <w:szCs w:val="22"/>
          <w:lang w:val="es-ES" w:eastAsia="es-ES_tradnl"/>
        </w:rPr>
      </w:pPr>
    </w:p>
    <w:p w14:paraId="3AF11D88" w14:textId="77777777" w:rsidR="0023073B" w:rsidRDefault="0023073B" w:rsidP="0023073B">
      <w:pPr>
        <w:spacing w:line="360" w:lineRule="auto"/>
        <w:rPr>
          <w:rFonts w:eastAsiaTheme="minorEastAsia" w:cs="Arial"/>
          <w:sz w:val="22"/>
          <w:szCs w:val="22"/>
          <w:lang w:val="es-ES" w:eastAsia="es-ES_tradnl"/>
        </w:rPr>
      </w:pPr>
    </w:p>
    <w:p w14:paraId="4F06ACB8" w14:textId="77777777" w:rsidR="0023073B" w:rsidRDefault="0023073B" w:rsidP="0023073B">
      <w:pPr>
        <w:spacing w:line="360" w:lineRule="auto"/>
        <w:rPr>
          <w:rFonts w:eastAsiaTheme="minorEastAsia" w:cs="Arial"/>
          <w:bCs/>
          <w:sz w:val="22"/>
          <w:szCs w:val="22"/>
          <w:lang w:val="es-ES" w:eastAsia="es-ES_tradnl"/>
        </w:rPr>
      </w:pPr>
      <w:r>
        <w:rPr>
          <w:rFonts w:eastAsiaTheme="minorEastAsia" w:cs="Arial"/>
          <w:bCs/>
          <w:sz w:val="22"/>
          <w:szCs w:val="22"/>
          <w:highlight w:val="green"/>
          <w:lang w:val="es-ES" w:eastAsia="es-ES_tradnl"/>
        </w:rPr>
        <w:t>[PARA CONTRATO DE ORIGEN BARCLAYS SUSCRITO ENTRE 2013 Y 2017]</w:t>
      </w:r>
    </w:p>
    <w:p w14:paraId="4E1CDF2B" w14:textId="77777777" w:rsidR="0023073B" w:rsidRDefault="0023073B" w:rsidP="0023073B">
      <w:pPr>
        <w:spacing w:line="360" w:lineRule="auto"/>
        <w:rPr>
          <w:rFonts w:eastAsiaTheme="minorEastAsia" w:cs="Arial"/>
          <w:b/>
          <w:bCs/>
          <w:sz w:val="22"/>
          <w:szCs w:val="22"/>
          <w:lang w:val="es-ES" w:eastAsia="es-ES_tradnl"/>
        </w:rPr>
      </w:pPr>
    </w:p>
    <w:p w14:paraId="44AA43AC"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2F2E929" w14:textId="77777777" w:rsidR="0023073B" w:rsidRDefault="0023073B" w:rsidP="0023073B">
      <w:pPr>
        <w:spacing w:line="360" w:lineRule="auto"/>
        <w:rPr>
          <w:rFonts w:eastAsiaTheme="minorEastAsia" w:cs="Arial"/>
          <w:sz w:val="22"/>
          <w:szCs w:val="22"/>
          <w:lang w:val="es-ES" w:eastAsia="es-ES_tradnl"/>
        </w:rPr>
      </w:pPr>
    </w:p>
    <w:p w14:paraId="4BE7B544" w14:textId="0E90C39C"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 xml:space="preserve">Constituyen ejemplo jurisprudencial de validación de la transparencia de este contrato </w:t>
      </w:r>
      <w:r>
        <w:rPr>
          <w:rFonts w:eastAsiaTheme="minorEastAsia" w:cs="Arial"/>
          <w:sz w:val="22"/>
          <w:szCs w:val="22"/>
          <w:highlight w:val="yellow"/>
          <w:lang w:val="es-ES" w:eastAsia="es-ES_tradnl"/>
        </w:rPr>
        <w:t xml:space="preserve">Barclays </w:t>
      </w:r>
      <w:r>
        <w:rPr>
          <w:rFonts w:eastAsiaTheme="minorEastAsia" w:cs="Arial"/>
          <w:sz w:val="22"/>
          <w:szCs w:val="22"/>
          <w:highlight w:val="yellow"/>
          <w:lang w:val="es-ES" w:eastAsia="es-ES_tradnl"/>
        </w:rPr>
        <w:fldChar w:fldCharType="begin"/>
      </w:r>
      <w:r>
        <w:rPr>
          <w:rFonts w:eastAsiaTheme="minorEastAsia" w:cs="Arial"/>
          <w:sz w:val="22"/>
          <w:szCs w:val="22"/>
          <w:highlight w:val="yellow"/>
          <w:lang w:val="es-ES" w:eastAsia="es-ES_tradnl"/>
        </w:rPr>
        <w:instrText>persovalores_personalizable180</w:instrText>
      </w:r>
      <w:r>
        <w:rPr>
          <w:rFonts w:eastAsiaTheme="minorEastAsia" w:cs="Arial"/>
          <w:sz w:val="22"/>
          <w:szCs w:val="22"/>
          <w:highlight w:val="yellow"/>
          <w:lang w:val="es-ES" w:eastAsia="es-ES_tradnl"/>
        </w:rPr>
        <w:fldChar w:fldCharType="separate"/>
      </w:r>
      <w:r>
        <w:rPr>
          <w:rFonts w:eastAsiaTheme="minorEastAsia" w:cs="Arial"/>
          <w:noProof/>
          <w:sz w:val="22"/>
          <w:szCs w:val="22"/>
          <w:highlight w:val="yellow"/>
          <w:lang w:val="es-ES" w:eastAsia="es-ES_tradnl"/>
        </w:rPr>
        <w:t>«WIZINK_AÑO_DE_CONTRATACIÓN»</w:t>
      </w:r>
      <w:r>
        <w:rPr>
          <w:rFonts w:eastAsiaTheme="minorEastAsia" w:cs="Arial"/>
          <w:sz w:val="22"/>
          <w:szCs w:val="22"/>
          <w:highlight w:val="yellow"/>
          <w:lang w:val="es-ES" w:eastAsia="es-ES_tradnl"/>
        </w:rPr>
        <w:fldChar w:fldCharType="end"/>
      </w:r>
      <w:r>
        <w:rPr>
          <w:rFonts w:eastAsiaTheme="minorEastAsia" w:cs="Arial"/>
          <w:sz w:val="22"/>
          <w:szCs w:val="22"/>
          <w:lang w:val="es-ES" w:eastAsia="es-ES_tradnl"/>
        </w:rPr>
        <w:t>, lo argumentado por la Sección 13ª</w:t>
      </w:r>
      <w:r>
        <w:rPr>
          <w:rStyle w:val="Refdenotaalpie"/>
          <w:rFonts w:eastAsiaTheme="minorEastAsia"/>
          <w:sz w:val="22"/>
          <w:szCs w:val="22"/>
          <w:lang w:val="es-ES" w:eastAsia="es-ES_tradnl"/>
        </w:rPr>
        <w:footnoteReference w:id="11"/>
      </w:r>
      <w:r>
        <w:rPr>
          <w:rFonts w:eastAsiaTheme="minorEastAsia" w:cs="Arial"/>
          <w:sz w:val="22"/>
          <w:szCs w:val="22"/>
          <w:lang w:val="es-ES" w:eastAsia="es-ES_tradnl"/>
        </w:rPr>
        <w:t xml:space="preserve"> y 14ª</w:t>
      </w:r>
      <w:r>
        <w:rPr>
          <w:rStyle w:val="Refdenotaalpie"/>
          <w:rFonts w:eastAsiaTheme="minorEastAsia" w:cs="Arial"/>
          <w:sz w:val="22"/>
          <w:szCs w:val="22"/>
          <w:lang w:val="es-ES" w:eastAsia="es-ES_tradnl"/>
        </w:rPr>
        <w:footnoteReference w:id="12"/>
      </w:r>
      <w:r>
        <w:rPr>
          <w:rFonts w:eastAsiaTheme="minorEastAsia" w:cs="Arial"/>
          <w:sz w:val="22"/>
          <w:szCs w:val="22"/>
          <w:lang w:val="es-ES" w:eastAsia="es-ES_tradnl"/>
        </w:rPr>
        <w:t xml:space="preserve"> de la Audiencia Provincial de Madrid; por la Sección 1ª de la Audiencia Provincial de Córdoba</w:t>
      </w:r>
      <w:r>
        <w:rPr>
          <w:rStyle w:val="Refdenotaalpie"/>
          <w:rFonts w:eastAsiaTheme="minorEastAsia"/>
          <w:sz w:val="22"/>
          <w:szCs w:val="22"/>
          <w:lang w:val="es-ES" w:eastAsia="es-ES_tradnl"/>
        </w:rPr>
        <w:footnoteReference w:id="13"/>
      </w:r>
      <w:r>
        <w:rPr>
          <w:rFonts w:eastAsiaTheme="minorEastAsia" w:cs="Arial"/>
          <w:sz w:val="22"/>
          <w:szCs w:val="22"/>
          <w:lang w:val="es-ES" w:eastAsia="es-ES_tradnl"/>
        </w:rPr>
        <w:t>, por la Sección 4ª de la Audiencia Provincial de Barcelona</w:t>
      </w:r>
      <w:r>
        <w:rPr>
          <w:rStyle w:val="Refdenotaalpie"/>
          <w:rFonts w:eastAsiaTheme="minorEastAsia"/>
          <w:sz w:val="22"/>
          <w:szCs w:val="22"/>
          <w:lang w:val="es-ES" w:eastAsia="es-ES_tradnl"/>
        </w:rPr>
        <w:footnoteReference w:id="14"/>
      </w:r>
      <w:r>
        <w:rPr>
          <w:rFonts w:eastAsiaTheme="minorEastAsia" w:cs="Arial"/>
          <w:sz w:val="22"/>
          <w:szCs w:val="22"/>
          <w:lang w:val="es-ES" w:eastAsia="es-ES_tradnl"/>
        </w:rPr>
        <w:t>.</w:t>
      </w:r>
    </w:p>
    <w:p w14:paraId="1321D6B6" w14:textId="77777777" w:rsidR="0023073B" w:rsidRDefault="0023073B" w:rsidP="0023073B">
      <w:pPr>
        <w:spacing w:line="360" w:lineRule="auto"/>
        <w:rPr>
          <w:rFonts w:eastAsiaTheme="minorEastAsia" w:cs="Arial"/>
          <w:sz w:val="22"/>
          <w:szCs w:val="22"/>
          <w:lang w:val="es-ES" w:eastAsia="es-ES_tradnl"/>
        </w:rPr>
      </w:pPr>
    </w:p>
    <w:p w14:paraId="1436B1E7" w14:textId="77777777" w:rsidR="0023073B" w:rsidRDefault="0023073B" w:rsidP="0023073B">
      <w:pPr>
        <w:spacing w:line="360" w:lineRule="auto"/>
        <w:rPr>
          <w:rFonts w:cs="Arial"/>
          <w:sz w:val="22"/>
          <w:szCs w:val="22"/>
          <w:lang w:val="es-ES"/>
        </w:rPr>
      </w:pPr>
      <w:r>
        <w:rPr>
          <w:rFonts w:eastAsiaTheme="minorEastAsia" w:cs="Arial"/>
          <w:sz w:val="22"/>
          <w:szCs w:val="22"/>
          <w:lang w:val="es-ES" w:eastAsia="es-ES_tradnl"/>
        </w:rPr>
        <w:t xml:space="preserve">Por ejemplo, la </w:t>
      </w:r>
      <w:r>
        <w:rPr>
          <w:rFonts w:eastAsiaTheme="minorEastAsia" w:cs="Arial"/>
          <w:b/>
          <w:bCs/>
          <w:sz w:val="22"/>
          <w:szCs w:val="22"/>
          <w:lang w:val="es-ES" w:eastAsia="es-ES_tradnl"/>
        </w:rPr>
        <w:t>Sección 14ª</w:t>
      </w:r>
      <w:r>
        <w:rPr>
          <w:rFonts w:eastAsiaTheme="minorEastAsia" w:cs="Arial"/>
          <w:sz w:val="22"/>
          <w:szCs w:val="22"/>
          <w:lang w:val="es-ES" w:eastAsia="es-ES_tradnl"/>
        </w:rPr>
        <w:t xml:space="preserve"> de la Audiencia Provincial de Madrid  destaca que </w:t>
      </w:r>
      <w:r>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11539DB9" w14:textId="77777777" w:rsidR="0023073B" w:rsidRDefault="0023073B" w:rsidP="0023073B">
      <w:pPr>
        <w:spacing w:line="360" w:lineRule="auto"/>
        <w:rPr>
          <w:rFonts w:cs="Arial"/>
          <w:sz w:val="22"/>
          <w:szCs w:val="22"/>
          <w:lang w:val="es-ES"/>
        </w:rPr>
      </w:pPr>
    </w:p>
    <w:p w14:paraId="4FD67B87" w14:textId="77777777" w:rsidR="0023073B" w:rsidRDefault="0023073B" w:rsidP="0023073B">
      <w:pPr>
        <w:spacing w:line="360" w:lineRule="auto"/>
        <w:rPr>
          <w:rFonts w:cs="Arial"/>
          <w:sz w:val="22"/>
          <w:szCs w:val="22"/>
          <w:lang w:val="es-ES"/>
        </w:rPr>
      </w:pPr>
      <w:r>
        <w:rPr>
          <w:rFonts w:cs="Arial"/>
          <w:sz w:val="22"/>
          <w:szCs w:val="22"/>
          <w:lang w:val="es-ES"/>
        </w:rPr>
        <w:t xml:space="preserve">Por su parte, la Audiencia Provincial de Córdoba, </w:t>
      </w:r>
      <w:r>
        <w:rPr>
          <w:rFonts w:cs="Arial"/>
          <w:b/>
          <w:bCs/>
          <w:sz w:val="22"/>
          <w:szCs w:val="22"/>
          <w:lang w:val="es-ES"/>
        </w:rPr>
        <w:t>Sección 1</w:t>
      </w:r>
      <w:bookmarkStart w:id="18" w:name="_Hlk156591443"/>
      <w:r>
        <w:rPr>
          <w:rFonts w:eastAsiaTheme="minorEastAsia" w:cs="Arial"/>
          <w:b/>
          <w:bCs/>
          <w:sz w:val="22"/>
          <w:szCs w:val="22"/>
          <w:lang w:val="es-ES" w:eastAsia="es-ES_tradnl"/>
        </w:rPr>
        <w:t>ª</w:t>
      </w:r>
      <w:bookmarkEnd w:id="18"/>
      <w:r>
        <w:rPr>
          <w:rFonts w:eastAsiaTheme="minorEastAsia" w:cs="Arial"/>
          <w:sz w:val="22"/>
          <w:szCs w:val="22"/>
          <w:lang w:val="es-ES" w:eastAsia="es-ES_tradnl"/>
        </w:rPr>
        <w:t xml:space="preserve">, indica que </w:t>
      </w:r>
      <w:r>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Pr>
          <w:rFonts w:cs="Arial"/>
          <w:sz w:val="22"/>
          <w:szCs w:val="22"/>
          <w:lang w:val="es-ES"/>
        </w:rPr>
        <w:t>abusividad</w:t>
      </w:r>
      <w:proofErr w:type="spellEnd"/>
      <w:r>
        <w:rPr>
          <w:rFonts w:cs="Arial"/>
          <w:sz w:val="22"/>
          <w:szCs w:val="22"/>
          <w:lang w:val="es-ES"/>
        </w:rPr>
        <w:t xml:space="preserve">. Por su parte la </w:t>
      </w:r>
      <w:r>
        <w:rPr>
          <w:rFonts w:cs="Arial"/>
          <w:b/>
          <w:bCs/>
          <w:sz w:val="22"/>
          <w:szCs w:val="22"/>
          <w:lang w:val="es-ES"/>
        </w:rPr>
        <w:t>Sección 4</w:t>
      </w:r>
      <w:r>
        <w:rPr>
          <w:rFonts w:eastAsiaTheme="minorEastAsia" w:cs="Arial"/>
          <w:b/>
          <w:bCs/>
          <w:sz w:val="22"/>
          <w:szCs w:val="22"/>
          <w:lang w:val="es-ES" w:eastAsia="es-ES_tradnl"/>
        </w:rPr>
        <w:t>ª</w:t>
      </w:r>
      <w:r>
        <w:rPr>
          <w:rFonts w:eastAsiaTheme="minorEastAsia" w:cs="Arial"/>
          <w:sz w:val="22"/>
          <w:szCs w:val="22"/>
          <w:lang w:val="es-ES" w:eastAsia="es-ES_tradnl"/>
        </w:rPr>
        <w:t xml:space="preserve"> de la </w:t>
      </w:r>
      <w:r>
        <w:rPr>
          <w:rFonts w:eastAsiaTheme="minorEastAsia" w:cs="Arial"/>
          <w:sz w:val="22"/>
          <w:szCs w:val="22"/>
          <w:lang w:val="es-ES" w:eastAsia="es-ES_tradnl"/>
        </w:rPr>
        <w:lastRenderedPageBreak/>
        <w:t>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Pr>
          <w:rFonts w:cs="Arial"/>
          <w:sz w:val="22"/>
          <w:szCs w:val="22"/>
          <w:lang w:val="es-ES"/>
        </w:rPr>
        <w:t xml:space="preserve">. </w:t>
      </w:r>
    </w:p>
    <w:p w14:paraId="724DC228" w14:textId="77777777" w:rsidR="0023073B" w:rsidRDefault="0023073B" w:rsidP="0023073B">
      <w:pPr>
        <w:spacing w:line="360" w:lineRule="auto"/>
        <w:rPr>
          <w:rFonts w:cs="Arial"/>
          <w:sz w:val="22"/>
          <w:szCs w:val="22"/>
          <w:lang w:val="es-ES"/>
        </w:rPr>
      </w:pPr>
    </w:p>
    <w:p w14:paraId="2C1E69C0" w14:textId="77777777" w:rsidR="0023073B" w:rsidRDefault="0023073B" w:rsidP="0023073B">
      <w:pPr>
        <w:spacing w:line="360" w:lineRule="auto"/>
        <w:rPr>
          <w:rFonts w:eastAsiaTheme="minorEastAsia" w:cs="Arial"/>
          <w:sz w:val="22"/>
          <w:szCs w:val="22"/>
          <w:lang w:val="es-ES" w:eastAsia="es-ES_tradnl"/>
        </w:rPr>
      </w:pPr>
      <w:r>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w:t>
      </w:r>
      <w:r w:rsidRPr="001B0C3B">
        <w:rPr>
          <w:rFonts w:cs="Arial"/>
          <w:sz w:val="22"/>
          <w:szCs w:val="22"/>
          <w:lang w:val="es-ES"/>
        </w:rPr>
        <w:lastRenderedPageBreak/>
        <w:t>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w:t>
      </w:r>
      <w:proofErr w:type="gramStart"/>
      <w:r w:rsidRPr="001B0C3B">
        <w:rPr>
          <w:rFonts w:cs="Arial"/>
          <w:kern w:val="28"/>
          <w:sz w:val="22"/>
          <w:szCs w:val="22"/>
          <w:lang w:val="es-ES_tradnl" w:eastAsia="en-US"/>
        </w:rPr>
        <w:t>a día de hoy</w:t>
      </w:r>
      <w:proofErr w:type="gramEnd"/>
      <w:r w:rsidRPr="001B0C3B">
        <w:rPr>
          <w:rFonts w:cs="Arial"/>
          <w:kern w:val="28"/>
          <w:sz w:val="22"/>
          <w:szCs w:val="22"/>
          <w:lang w:val="es-ES_tradnl" w:eastAsia="en-US"/>
        </w:rPr>
        <w:t xml:space="preserve">,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1B0C3B">
        <w:rPr>
          <w:rFonts w:cs="Arial"/>
          <w:sz w:val="22"/>
          <w:szCs w:val="22"/>
          <w:lang w:val="es-ES"/>
        </w:rPr>
        <w:t>abusividad</w:t>
      </w:r>
      <w:proofErr w:type="spellEnd"/>
      <w:r w:rsidRPr="001B0C3B">
        <w:rPr>
          <w:rFonts w:cs="Arial"/>
          <w:sz w:val="22"/>
          <w:szCs w:val="22"/>
          <w:lang w:val="es-ES"/>
        </w:rPr>
        <w:t>,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0E41C54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Toda esta litigiosidad derivada, entre otros motivos, por la Sentencia de usura de 25 de noviembre de 2015. </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lo indicado por el TJUE</w:t>
      </w:r>
      <w:r w:rsidRPr="001B0C3B">
        <w:rPr>
          <w:rStyle w:val="Refdenotaalpie"/>
          <w:rFonts w:cs="Arial"/>
          <w:sz w:val="22"/>
          <w:szCs w:val="22"/>
          <w:lang w:val="es-ES_tradnl"/>
        </w:rPr>
        <w:footnoteReference w:id="15"/>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w:t>
      </w:r>
      <w:r w:rsidRPr="001B0C3B">
        <w:rPr>
          <w:rFonts w:cs="Arial"/>
          <w:sz w:val="22"/>
          <w:szCs w:val="22"/>
          <w:lang w:val="es-ES_tradnl"/>
        </w:rPr>
        <w:lastRenderedPageBreak/>
        <w:t xml:space="preserve">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años, por lo que la acción está prescrita..</w:t>
      </w:r>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w:t>
      </w:r>
      <w:proofErr w:type="spellStart"/>
      <w:r w:rsidRPr="001B0C3B">
        <w:rPr>
          <w:rFonts w:eastAsia="Book Antiqua" w:cs="Arial"/>
          <w:spacing w:val="4"/>
          <w:sz w:val="22"/>
          <w:szCs w:val="22"/>
          <w:lang w:val="es-ES_tradnl"/>
        </w:rPr>
        <w:t>abusividad</w:t>
      </w:r>
      <w:proofErr w:type="spellEnd"/>
      <w:r w:rsidRPr="001B0C3B">
        <w:rPr>
          <w:rFonts w:eastAsia="Book Antiqua" w:cs="Arial"/>
          <w:spacing w:val="4"/>
          <w:sz w:val="22"/>
          <w:szCs w:val="22"/>
          <w:lang w:val="es-ES_tradnl"/>
        </w:rPr>
        <w:t xml:space="preserve">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 xml:space="preserve">Demandante no ha pagado ni un solo euro a Wizink en concepto comisión por posiciones deudoras, ni Wizink le ha aplicado nunca dicha comisión ni </w:t>
      </w:r>
      <w:proofErr w:type="gramStart"/>
      <w:r w:rsidRPr="001B0C3B">
        <w:rPr>
          <w:rFonts w:ascii="Arial" w:eastAsia="Book Antiqua" w:hAnsi="Arial" w:cs="Arial"/>
          <w:b/>
          <w:bCs/>
          <w:spacing w:val="1"/>
          <w:sz w:val="22"/>
          <w:szCs w:val="22"/>
          <w:u w:val="single"/>
          <w:lang w:val="es-ES_tradnl"/>
        </w:rPr>
        <w:t>reclamado nunca cantidad alguna</w:t>
      </w:r>
      <w:bookmarkStart w:id="19" w:name="_Hlk98859207"/>
      <w:proofErr w:type="gramEnd"/>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9"/>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tipo de interés remuneratorio de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 xml:space="preserve">para que la comparación sea posible y correcta, el TS exige añadir al TEDR publicado por el Banco de España las comisiones. Solo así se </w:t>
      </w:r>
      <w:r w:rsidRPr="001B0C3B">
        <w:rPr>
          <w:rFonts w:cs="Arial"/>
          <w:b/>
          <w:bCs/>
          <w:sz w:val="22"/>
          <w:szCs w:val="22"/>
          <w:u w:val="single"/>
          <w:lang w:val="es-ES"/>
        </w:rPr>
        <w:lastRenderedPageBreak/>
        <w:t xml:space="preserve">asegura que la comparación se hace entre magnitudes equivalentes,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y no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TEDRs</w:t>
      </w:r>
      <w:proofErr w:type="spellEnd"/>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1B0C3B">
        <w:rPr>
          <w:rFonts w:cs="Arial"/>
          <w:i/>
          <w:iCs/>
          <w:sz w:val="22"/>
          <w:szCs w:val="22"/>
          <w:lang w:val="es-ES"/>
        </w:rPr>
        <w:t>que</w:t>
      </w:r>
      <w:proofErr w:type="gramEnd"/>
      <w:r w:rsidRPr="001B0C3B">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16"/>
      </w:r>
      <w:r w:rsidRPr="001B0C3B">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6036A5EC"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todos aquellos años respecto de </w:t>
      </w:r>
      <w:r w:rsidRPr="001B0C3B">
        <w:rPr>
          <w:rFonts w:cs="Arial"/>
          <w:sz w:val="22"/>
          <w:szCs w:val="22"/>
          <w:lang w:val="es-ES"/>
        </w:rPr>
        <w:lastRenderedPageBreak/>
        <w:t xml:space="preserve">los que existen datos reportados al Banco de España que permiten realizar el cálculo. Acompañamos copia del informe como </w:t>
      </w:r>
      <w:r w:rsidRPr="001B0C3B">
        <w:rPr>
          <w:rFonts w:cs="Arial"/>
          <w:b/>
          <w:bCs/>
          <w:color w:val="00B050"/>
          <w:sz w:val="22"/>
          <w:szCs w:val="22"/>
          <w:lang w:val="es-ES"/>
        </w:rPr>
        <w:t>Documento 2 Contestación</w:t>
      </w:r>
      <w:r w:rsidR="006F3231">
        <w:rPr>
          <w:rFonts w:cs="Arial"/>
          <w:sz w:val="22"/>
          <w:szCs w:val="22"/>
          <w:lang w:val="es-ES"/>
        </w:rPr>
        <w:t>.</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El cálculo que realiza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es ciertamente sencillo. Primero, constata cuáles fueron las </w:t>
      </w:r>
      <w:proofErr w:type="spellStart"/>
      <w:r w:rsidRPr="001B0C3B">
        <w:rPr>
          <w:rFonts w:cs="Arial"/>
          <w:sz w:val="22"/>
          <w:szCs w:val="22"/>
          <w:lang w:val="es-ES"/>
        </w:rPr>
        <w:t>TAEs</w:t>
      </w:r>
      <w:proofErr w:type="spellEnd"/>
      <w:r w:rsidRPr="001B0C3B">
        <w:rPr>
          <w:rFonts w:cs="Arial"/>
          <w:sz w:val="22"/>
          <w:szCs w:val="22"/>
          <w:lang w:val="es-ES"/>
        </w:rPr>
        <w:t xml:space="preserve"> medias de mercado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las comisiones medias que las entidades aplicaron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17"/>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20" w:name="_Hlk129605960"/>
      <w:r w:rsidRPr="001B0C3B">
        <w:rPr>
          <w:noProof/>
          <w:sz w:val="22"/>
          <w:szCs w:val="22"/>
          <w:lang w:val="es-ES" w:eastAsia="es-ES"/>
        </w:rPr>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w:t>
      </w:r>
      <w:proofErr w:type="gramStart"/>
      <w:r w:rsidRPr="001B0C3B">
        <w:rPr>
          <w:rFonts w:cs="Arial"/>
          <w:sz w:val="22"/>
          <w:szCs w:val="22"/>
          <w:highlight w:val="green"/>
          <w:lang w:val="es-ES"/>
        </w:rPr>
        <w:t xml:space="preserve">VERDES </w:t>
      </w:r>
      <w:r w:rsidRPr="001B0C3B">
        <w:rPr>
          <w:rFonts w:cs="Arial"/>
          <w:b/>
          <w:sz w:val="22"/>
          <w:szCs w:val="22"/>
          <w:highlight w:val="green"/>
          <w:lang w:val="es-ES"/>
        </w:rPr>
        <w:t>]</w:t>
      </w:r>
      <w:proofErr w:type="gramEnd"/>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proofErr w:type="spellStart"/>
      <w:r w:rsidRPr="001B0C3B">
        <w:rPr>
          <w:rFonts w:cs="Arial"/>
          <w:sz w:val="22"/>
          <w:szCs w:val="22"/>
          <w:lang w:val="es-ES"/>
        </w:rPr>
        <w:t>año</w:t>
      </w:r>
      <w:proofErr w:type="spellEnd"/>
      <w:r w:rsidRPr="001B0C3B">
        <w:rPr>
          <w:rFonts w:cs="Arial"/>
          <w:sz w:val="22"/>
          <w:szCs w:val="22"/>
          <w:lang w:val="es-ES"/>
        </w:rPr>
        <w:t xml:space="preserve"> </w:t>
      </w:r>
      <w:r w:rsidRPr="001B0C3B">
        <w:rPr>
          <w:rFonts w:cs="Arial"/>
          <w:sz w:val="22"/>
          <w:szCs w:val="22"/>
          <w:highlight w:val="yellow"/>
          <w:lang w:val="es-ES"/>
        </w:rPr>
        <w:t>*AÑO CONTRATACION*</w:t>
      </w:r>
      <w:r w:rsidRPr="001B0C3B">
        <w:rPr>
          <w:rFonts w:cs="Arial"/>
          <w:sz w:val="22"/>
          <w:szCs w:val="22"/>
          <w:lang w:val="es-ES"/>
        </w:rPr>
        <w:t xml:space="preserve">   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55D7FB34" w14:textId="7047A84C"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Pr="001B0C3B">
        <w:rPr>
          <w:rFonts w:cs="Arial"/>
          <w:sz w:val="22"/>
          <w:szCs w:val="22"/>
          <w:highlight w:val="yellow"/>
          <w:lang w:val="es-ES"/>
        </w:rPr>
        <w:t>*TAE MEDIA INFORME</w:t>
      </w:r>
      <w:r w:rsidRPr="001B0C3B">
        <w:rPr>
          <w:rFonts w:cs="Arial"/>
          <w:sz w:val="22"/>
          <w:szCs w:val="22"/>
          <w:lang w:val="es-ES"/>
        </w:rPr>
        <w:t xml:space="preserve">* %)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porque el mercado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w:t>
      </w:r>
      <w:r w:rsidRPr="001B0C3B">
        <w:rPr>
          <w:rFonts w:cs="Arial"/>
          <w:i/>
          <w:iCs/>
          <w:sz w:val="22"/>
          <w:szCs w:val="22"/>
          <w:lang w:val="es-ES"/>
        </w:rPr>
        <w:lastRenderedPageBreak/>
        <w:t xml:space="preserve">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1B0C3B">
        <w:rPr>
          <w:rFonts w:cs="Arial"/>
          <w:i/>
          <w:iCs/>
          <w:sz w:val="22"/>
          <w:szCs w:val="22"/>
          <w:lang w:val="es-ES"/>
        </w:rPr>
        <w:t>revolving</w:t>
      </w:r>
      <w:proofErr w:type="spellEnd"/>
      <w:r w:rsidRPr="001B0C3B">
        <w:rPr>
          <w:rFonts w:cs="Arial"/>
          <w:sz w:val="22"/>
          <w:szCs w:val="22"/>
          <w:lang w:val="es-ES"/>
        </w:rPr>
        <w:t>.</w:t>
      </w:r>
      <w:bookmarkStart w:id="21"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21"/>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lastRenderedPageBreak/>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20"/>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w:t>
      </w:r>
      <w:r w:rsidRPr="001B0C3B">
        <w:rPr>
          <w:rFonts w:cs="Arial"/>
          <w:sz w:val="22"/>
          <w:szCs w:val="22"/>
          <w:lang w:val="es-ES"/>
        </w:rPr>
        <w:lastRenderedPageBreak/>
        <w:t xml:space="preserve">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3C9051FF" w14:textId="5CFBCCCA"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w:t>
      </w:r>
      <w:r w:rsidRPr="001B0C3B">
        <w:rPr>
          <w:rFonts w:cs="Arial"/>
          <w:sz w:val="22"/>
          <w:szCs w:val="22"/>
          <w:lang w:val="es-ES"/>
        </w:rPr>
        <w:lastRenderedPageBreak/>
        <w:t xml:space="preserve">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lastRenderedPageBreak/>
        <w:t xml:space="preserve">No obstante, de manera introductoria, </w:t>
      </w:r>
      <w:proofErr w:type="gramStart"/>
      <w:r w:rsidRPr="001B0C3B">
        <w:rPr>
          <w:rFonts w:cs="Arial"/>
          <w:sz w:val="22"/>
          <w:szCs w:val="22"/>
          <w:lang w:val="es-ES"/>
        </w:rPr>
        <w:t>destacar</w:t>
      </w:r>
      <w:proofErr w:type="gramEnd"/>
      <w:r w:rsidRPr="001B0C3B">
        <w:rPr>
          <w:rFonts w:cs="Arial"/>
          <w:sz w:val="22"/>
          <w:szCs w:val="22"/>
          <w:lang w:val="es-ES"/>
        </w:rPr>
        <w:t xml:space="preserve"> que, como ya indica la doctrina (por ejemplo, el abogado Jesús Sánchez García)</w:t>
      </w:r>
      <w:r w:rsidRPr="001B0C3B">
        <w:rPr>
          <w:rStyle w:val="Refdenotaalpie"/>
          <w:rFonts w:cs="Arial"/>
          <w:sz w:val="22"/>
          <w:szCs w:val="22"/>
          <w:lang w:val="es-ES"/>
        </w:rPr>
        <w:footnoteReference w:id="18"/>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sidRPr="001B0C3B">
        <w:rPr>
          <w:rFonts w:cs="Arial"/>
          <w:sz w:val="22"/>
          <w:szCs w:val="22"/>
          <w:lang w:val="es-ES"/>
        </w:rPr>
        <w:t>que</w:t>
      </w:r>
      <w:proofErr w:type="gramEnd"/>
      <w:r w:rsidRPr="001B0C3B">
        <w:rPr>
          <w:rFonts w:cs="Arial"/>
          <w:sz w:val="22"/>
          <w:szCs w:val="22"/>
          <w:lang w:val="es-ES"/>
        </w:rPr>
        <w:t xml:space="preserve"> no es conforme a Derecho, exigir, por ejemplo, aplicar la Orden EHA/2899/2011 y la Orden 699/2020 a contratos nacidos con anterioridad a la entrada en vigor de esta normativa. En palabras de Jesús </w:t>
      </w:r>
      <w:proofErr w:type="spellStart"/>
      <w:r w:rsidRPr="001B0C3B">
        <w:rPr>
          <w:rFonts w:cs="Arial"/>
          <w:sz w:val="22"/>
          <w:szCs w:val="22"/>
          <w:lang w:val="es-ES"/>
        </w:rPr>
        <w:t>Sanchez</w:t>
      </w:r>
      <w:proofErr w:type="spellEnd"/>
      <w:r w:rsidRPr="001B0C3B">
        <w:rPr>
          <w:rFonts w:cs="Arial"/>
          <w:sz w:val="22"/>
          <w:szCs w:val="22"/>
          <w:lang w:val="es-ES"/>
        </w:rPr>
        <w:t>,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9"/>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20"/>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 xml:space="preserve">Consideraciones preliminares sobre la transparencia. Transparencia no es </w:t>
      </w:r>
      <w:proofErr w:type="spellStart"/>
      <w:r w:rsidRPr="001B0C3B">
        <w:rPr>
          <w:rFonts w:cs="Arial"/>
          <w:b/>
          <w:bCs/>
          <w:sz w:val="22"/>
          <w:szCs w:val="22"/>
          <w:lang w:val="es-ES"/>
        </w:rPr>
        <w:t>abusividad</w:t>
      </w:r>
      <w:proofErr w:type="spellEnd"/>
      <w:r w:rsidRPr="001B0C3B">
        <w:rPr>
          <w:rFonts w:cs="Arial"/>
          <w:b/>
          <w:bCs/>
          <w:sz w:val="22"/>
          <w:szCs w:val="22"/>
          <w:lang w:val="es-ES"/>
        </w:rPr>
        <w:t>.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1B0C3B">
        <w:rPr>
          <w:rFonts w:cs="Arial"/>
          <w:sz w:val="22"/>
          <w:szCs w:val="22"/>
          <w:u w:val="single"/>
          <w:lang w:val="es-ES"/>
        </w:rPr>
        <w:t>abusividad</w:t>
      </w:r>
      <w:proofErr w:type="spellEnd"/>
      <w:r w:rsidRPr="001B0C3B">
        <w:rPr>
          <w:rFonts w:cs="Arial"/>
          <w:sz w:val="22"/>
          <w:szCs w:val="22"/>
          <w:u w:val="single"/>
          <w:lang w:val="es-ES"/>
        </w:rPr>
        <w:t xml:space="preserve"> sino solo al control de transparencia en virtud de lo dispuesto en la Directiva 93/13</w:t>
      </w:r>
      <w:r w:rsidRPr="001B0C3B">
        <w:rPr>
          <w:rStyle w:val="Refdenotaalpie"/>
          <w:rFonts w:cs="Arial"/>
          <w:sz w:val="22"/>
          <w:szCs w:val="22"/>
          <w:u w:val="single"/>
          <w:lang w:val="es-ES"/>
        </w:rPr>
        <w:footnoteReference w:id="21"/>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w:t>
      </w:r>
      <w:proofErr w:type="spellStart"/>
      <w:r w:rsidRPr="001B0C3B">
        <w:rPr>
          <w:rFonts w:cs="Arial"/>
          <w:sz w:val="22"/>
          <w:szCs w:val="22"/>
          <w:lang w:val="es-ES"/>
        </w:rPr>
        <w:t>abusividad</w:t>
      </w:r>
      <w:proofErr w:type="spellEnd"/>
      <w:r w:rsidRPr="001B0C3B">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1B0C3B">
        <w:rPr>
          <w:rFonts w:cs="Arial"/>
          <w:b/>
          <w:bCs/>
          <w:sz w:val="22"/>
          <w:szCs w:val="22"/>
          <w:lang w:val="es-ES"/>
        </w:rPr>
        <w:t xml:space="preserve">jamás puede ser </w:t>
      </w:r>
      <w:proofErr w:type="gramStart"/>
      <w:r w:rsidRPr="001B0C3B">
        <w:rPr>
          <w:rFonts w:cs="Arial"/>
          <w:b/>
          <w:bCs/>
          <w:sz w:val="22"/>
          <w:szCs w:val="22"/>
          <w:lang w:val="es-ES"/>
        </w:rPr>
        <w:t>abusiva</w:t>
      </w:r>
      <w:proofErr w:type="gramEnd"/>
      <w:r w:rsidRPr="001B0C3B">
        <w:rPr>
          <w:rFonts w:cs="Arial"/>
          <w:b/>
          <w:bCs/>
          <w:sz w:val="22"/>
          <w:szCs w:val="22"/>
          <w:lang w:val="es-ES"/>
        </w:rPr>
        <w:t xml:space="preserve"> aunque no sea transparente</w:t>
      </w:r>
      <w:r w:rsidRPr="001B0C3B">
        <w:rPr>
          <w:rStyle w:val="Refdenotaalpie"/>
          <w:rFonts w:cs="Arial"/>
          <w:sz w:val="22"/>
          <w:szCs w:val="22"/>
          <w:lang w:val="es-ES"/>
        </w:rPr>
        <w:footnoteReference w:id="22"/>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1B0C3B">
        <w:rPr>
          <w:rFonts w:cs="Arial"/>
          <w:i/>
          <w:iCs/>
          <w:sz w:val="22"/>
          <w:szCs w:val="22"/>
          <w:lang w:val="es-ES"/>
        </w:rPr>
        <w:t>excusabilidad</w:t>
      </w:r>
      <w:proofErr w:type="spellEnd"/>
      <w:r w:rsidRPr="001B0C3B">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23"/>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24"/>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25"/>
      </w:r>
      <w:r w:rsidRPr="001B0C3B">
        <w:rPr>
          <w:rFonts w:cs="Arial"/>
          <w:sz w:val="22"/>
          <w:szCs w:val="22"/>
          <w:lang w:val="es-ES"/>
        </w:rPr>
        <w:t xml:space="preserve"> y garantiza que la persona que firma el documento no está siendo suplantada por un tercero. C</w:t>
      </w:r>
      <w:proofErr w:type="spellStart"/>
      <w:r w:rsidRPr="001B0C3B">
        <w:rPr>
          <w:rFonts w:cs="Arial"/>
          <w:sz w:val="22"/>
          <w:szCs w:val="22"/>
          <w:lang w:val="es-ES_tradnl"/>
        </w:rPr>
        <w:t>omo</w:t>
      </w:r>
      <w:proofErr w:type="spellEnd"/>
      <w:r w:rsidRPr="001B0C3B">
        <w:rPr>
          <w:rFonts w:cs="Arial"/>
          <w:sz w:val="22"/>
          <w:szCs w:val="22"/>
          <w:lang w:val="es-ES_tradnl"/>
        </w:rPr>
        <w:t xml:space="preserve"> se recoge en el certificado Lleida, </w:t>
      </w:r>
      <w:r w:rsidRPr="001B0C3B">
        <w:rPr>
          <w:rFonts w:cs="Arial"/>
          <w:sz w:val="22"/>
          <w:szCs w:val="22"/>
          <w:lang w:val="es-ES"/>
        </w:rPr>
        <w:t xml:space="preserve">una vez recibida, leída y aceptada toda la información precontractual, el Cliente recibía un </w:t>
      </w:r>
      <w:proofErr w:type="spellStart"/>
      <w:r w:rsidRPr="001B0C3B">
        <w:rPr>
          <w:rFonts w:cs="Arial"/>
          <w:sz w:val="22"/>
          <w:szCs w:val="22"/>
          <w:lang w:val="es-ES"/>
        </w:rPr>
        <w:t>sms</w:t>
      </w:r>
      <w:proofErr w:type="spellEnd"/>
      <w:r w:rsidRPr="001B0C3B">
        <w:rPr>
          <w:rFonts w:cs="Arial"/>
          <w:sz w:val="22"/>
          <w:szCs w:val="22"/>
          <w:lang w:val="es-ES"/>
        </w:rPr>
        <w:t xml:space="preserve">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drawing>
          <wp:anchor distT="0" distB="0" distL="114300" distR="114300" simplePos="0" relativeHeight="251662336" behindDoc="0" locked="0" layoutInCell="1" allowOverlap="1" wp14:anchorId="1A9DB238" wp14:editId="13E1A659">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126DA863">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1B0C3B" w:rsidRDefault="007B1C0F" w:rsidP="007B1C0F">
      <w:pPr>
        <w:pStyle w:val="Body1"/>
        <w:spacing w:before="120" w:after="240" w:line="360" w:lineRule="auto"/>
        <w:jc w:val="center"/>
        <w:rPr>
          <w:rFonts w:cs="Arial"/>
          <w:sz w:val="22"/>
          <w:szCs w:val="22"/>
          <w:highlight w:val="cyan"/>
          <w:lang w:val="pt-PT"/>
        </w:rPr>
      </w:pPr>
      <w:r w:rsidRPr="001B0C3B">
        <w:rPr>
          <w:rFonts w:cs="Arial"/>
          <w:sz w:val="22"/>
          <w:szCs w:val="22"/>
          <w:highlight w:val="cyan"/>
          <w:lang w:val="pt-PT"/>
        </w:rPr>
        <w:t>***TRANSCRIBIMOS LA CLAUSULA***</w:t>
      </w:r>
    </w:p>
    <w:p w14:paraId="59D59006" w14:textId="77777777" w:rsidR="007B4024" w:rsidRPr="001B0C3B" w:rsidRDefault="007B4024" w:rsidP="007B1C0F">
      <w:pPr>
        <w:pStyle w:val="Body1"/>
        <w:spacing w:before="120" w:after="240" w:line="360" w:lineRule="auto"/>
        <w:jc w:val="center"/>
        <w:rPr>
          <w:rFonts w:cs="Arial"/>
          <w:sz w:val="22"/>
          <w:szCs w:val="22"/>
          <w:highlight w:val="cyan"/>
          <w:lang w:val="pt-PT"/>
        </w:rPr>
      </w:pPr>
    </w:p>
    <w:p w14:paraId="57E5B0D2" w14:textId="5494C7E1" w:rsidR="007B1C0F" w:rsidRPr="001B0C3B" w:rsidRDefault="007B1C0F" w:rsidP="007B1C0F">
      <w:pPr>
        <w:pStyle w:val="Body1"/>
        <w:spacing w:line="360" w:lineRule="auto"/>
        <w:rPr>
          <w:rFonts w:cs="Arial"/>
          <w:sz w:val="22"/>
          <w:szCs w:val="22"/>
          <w:lang w:val="es-ES"/>
        </w:rPr>
      </w:pPr>
      <w:r w:rsidRPr="001B0C3B">
        <w:rPr>
          <w:rFonts w:cs="Arial"/>
          <w:sz w:val="22"/>
          <w:szCs w:val="22"/>
          <w:highlight w:val="yellow"/>
          <w:lang w:val="pt-PT"/>
        </w:rPr>
        <w:t xml:space="preserve">ANEXO. Tipo Nominal Anual para Compras: </w:t>
      </w:r>
      <w:r w:rsidR="00A04892">
        <w:rPr>
          <w:rFonts w:cs="Arial"/>
          <w:sz w:val="22"/>
          <w:szCs w:val="22"/>
          <w:highlight w:val="yellow"/>
          <w:lang w:val="pt-PT"/>
        </w:rPr>
        <w:fldChar w:fldCharType="begin"/>
      </w:r>
      <w:r w:rsidR="00A04892">
        <w:rPr>
          <w:rFonts w:cs="Arial"/>
          <w:sz w:val="22"/>
          <w:szCs w:val="22"/>
          <w:highlight w:val="yellow"/>
          <w:lang w:val="pt-PT"/>
        </w:rPr>
        <w:instrText>persovalores_personalizable172</w:instrText>
      </w:r>
      <w:r w:rsidR="00A04892">
        <w:rPr>
          <w:rFonts w:cs="Arial"/>
          <w:sz w:val="22"/>
          <w:szCs w:val="22"/>
          <w:highlight w:val="yellow"/>
          <w:lang w:val="pt-PT"/>
        </w:rPr>
        <w:fldChar w:fldCharType="separate"/>
      </w:r>
      <w:r w:rsidR="00A04892">
        <w:rPr>
          <w:rFonts w:cs="Arial"/>
          <w:noProof/>
          <w:sz w:val="22"/>
          <w:szCs w:val="22"/>
          <w:highlight w:val="yellow"/>
          <w:lang w:val="pt-PT"/>
        </w:rPr>
        <w:t>«WIZINK_TIN»</w:t>
      </w:r>
      <w:r w:rsidR="00A04892">
        <w:rPr>
          <w:rFonts w:cs="Arial"/>
          <w:sz w:val="22"/>
          <w:szCs w:val="22"/>
          <w:highlight w:val="yellow"/>
          <w:lang w:val="pt-PT"/>
        </w:rPr>
        <w:fldChar w:fldCharType="end"/>
      </w:r>
      <w:r w:rsidR="00A04892">
        <w:rPr>
          <w:rFonts w:cs="Arial"/>
          <w:sz w:val="22"/>
          <w:szCs w:val="22"/>
          <w:highlight w:val="yellow"/>
          <w:lang w:val="pt-PT"/>
        </w:rPr>
        <w:t xml:space="preserve"> </w:t>
      </w:r>
      <w:r w:rsidRPr="001B0C3B">
        <w:rPr>
          <w:rFonts w:cs="Arial"/>
          <w:sz w:val="22"/>
          <w:szCs w:val="22"/>
          <w:highlight w:val="yellow"/>
          <w:lang w:val="pt-PT"/>
        </w:rPr>
        <w:t xml:space="preserve">%. </w:t>
      </w:r>
      <w:r w:rsidRPr="001B0C3B">
        <w:rPr>
          <w:rFonts w:cs="Arial"/>
          <w:sz w:val="22"/>
          <w:szCs w:val="22"/>
          <w:highlight w:val="yellow"/>
          <w:lang w:val="es-ES"/>
        </w:rPr>
        <w:t xml:space="preserve">T.A.E: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 xml:space="preserve">%. Tipo Nominal Anual para Disposiciones de efectivo y transferencias: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persovalores_personalizable172</w:instrText>
      </w:r>
      <w:r w:rsidR="00A04892">
        <w:rPr>
          <w:rFonts w:cs="Arial"/>
          <w:sz w:val="22"/>
          <w:szCs w:val="22"/>
          <w:highlight w:val="yellow"/>
          <w:lang w:val="es-ES"/>
        </w:rPr>
        <w:fldChar w:fldCharType="separate"/>
      </w:r>
      <w:r w:rsidR="00A04892">
        <w:rPr>
          <w:rFonts w:cs="Arial"/>
          <w:noProof/>
          <w:sz w:val="22"/>
          <w:szCs w:val="22"/>
          <w:highlight w:val="yellow"/>
          <w:lang w:val="es-ES"/>
        </w:rPr>
        <w:t>«WIZINK_TIN»</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 xml:space="preserve">%. T.A.E: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00A04892">
        <w:rPr>
          <w:rFonts w:cs="Arial"/>
          <w:sz w:val="22"/>
          <w:szCs w:val="22"/>
          <w:lang w:val="es-ES"/>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lastRenderedPageBreak/>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26"/>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27"/>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lastRenderedPageBreak/>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23584A75" w14:textId="734FE9A2" w:rsidR="00B10C86" w:rsidRPr="001B0C3B" w:rsidRDefault="00B10C86" w:rsidP="006B1F36">
      <w:pPr>
        <w:pStyle w:val="Body1"/>
        <w:spacing w:line="360" w:lineRule="auto"/>
        <w:rPr>
          <w:rFonts w:eastAsia="Calibri" w:cs="Arial"/>
          <w:sz w:val="22"/>
          <w:szCs w:val="22"/>
          <w:lang w:val="es-ES_tradnl" w:eastAsia="en-US"/>
        </w:rPr>
      </w:pPr>
      <w:r w:rsidRPr="00B10C86">
        <w:rPr>
          <w:rFonts w:eastAsia="Calibri" w:cs="Arial"/>
          <w:sz w:val="22"/>
          <w:szCs w:val="22"/>
          <w:highlight w:val="green"/>
          <w:lang w:val="es-ES_tradnl" w:eastAsia="en-US"/>
        </w:rPr>
        <w:t>[FIN]</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0331A2F6" w14:textId="77777777"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28"/>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7A047AA7" w14:textId="550BD15E" w:rsidR="00BD0777" w:rsidRPr="001B0C3B"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TENEMOS REGLAMENTO BLANQUEADO]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certificado del Grupo </w:t>
      </w:r>
      <w:proofErr w:type="spellStart"/>
      <w:r w:rsidRPr="001B0C3B">
        <w:rPr>
          <w:rFonts w:eastAsia="Calibri" w:cs="Arial"/>
          <w:sz w:val="22"/>
          <w:szCs w:val="22"/>
          <w:lang w:val="es-ES_tradnl" w:eastAsia="en-US"/>
        </w:rPr>
        <w:t>Raiz</w:t>
      </w:r>
      <w:proofErr w:type="spellEnd"/>
      <w:r w:rsidRPr="001B0C3B">
        <w:rPr>
          <w:rStyle w:val="Refdenotaalpie"/>
          <w:rFonts w:eastAsia="Calibri" w:cs="Arial"/>
          <w:sz w:val="22"/>
          <w:szCs w:val="22"/>
          <w:lang w:val="es-ES_tradnl" w:eastAsia="en-US"/>
        </w:rPr>
        <w:footnoteReference w:id="29"/>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w:t>
      </w:r>
      <w:proofErr w:type="gramStart"/>
      <w:r w:rsidRPr="001B0C3B">
        <w:rPr>
          <w:rFonts w:eastAsia="Calibri" w:cs="Arial"/>
          <w:sz w:val="22"/>
          <w:szCs w:val="22"/>
          <w:lang w:val="es-ES_tradnl" w:eastAsia="en-US"/>
        </w:rPr>
        <w:t>que</w:t>
      </w:r>
      <w:proofErr w:type="gramEnd"/>
      <w:r w:rsidRPr="001B0C3B">
        <w:rPr>
          <w:rFonts w:eastAsia="Calibri" w:cs="Arial"/>
          <w:sz w:val="22"/>
          <w:szCs w:val="22"/>
          <w:lang w:val="es-ES_tradnl" w:eastAsia="en-US"/>
        </w:rPr>
        <w:t xml:space="preserve">, a los efectos de la transparencia, aportamos como </w:t>
      </w:r>
      <w:r w:rsidRPr="001B0C3B">
        <w:rPr>
          <w:rFonts w:eastAsia="Calibri" w:cs="Arial"/>
          <w:b/>
          <w:bCs/>
          <w:color w:val="00B050"/>
          <w:sz w:val="22"/>
          <w:szCs w:val="22"/>
          <w:lang w:val="es-ES_tradnl" w:eastAsia="en-US"/>
        </w:rPr>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1B0C3B">
        <w:rPr>
          <w:rFonts w:eastAsia="Calibri" w:cs="Arial"/>
          <w:sz w:val="22"/>
          <w:szCs w:val="22"/>
          <w:highlight w:val="green"/>
          <w:lang w:val="es-ES_tradnl" w:eastAsia="en-US"/>
        </w:rPr>
        <w:t>dinero</w:t>
      </w:r>
      <w:proofErr w:type="gramEnd"/>
      <w:r w:rsidRPr="001B0C3B">
        <w:rPr>
          <w:rFonts w:eastAsia="Calibri" w:cs="Arial"/>
          <w:sz w:val="22"/>
          <w:szCs w:val="22"/>
          <w:highlight w:val="green"/>
          <w:lang w:val="es-ES_tradnl" w:eastAsia="en-US"/>
        </w:rPr>
        <w:t xml:space="preserve">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proofErr w:type="gramStart"/>
      <w:r w:rsidR="00A04892" w:rsidRPr="00A04892">
        <w:rPr>
          <w:rFonts w:eastAsia="Calibri" w:cs="Arial"/>
          <w:sz w:val="22"/>
          <w:szCs w:val="22"/>
          <w:highlight w:val="cyan"/>
          <w:lang w:val="es-ES_tradnl" w:eastAsia="en-US"/>
        </w:rPr>
        <w:t>]</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w:t>
      </w:r>
      <w:proofErr w:type="gramEnd"/>
      <w:r w:rsidRPr="001B0C3B">
        <w:rPr>
          <w:rFonts w:eastAsia="Calibri" w:cs="Arial"/>
          <w:b/>
          <w:sz w:val="22"/>
          <w:szCs w:val="22"/>
          <w:lang w:val="es-ES_tradnl" w:eastAsia="en-US"/>
        </w:rPr>
        <w:t xml:space="preserv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30"/>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31"/>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y que la información proporcionada al consumidor cumple estrictamente lo dispuesto en dicha Ley</w:t>
      </w:r>
      <w:r w:rsidRPr="001B0C3B">
        <w:rPr>
          <w:rStyle w:val="Refdenotaalpie"/>
          <w:rFonts w:eastAsia="Calibri" w:cs="Arial"/>
          <w:sz w:val="22"/>
          <w:szCs w:val="22"/>
          <w:lang w:val="es-ES_tradnl" w:eastAsia="en-US"/>
        </w:rPr>
        <w:footnoteReference w:id="32"/>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33"/>
      </w:r>
      <w:r w:rsidRPr="001B0C3B">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34"/>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35"/>
      </w:r>
      <w:r w:rsidRPr="001B0C3B">
        <w:rPr>
          <w:rFonts w:eastAsia="Calibri" w:cs="Arial"/>
          <w:sz w:val="22"/>
          <w:szCs w:val="22"/>
          <w:lang w:val="es-ES_tradnl" w:eastAsia="en-US"/>
        </w:rPr>
        <w:t>, o que “</w:t>
      </w:r>
      <w:r w:rsidRPr="001B0C3B">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1B0C3B">
        <w:rPr>
          <w:rStyle w:val="Refdenotaalpie"/>
          <w:rFonts w:eastAsia="Calibri" w:cs="Arial"/>
          <w:i/>
          <w:iCs/>
          <w:sz w:val="22"/>
          <w:szCs w:val="22"/>
          <w:lang w:val="es-ES_tradnl" w:eastAsia="en-US"/>
        </w:rPr>
        <w:footnoteReference w:id="36"/>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 xml:space="preserve">acreditan que hay que huir de las condiciones o situaciones particulares que puedan afectar a cada Cliente y centrarse exclusivamente en la información o conocimiento </w:t>
      </w:r>
      <w:r w:rsidRPr="001B0C3B">
        <w:rPr>
          <w:rFonts w:eastAsia="Calibri" w:cs="Arial"/>
          <w:sz w:val="22"/>
          <w:szCs w:val="22"/>
          <w:lang w:val="es-ES_tradnl" w:eastAsia="en-US"/>
        </w:rPr>
        <w:lastRenderedPageBreak/>
        <w:t>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Al estar hablando de un criterio objetivo de consumidor medio, y no de un criterio subjetivo</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38"/>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1B0C3B">
        <w:rPr>
          <w:rStyle w:val="Refdenotaalpie"/>
          <w:rFonts w:eastAsia="Calibri" w:cs="Arial"/>
          <w:sz w:val="22"/>
          <w:szCs w:val="22"/>
          <w:lang w:val="es-ES_tradnl" w:eastAsia="en-US"/>
        </w:rPr>
        <w:footnoteReference w:id="39"/>
      </w:r>
      <w:r w:rsidRPr="001B0C3B">
        <w:rPr>
          <w:rFonts w:eastAsia="Calibri" w:cs="Arial"/>
          <w:sz w:val="22"/>
          <w:szCs w:val="22"/>
          <w:lang w:val="es-ES_tradnl" w:eastAsia="en-US"/>
        </w:rPr>
        <w:t xml:space="preserve">; las diferentes modalidades de uso de la tarjeta; y las </w:t>
      </w:r>
      <w:r w:rsidRPr="001B0C3B">
        <w:rPr>
          <w:rFonts w:eastAsia="Calibri" w:cs="Arial"/>
          <w:sz w:val="22"/>
          <w:szCs w:val="22"/>
          <w:lang w:val="es-ES_tradnl" w:eastAsia="en-US"/>
        </w:rPr>
        <w:lastRenderedPageBreak/>
        <w:t>condiciones de pago aplicables en función de la modalidad por la que se opte. Como exigen el Tribunal Supremo</w:t>
      </w:r>
      <w:r w:rsidRPr="001B0C3B">
        <w:rPr>
          <w:rStyle w:val="Refdenotaalpie"/>
          <w:rFonts w:eastAsia="Calibri" w:cs="Arial"/>
          <w:sz w:val="22"/>
          <w:szCs w:val="22"/>
          <w:lang w:val="es-ES_tradnl" w:eastAsia="en-US"/>
        </w:rPr>
        <w:footnoteReference w:id="40"/>
      </w:r>
      <w:r w:rsidRPr="001B0C3B">
        <w:rPr>
          <w:rFonts w:eastAsia="Calibri" w:cs="Arial"/>
          <w:sz w:val="22"/>
          <w:szCs w:val="22"/>
          <w:lang w:val="es-ES_tradnl" w:eastAsia="en-US"/>
        </w:rPr>
        <w:t xml:space="preserve"> y el TJUE es necesario que “</w:t>
      </w:r>
      <w:r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41"/>
      </w:r>
      <w:r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el tipo de interés remuneratorio (la TAE) aplicable a cada operación (compras, disposiciones de efectivo y 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42"/>
      </w:r>
      <w:r w:rsidRPr="001B0C3B">
        <w:rPr>
          <w:rFonts w:eastAsia="Calibri" w:cs="Arial"/>
          <w:sz w:val="22"/>
          <w:szCs w:val="22"/>
          <w:lang w:val="es-ES_tradnl" w:eastAsia="en-US"/>
        </w:rPr>
        <w:t>;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el capital que amortice vuelve a estar disponible hasta el límite máximo concedido, de ahí el nombre del producto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y que la relación contractual se configure como de duración indefinida.</w:t>
      </w:r>
    </w:p>
    <w:p w14:paraId="53D9A2C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43"/>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lastRenderedPageBreak/>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1B0C3B">
        <w:rPr>
          <w:rFonts w:eastAsia="Calibri" w:cs="Arial"/>
          <w:sz w:val="22"/>
          <w:szCs w:val="22"/>
          <w:lang w:val="es-ES_tradnl" w:eastAsia="en-US"/>
        </w:rPr>
        <w:t>postcontractual</w:t>
      </w:r>
      <w:proofErr w:type="spellEnd"/>
      <w:r w:rsidRPr="001B0C3B">
        <w:rPr>
          <w:rFonts w:eastAsia="Calibri" w:cs="Arial"/>
          <w:sz w:val="22"/>
          <w:szCs w:val="22"/>
          <w:lang w:val="es-ES_tradnl" w:eastAsia="en-US"/>
        </w:rPr>
        <w:t xml:space="preserve">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Wizink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Wizink realiza los denominados controles </w:t>
      </w:r>
      <w:proofErr w:type="spellStart"/>
      <w:r w:rsidRPr="001B0C3B">
        <w:rPr>
          <w:rFonts w:eastAsia="Calibri" w:cs="Arial"/>
          <w:i/>
          <w:iCs/>
          <w:sz w:val="22"/>
          <w:szCs w:val="22"/>
          <w:lang w:val="es-ES_tradnl" w:eastAsia="en-US"/>
        </w:rPr>
        <w:t>mystery</w:t>
      </w:r>
      <w:proofErr w:type="spellEnd"/>
      <w:r w:rsidRPr="001B0C3B">
        <w:rPr>
          <w:rFonts w:eastAsia="Calibri" w:cs="Arial"/>
          <w:i/>
          <w:iCs/>
          <w:sz w:val="22"/>
          <w:szCs w:val="22"/>
          <w:lang w:val="es-ES_tradnl" w:eastAsia="en-US"/>
        </w:rPr>
        <w:t xml:space="preserve"> </w:t>
      </w:r>
      <w:proofErr w:type="spellStart"/>
      <w:r w:rsidRPr="001B0C3B">
        <w:rPr>
          <w:rFonts w:eastAsia="Calibri" w:cs="Arial"/>
          <w:i/>
          <w:iCs/>
          <w:sz w:val="22"/>
          <w:szCs w:val="22"/>
          <w:lang w:val="es-ES_tradnl" w:eastAsia="en-US"/>
        </w:rPr>
        <w:t>shopper</w:t>
      </w:r>
      <w:proofErr w:type="spellEnd"/>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xml:space="preserve">, y tras la entrada en vigor de la Ley de Créditos al Consumo el 24 de septiembre de 2011, Wizink facilitó a sus clientes la “Información normalizada </w:t>
      </w:r>
      <w:proofErr w:type="gramStart"/>
      <w:r w:rsidRPr="001B0C3B">
        <w:rPr>
          <w:rFonts w:eastAsia="Calibri" w:cs="Arial"/>
          <w:sz w:val="22"/>
          <w:szCs w:val="22"/>
          <w:lang w:val="es-ES_tradnl" w:eastAsia="en-US"/>
        </w:rPr>
        <w:t>Europea</w:t>
      </w:r>
      <w:proofErr w:type="gramEnd"/>
      <w:r w:rsidRPr="001B0C3B">
        <w:rPr>
          <w:rFonts w:eastAsia="Calibri" w:cs="Arial"/>
          <w:sz w:val="22"/>
          <w:szCs w:val="22"/>
          <w:lang w:val="es-ES_tradnl" w:eastAsia="en-US"/>
        </w:rPr>
        <w:t xml:space="preserve"> sobre Crédito al Consumo”</w:t>
      </w:r>
      <w:r w:rsidRPr="001B0C3B">
        <w:rPr>
          <w:rStyle w:val="Refdenotaalpie"/>
          <w:rFonts w:eastAsia="Calibri" w:cs="Arial"/>
          <w:sz w:val="22"/>
          <w:szCs w:val="22"/>
          <w:lang w:val="es-ES_tradnl" w:eastAsia="en-US"/>
        </w:rPr>
        <w:footnoteReference w:id="44"/>
      </w:r>
      <w:r w:rsidRPr="001B0C3B">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No </w:t>
      </w:r>
      <w:proofErr w:type="gramStart"/>
      <w:r w:rsidRPr="001B0C3B">
        <w:rPr>
          <w:rFonts w:eastAsia="Calibri" w:cs="Arial"/>
          <w:sz w:val="22"/>
          <w:szCs w:val="22"/>
          <w:lang w:val="es-ES_tradnl" w:eastAsia="en-US"/>
        </w:rPr>
        <w:t>obstante</w:t>
      </w:r>
      <w:proofErr w:type="gramEnd"/>
      <w:r w:rsidRPr="001B0C3B">
        <w:rPr>
          <w:rFonts w:eastAsia="Calibri" w:cs="Arial"/>
          <w:sz w:val="22"/>
          <w:szCs w:val="22"/>
          <w:lang w:val="es-ES_tradnl" w:eastAsia="en-US"/>
        </w:rPr>
        <w:t xml:space="preserv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1B0C3B">
        <w:rPr>
          <w:rFonts w:eastAsia="Calibri" w:cs="Arial"/>
          <w:i/>
          <w:iCs/>
          <w:sz w:val="22"/>
          <w:szCs w:val="22"/>
          <w:lang w:val="es-ES" w:eastAsia="en-US"/>
        </w:rPr>
        <w:t>el test</w:t>
      </w:r>
      <w:proofErr w:type="gramEnd"/>
      <w:r w:rsidRPr="001B0C3B">
        <w:rPr>
          <w:rFonts w:eastAsia="Calibri" w:cs="Arial"/>
          <w:i/>
          <w:iCs/>
          <w:sz w:val="22"/>
          <w:szCs w:val="22"/>
          <w:lang w:val="es-ES" w:eastAsia="en-US"/>
        </w:rPr>
        <w:t xml:space="preserve"> de transparencia puede facilitarse en el propio contrato</w:t>
      </w:r>
      <w:r w:rsidRPr="001B0C3B">
        <w:rPr>
          <w:rStyle w:val="Refdenotaalpie"/>
          <w:rFonts w:eastAsia="Calibri" w:cs="Arial"/>
          <w:sz w:val="22"/>
          <w:szCs w:val="22"/>
          <w:lang w:val="es-ES" w:eastAsia="en-US"/>
        </w:rPr>
        <w:footnoteReference w:id="45"/>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la cantidad de dinero máxima al mes a su disposición,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el importe del crédito efectivamente dispuesto;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1B0C3B">
        <w:rPr>
          <w:rFonts w:eastAsia="Calibri" w:cs="Arial"/>
          <w:sz w:val="22"/>
          <w:szCs w:val="22"/>
          <w:lang w:val="es-ES_tradnl" w:eastAsia="en-US"/>
        </w:rPr>
        <w:t>es</w:t>
      </w:r>
      <w:proofErr w:type="gramEnd"/>
      <w:r w:rsidRPr="001B0C3B">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w:t>
      </w:r>
      <w:r w:rsidRPr="001B0C3B">
        <w:rPr>
          <w:rFonts w:eastAsia="Calibri" w:cs="Arial"/>
          <w:sz w:val="22"/>
          <w:szCs w:val="22"/>
          <w:lang w:val="es-ES_tradnl" w:eastAsia="en-US"/>
        </w:rPr>
        <w:lastRenderedPageBreak/>
        <w:t xml:space="preserve">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proofErr w:type="gramStart"/>
      <w:r w:rsidRPr="001B0C3B">
        <w:rPr>
          <w:rFonts w:cs="Arial"/>
          <w:b/>
          <w:bCs/>
          <w:caps/>
          <w:sz w:val="22"/>
          <w:szCs w:val="22"/>
          <w:lang w:val="es-ES_tradnl"/>
        </w:rPr>
        <w:t>TERCERO.–</w:t>
      </w:r>
      <w:proofErr w:type="gramEnd"/>
      <w:r w:rsidRPr="001B0C3B">
        <w:rPr>
          <w:rFonts w:cs="Arial"/>
          <w:b/>
          <w:bCs/>
          <w:caps/>
          <w:sz w:val="22"/>
          <w:szCs w:val="22"/>
          <w:lang w:val="es-ES_tradnl"/>
        </w:rPr>
        <w:t xml:space="preserve">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1B0C3B">
        <w:rPr>
          <w:rFonts w:eastAsia="Book Antiqua" w:cs="Arial"/>
          <w:sz w:val="22"/>
          <w:szCs w:val="22"/>
          <w:lang w:val="es-ES"/>
        </w:rPr>
        <w:t>que</w:t>
      </w:r>
      <w:proofErr w:type="gramEnd"/>
      <w:r w:rsidRPr="001B0C3B">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w:t>
      </w:r>
      <w:r w:rsidRPr="001B0C3B">
        <w:rPr>
          <w:rFonts w:eastAsia="Book Antiqua" w:cs="Arial"/>
          <w:sz w:val="22"/>
          <w:szCs w:val="22"/>
          <w:lang w:val="es-ES"/>
        </w:rPr>
        <w:lastRenderedPageBreak/>
        <w:t xml:space="preserve">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Así, lo cierto es que las comisiones aplicadas por mi mandante en concepto de cuota </w:t>
      </w:r>
      <w:proofErr w:type="gramStart"/>
      <w:r w:rsidRPr="001B0C3B">
        <w:rPr>
          <w:rFonts w:eastAsia="Calibri" w:cs="Arial"/>
          <w:sz w:val="22"/>
          <w:szCs w:val="22"/>
          <w:lang w:val="es-ES_tradnl" w:eastAsia="en-US"/>
        </w:rPr>
        <w:t>impagada,</w:t>
      </w:r>
      <w:proofErr w:type="gramEnd"/>
      <w:r w:rsidRPr="001B0C3B">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lastRenderedPageBreak/>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w:t>
      </w:r>
      <w:proofErr w:type="spellStart"/>
      <w:r w:rsidRPr="001B0C3B">
        <w:rPr>
          <w:rFonts w:eastAsia="Calibri" w:cs="Arial"/>
          <w:sz w:val="22"/>
          <w:szCs w:val="22"/>
          <w:highlight w:val="green"/>
          <w:lang w:val="es-ES_tradnl" w:eastAsia="en-US"/>
        </w:rPr>
        <w:t>jump</w:t>
      </w:r>
      <w:proofErr w:type="spellEnd"/>
      <w:r w:rsidRPr="001B0C3B">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sms</w:t>
      </w:r>
      <w:proofErr w:type="spellEnd"/>
      <w:r w:rsidRPr="001B0C3B">
        <w:rPr>
          <w:rFonts w:eastAsia="Calibri" w:cs="Arial"/>
          <w:sz w:val="22"/>
          <w:szCs w:val="22"/>
          <w:lang w:val="es-ES_tradnl" w:eastAsia="en-US"/>
        </w:rPr>
        <w:t xml:space="preserve">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 este modo, se trata de que el cliente no salga perjudicado por la aplicación de la comisión por posiciones </w:t>
      </w:r>
      <w:proofErr w:type="gramStart"/>
      <w:r w:rsidRPr="001B0C3B">
        <w:rPr>
          <w:rFonts w:eastAsia="Calibri" w:cs="Arial"/>
          <w:sz w:val="22"/>
          <w:szCs w:val="22"/>
          <w:lang w:val="es-ES_tradnl" w:eastAsia="en-US"/>
        </w:rPr>
        <w:t>deudoras</w:t>
      </w:r>
      <w:proofErr w:type="gramEnd"/>
      <w:r w:rsidRPr="001B0C3B">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w:t>
      </w:r>
      <w:r w:rsidRPr="001B0C3B">
        <w:rPr>
          <w:rFonts w:cs="Arial"/>
          <w:sz w:val="22"/>
          <w:szCs w:val="22"/>
          <w:lang w:val="es-ES_tradnl"/>
        </w:rPr>
        <w:lastRenderedPageBreak/>
        <w:t xml:space="preserve">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proofErr w:type="spellStart"/>
      <w:r w:rsidRPr="001B0C3B">
        <w:rPr>
          <w:rFonts w:ascii="Arial" w:eastAsia="Arial Unicode MS" w:hAnsi="Arial" w:cs="Arial"/>
          <w:i/>
          <w:iCs/>
          <w:sz w:val="22"/>
          <w:szCs w:val="22"/>
          <w:lang w:eastAsia="en-GB"/>
        </w:rPr>
        <w:t>dies</w:t>
      </w:r>
      <w:proofErr w:type="spellEnd"/>
      <w:r w:rsidRPr="001B0C3B">
        <w:rPr>
          <w:rFonts w:ascii="Arial" w:eastAsia="Arial Unicode MS" w:hAnsi="Arial" w:cs="Arial"/>
          <w:i/>
          <w:iCs/>
          <w:sz w:val="22"/>
          <w:szCs w:val="22"/>
          <w:lang w:eastAsia="en-GB"/>
        </w:rPr>
        <w:t xml:space="preserve">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desde que pueda 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Por su parte, el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sentaron las bases para declarar abusivas determinadas cláusulas del contrato y, en concreto, ésta última fijó el contexto normativo de aplicación de la Ley de represión de la usura, la reciente doctrina del TJUE considera que la publicación de una sentencia no es hito suficiente como para acreditar el conocimiento efectivo de un consumidor medio</w:t>
      </w:r>
      <w:r w:rsidRPr="001B0C3B">
        <w:rPr>
          <w:rStyle w:val="Refdenotaalpie"/>
          <w:rFonts w:cs="Arial"/>
          <w:sz w:val="22"/>
          <w:szCs w:val="22"/>
          <w:lang w:val="es-ES"/>
        </w:rPr>
        <w:footnoteReference w:id="46"/>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lastRenderedPageBreak/>
        <w:t xml:space="preserve">No obstante, lo anterior, nadie podrá negar que dichas sentencias supusieron un antes y un después en la litigación financiera con consumidores en materia de transparencia y </w:t>
      </w:r>
      <w:proofErr w:type="spellStart"/>
      <w:r w:rsidRPr="001B0C3B">
        <w:rPr>
          <w:rFonts w:cs="Arial"/>
          <w:sz w:val="22"/>
          <w:szCs w:val="22"/>
          <w:lang w:val="es-ES"/>
        </w:rPr>
        <w:t>abusividad</w:t>
      </w:r>
      <w:proofErr w:type="spellEnd"/>
      <w:r w:rsidRPr="001B0C3B">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1B0C3B">
        <w:rPr>
          <w:rFonts w:cs="Arial"/>
          <w:b/>
          <w:bCs/>
          <w:i/>
          <w:iCs/>
          <w:sz w:val="22"/>
          <w:szCs w:val="22"/>
          <w:u w:val="single"/>
          <w:lang w:val="es-ES"/>
        </w:rPr>
        <w:t>dies</w:t>
      </w:r>
      <w:proofErr w:type="spellEnd"/>
      <w:r w:rsidRPr="001B0C3B">
        <w:rPr>
          <w:rFonts w:cs="Arial"/>
          <w:b/>
          <w:bCs/>
          <w:i/>
          <w:iCs/>
          <w:sz w:val="22"/>
          <w:szCs w:val="22"/>
          <w:u w:val="single"/>
          <w:lang w:val="es-ES"/>
        </w:rPr>
        <w:t xml:space="preserve">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 xml:space="preserve">han ido preparando el terreno para la conciencia colectiva de una posible </w:t>
      </w:r>
      <w:proofErr w:type="spellStart"/>
      <w:r w:rsidRPr="001B0C3B">
        <w:rPr>
          <w:rFonts w:cs="Arial"/>
          <w:b/>
          <w:bCs/>
          <w:sz w:val="22"/>
          <w:szCs w:val="22"/>
          <w:lang w:val="es-ES"/>
        </w:rPr>
        <w:t>abusividad</w:t>
      </w:r>
      <w:proofErr w:type="spellEnd"/>
      <w:r w:rsidRPr="001B0C3B">
        <w:rPr>
          <w:rFonts w:cs="Arial"/>
          <w:sz w:val="22"/>
          <w:szCs w:val="22"/>
          <w:lang w:val="es-ES"/>
        </w:rPr>
        <w:t xml:space="preserve">, se puede afirmar sin género de dudas que 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3"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3"/>
      <w:r w:rsidRPr="001B0C3B">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1B0C3B">
        <w:rPr>
          <w:rFonts w:cs="Arial"/>
          <w:sz w:val="22"/>
          <w:szCs w:val="22"/>
          <w:lang w:val="es-ES_tradnl"/>
        </w:rPr>
        <w:t>abusividad</w:t>
      </w:r>
      <w:proofErr w:type="spellEnd"/>
      <w:r w:rsidRPr="001B0C3B">
        <w:rPr>
          <w:rFonts w:cs="Arial"/>
          <w:sz w:val="22"/>
          <w:szCs w:val="22"/>
          <w:lang w:val="es-ES_tradnl"/>
        </w:rPr>
        <w:t xml:space="preserve">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47"/>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1D5B1B1D" w14:textId="77777777"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lastRenderedPageBreak/>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xml:space="preserve">, las resoluciones judiciales declarando la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Por otro lado, la creación de los Juzgados especializados fue objeto de 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3ACD7F15" w14:textId="77777777" w:rsidR="006F3231" w:rsidRPr="00605F61" w:rsidRDefault="006F3231" w:rsidP="006F3231">
      <w:pPr>
        <w:widowControl w:val="0"/>
        <w:autoSpaceDE w:val="0"/>
        <w:autoSpaceDN w:val="0"/>
        <w:adjustRightInd w:val="0"/>
        <w:spacing w:after="210" w:line="360" w:lineRule="auto"/>
        <w:rPr>
          <w:rFonts w:cs="Arial"/>
          <w:bCs/>
          <w:sz w:val="22"/>
          <w:szCs w:val="22"/>
          <w:lang w:val="es-ES_tradnl"/>
        </w:rPr>
      </w:pPr>
      <w:r w:rsidRPr="00605F61">
        <w:rPr>
          <w:rFonts w:cs="Arial"/>
          <w:bCs/>
          <w:sz w:val="22"/>
          <w:szCs w:val="22"/>
          <w:lang w:val="es-ES_tradnl"/>
        </w:rPr>
        <w:t xml:space="preserve">Y, tal y como hemos adelantado anteriormente, en este mismo sentido se ha pronunciado la </w:t>
      </w:r>
      <w:r w:rsidRPr="00605F61">
        <w:rPr>
          <w:rFonts w:cs="Arial"/>
          <w:b/>
          <w:sz w:val="22"/>
          <w:szCs w:val="22"/>
          <w:lang w:val="es-ES_tradnl"/>
        </w:rPr>
        <w:t>Sección 15ª de la Audiencia Provincial de Barcelona, en su reciente sentencia núm. 64/2024, de 15 de marzo</w:t>
      </w:r>
      <w:r w:rsidRPr="00605F61">
        <w:rPr>
          <w:rFonts w:cs="Arial"/>
          <w:bCs/>
          <w:sz w:val="22"/>
          <w:szCs w:val="22"/>
          <w:lang w:val="es-ES_tradnl"/>
        </w:rPr>
        <w:t xml:space="preserve">, </w:t>
      </w:r>
      <w:r w:rsidRPr="00605F61">
        <w:rPr>
          <w:rFonts w:cs="Arial"/>
          <w:b/>
          <w:sz w:val="22"/>
          <w:szCs w:val="22"/>
          <w:lang w:val="es-ES_tradnl"/>
        </w:rPr>
        <w:t xml:space="preserve">en la que fija el </w:t>
      </w:r>
      <w:proofErr w:type="spellStart"/>
      <w:r w:rsidRPr="00605F61">
        <w:rPr>
          <w:rFonts w:cs="Arial"/>
          <w:b/>
          <w:i/>
          <w:iCs/>
          <w:sz w:val="22"/>
          <w:szCs w:val="22"/>
          <w:lang w:val="es-ES_tradnl"/>
        </w:rPr>
        <w:t>dies</w:t>
      </w:r>
      <w:proofErr w:type="spellEnd"/>
      <w:r w:rsidRPr="00605F61">
        <w:rPr>
          <w:rFonts w:cs="Arial"/>
          <w:b/>
          <w:i/>
          <w:iCs/>
          <w:sz w:val="22"/>
          <w:szCs w:val="22"/>
          <w:lang w:val="es-ES_tradnl"/>
        </w:rPr>
        <w:t xml:space="preserve"> a quo</w:t>
      </w:r>
      <w:r w:rsidRPr="00605F61">
        <w:rPr>
          <w:rFonts w:cs="Arial"/>
          <w:b/>
          <w:sz w:val="22"/>
          <w:szCs w:val="22"/>
          <w:lang w:val="es-ES_tradnl"/>
        </w:rPr>
        <w:t xml:space="preserve"> entre finales del 2016 y principios del 2017</w:t>
      </w:r>
      <w:r w:rsidRPr="00605F61">
        <w:rPr>
          <w:rFonts w:cs="Arial"/>
          <w:bCs/>
          <w:sz w:val="22"/>
          <w:szCs w:val="22"/>
          <w:lang w:val="es-ES_tradnl"/>
        </w:rPr>
        <w:t>, a raíz de la Sentencia del Tribunal de Justicia de la Unión Europea de 25 de enero de 2024 (asuntos C-810/21 y C-813/21), todo ello en los siguientes términos:</w:t>
      </w:r>
    </w:p>
    <w:p w14:paraId="789128D5"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Cs/>
          <w:sz w:val="22"/>
          <w:szCs w:val="22"/>
          <w:lang w:val="es-ES_tradnl"/>
        </w:rPr>
        <w:t>“</w:t>
      </w:r>
      <w:r w:rsidRPr="00605F61">
        <w:rPr>
          <w:rFonts w:cs="Arial"/>
          <w:bCs/>
          <w:i/>
          <w:iCs/>
          <w:sz w:val="22"/>
          <w:szCs w:val="22"/>
          <w:lang w:val="es-ES_tradnl"/>
        </w:rPr>
        <w:t xml:space="preserve">Ahora bien, el hecho de que nuestro consumidor medio informado no tenga por qué conocer la jurisprudencia </w:t>
      </w:r>
      <w:r w:rsidRPr="00605F61">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605F61">
        <w:rPr>
          <w:rFonts w:cs="Arial"/>
          <w:bCs/>
          <w:i/>
          <w:iCs/>
          <w:sz w:val="22"/>
          <w:szCs w:val="22"/>
          <w:lang w:val="es-ES_tradnl"/>
        </w:rPr>
        <w:t xml:space="preserve"> (…)</w:t>
      </w:r>
    </w:p>
    <w:p w14:paraId="73D87C45"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Cs/>
          <w:i/>
          <w:iCs/>
          <w:sz w:val="22"/>
          <w:szCs w:val="22"/>
          <w:lang w:val="es-ES_tradnl"/>
        </w:rPr>
        <w:t xml:space="preserve">Ese momento de la notoriedad para los consumidores creemos que hay que fijarlo </w:t>
      </w:r>
      <w:r w:rsidRPr="00605F61">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605F61">
        <w:rPr>
          <w:rFonts w:cs="Arial"/>
          <w:bCs/>
          <w:i/>
          <w:iCs/>
          <w:sz w:val="22"/>
          <w:szCs w:val="22"/>
          <w:lang w:val="es-ES_tradnl"/>
        </w:rPr>
        <w:t>.</w:t>
      </w:r>
    </w:p>
    <w:p w14:paraId="53245DDF" w14:textId="77777777" w:rsidR="006F3231" w:rsidRPr="00605F61" w:rsidRDefault="006F3231" w:rsidP="006F3231">
      <w:pPr>
        <w:widowControl w:val="0"/>
        <w:autoSpaceDE w:val="0"/>
        <w:autoSpaceDN w:val="0"/>
        <w:adjustRightInd w:val="0"/>
        <w:spacing w:after="210" w:line="360" w:lineRule="auto"/>
        <w:ind w:left="567"/>
        <w:rPr>
          <w:rFonts w:cs="Arial"/>
          <w:bCs/>
          <w:i/>
          <w:iCs/>
          <w:sz w:val="22"/>
          <w:szCs w:val="22"/>
          <w:lang w:val="es-ES_tradnl"/>
        </w:rPr>
      </w:pPr>
      <w:r w:rsidRPr="00605F61">
        <w:rPr>
          <w:rFonts w:cs="Arial"/>
          <w:b/>
          <w:i/>
          <w:iCs/>
          <w:sz w:val="22"/>
          <w:szCs w:val="22"/>
          <w:u w:val="single"/>
          <w:lang w:val="es-ES_tradnl"/>
        </w:rPr>
        <w:t>La intensidad de esas campañas publicitarios y su éxito nos conducen a fijar la cognoscibilidad para el consumidor medio a principios de 2017</w:t>
      </w:r>
      <w:r w:rsidRPr="00605F61">
        <w:rPr>
          <w:rFonts w:cs="Arial"/>
          <w:bCs/>
          <w:i/>
          <w:iCs/>
          <w:sz w:val="22"/>
          <w:szCs w:val="22"/>
          <w:lang w:val="es-ES_tradnl"/>
        </w:rPr>
        <w:t xml:space="preserve">. Y prueba del éxito de esas campañas fue la litigación masiva a que dio lugar, </w:t>
      </w:r>
      <w:proofErr w:type="gramStart"/>
      <w:r w:rsidRPr="00605F61">
        <w:rPr>
          <w:rFonts w:cs="Arial"/>
          <w:bCs/>
          <w:i/>
          <w:iCs/>
          <w:sz w:val="22"/>
          <w:szCs w:val="22"/>
          <w:lang w:val="es-ES_tradnl"/>
        </w:rPr>
        <w:t>hasta el punto que</w:t>
      </w:r>
      <w:proofErr w:type="gramEnd"/>
      <w:r w:rsidRPr="00605F61">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w:t>
      </w:r>
      <w:r w:rsidRPr="00605F61">
        <w:rPr>
          <w:rFonts w:cs="Arial"/>
          <w:bCs/>
          <w:i/>
          <w:iCs/>
          <w:sz w:val="22"/>
          <w:szCs w:val="22"/>
          <w:lang w:val="es-ES_tradnl"/>
        </w:rPr>
        <w:lastRenderedPageBreak/>
        <w:t xml:space="preserve">había producido de demandas a partir de principios de 2017 (Acuerdo de 25 de mayo de 2017). </w:t>
      </w:r>
      <w:r w:rsidRPr="00605F61">
        <w:rPr>
          <w:rFonts w:cs="Arial"/>
          <w:b/>
          <w:i/>
          <w:iCs/>
          <w:sz w:val="22"/>
          <w:szCs w:val="22"/>
          <w:u w:val="single"/>
          <w:lang w:val="es-ES_tradnl"/>
        </w:rPr>
        <w:t>Por tanto, aquí sí que estamos ante hechos relevantes que un consumidor medio y debidamente informado no habría desconocido</w:t>
      </w:r>
      <w:r w:rsidRPr="00605F61">
        <w:rPr>
          <w:rFonts w:cs="Arial"/>
          <w:bCs/>
          <w:i/>
          <w:iCs/>
          <w:sz w:val="22"/>
          <w:szCs w:val="22"/>
          <w:lang w:val="es-ES_tradnl"/>
        </w:rPr>
        <w:t xml:space="preserve">. </w:t>
      </w:r>
      <w:r w:rsidRPr="00605F61">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sidRPr="00605F61">
        <w:rPr>
          <w:rFonts w:cs="Arial"/>
          <w:bCs/>
          <w:i/>
          <w:iCs/>
          <w:sz w:val="22"/>
          <w:szCs w:val="22"/>
          <w:lang w:val="es-ES_tradnl"/>
        </w:rPr>
        <w:t xml:space="preserve">, esto es, que podía reclamar con muy altas probabilidades de éxito lo previamente abonado en concepto de gastos del contrato. </w:t>
      </w:r>
      <w:r w:rsidRPr="00605F61">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sidRPr="00605F61">
        <w:rPr>
          <w:rFonts w:cs="Arial"/>
          <w:bCs/>
          <w:i/>
          <w:iCs/>
          <w:sz w:val="22"/>
          <w:szCs w:val="22"/>
          <w:lang w:val="es-ES_tradnl"/>
        </w:rPr>
        <w:t>(…).</w:t>
      </w:r>
    </w:p>
    <w:p w14:paraId="35322920" w14:textId="77777777" w:rsidR="006F3231" w:rsidRPr="00605F61" w:rsidRDefault="006F3231" w:rsidP="006F3231">
      <w:pPr>
        <w:widowControl w:val="0"/>
        <w:autoSpaceDE w:val="0"/>
        <w:autoSpaceDN w:val="0"/>
        <w:adjustRightInd w:val="0"/>
        <w:spacing w:after="210" w:line="360" w:lineRule="auto"/>
        <w:ind w:left="567"/>
        <w:rPr>
          <w:rFonts w:cs="Arial"/>
          <w:bCs/>
          <w:sz w:val="22"/>
          <w:szCs w:val="22"/>
          <w:lang w:val="es-ES_tradnl"/>
        </w:rPr>
      </w:pPr>
      <w:r w:rsidRPr="00605F61">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sidRPr="00605F61">
        <w:rPr>
          <w:rFonts w:cs="Arial"/>
          <w:bCs/>
          <w:sz w:val="22"/>
          <w:szCs w:val="22"/>
          <w:lang w:val="es-ES_tradnl"/>
        </w:rPr>
        <w:t>” [El subrayado y la negrita es nuestro].</w:t>
      </w:r>
    </w:p>
    <w:p w14:paraId="2D4B3F70" w14:textId="77777777" w:rsidR="006F3231" w:rsidRDefault="006F3231" w:rsidP="006B1F36">
      <w:pPr>
        <w:widowControl w:val="0"/>
        <w:autoSpaceDE w:val="0"/>
        <w:autoSpaceDN w:val="0"/>
        <w:adjustRightInd w:val="0"/>
        <w:spacing w:after="210" w:line="360" w:lineRule="auto"/>
        <w:rPr>
          <w:rFonts w:cs="Arial"/>
          <w:bCs/>
          <w:sz w:val="22"/>
          <w:szCs w:val="22"/>
          <w:lang w:val="es-ES_tradnl"/>
        </w:rPr>
      </w:pP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 xml:space="preserve">acción restitutoria derivada de la declaración de </w:t>
      </w:r>
      <w:proofErr w:type="spellStart"/>
      <w:r w:rsidRPr="001B0C3B">
        <w:rPr>
          <w:rFonts w:ascii="Arial" w:eastAsia="Arial Unicode MS" w:hAnsi="Arial" w:cs="Arial"/>
          <w:b/>
          <w:bCs/>
          <w:sz w:val="22"/>
          <w:szCs w:val="22"/>
          <w:u w:val="single"/>
          <w:lang w:eastAsia="en-GB"/>
        </w:rPr>
        <w:t>abusividad</w:t>
      </w:r>
      <w:proofErr w:type="spellEnd"/>
      <w:r w:rsidRPr="001B0C3B">
        <w:rPr>
          <w:rFonts w:ascii="Arial" w:eastAsia="Arial Unicode MS" w:hAnsi="Arial" w:cs="Arial"/>
          <w:b/>
          <w:bCs/>
          <w:sz w:val="22"/>
          <w:szCs w:val="22"/>
          <w:u w:val="single"/>
          <w:lang w:eastAsia="en-GB"/>
        </w:rPr>
        <w:t xml:space="preserve"> de cláusulas accesorias</w:t>
      </w:r>
      <w:r w:rsidRPr="001B0C3B">
        <w:rPr>
          <w:rFonts w:ascii="Arial" w:eastAsia="Arial Unicode MS" w:hAnsi="Arial" w:cs="Arial"/>
          <w:sz w:val="22"/>
          <w:szCs w:val="22"/>
          <w:lang w:eastAsia="en-GB"/>
        </w:rPr>
        <w:t xml:space="preserve"> ya hemos indicado que se encuentra igualmente 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t>FUNDAMENTOS DEDERECHO</w:t>
      </w:r>
    </w:p>
    <w:p w14:paraId="5E539AAD" w14:textId="77777777" w:rsidR="006B1F36" w:rsidRPr="001B0C3B" w:rsidRDefault="006B1F36" w:rsidP="006B1F36">
      <w:pPr>
        <w:widowControl w:val="0"/>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a) jurídico-procesales</w:t>
      </w:r>
    </w:p>
    <w:p w14:paraId="4861CAAB"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lastRenderedPageBreak/>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-III-</w:t>
      </w:r>
    </w:p>
    <w:p w14:paraId="3A513681"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Procedimiento</w:t>
      </w:r>
    </w:p>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1B0C3B">
        <w:rPr>
          <w:rFonts w:eastAsia="Times New Roman" w:cs="Arial"/>
          <w:kern w:val="28"/>
          <w:sz w:val="22"/>
          <w:szCs w:val="22"/>
          <w:lang w:val="es-ES_tradnl" w:eastAsia="en-US"/>
        </w:rPr>
        <w:t>1.5º</w:t>
      </w:r>
      <w:proofErr w:type="gramEnd"/>
      <w:r w:rsidRPr="001B0C3B">
        <w:rPr>
          <w:rFonts w:eastAsia="Times New Roman" w:cs="Arial"/>
          <w:kern w:val="28"/>
          <w:sz w:val="22"/>
          <w:szCs w:val="22"/>
          <w:lang w:val="es-ES_tradnl" w:eastAsia="en-US"/>
        </w:rPr>
        <w:t xml:space="preserve">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kern w:val="28"/>
          <w:sz w:val="22"/>
          <w:szCs w:val="22"/>
          <w:lang w:val="es-ES_tradnl" w:eastAsia="en-US"/>
        </w:rPr>
        <w:t>Cuantía</w:t>
      </w:r>
    </w:p>
    <w:p w14:paraId="34DCD0EF" w14:textId="77777777" w:rsidR="006B1F36" w:rsidRPr="001B0C3B" w:rsidRDefault="006B1F36" w:rsidP="006B1F36">
      <w:pPr>
        <w:spacing w:after="210" w:line="360" w:lineRule="auto"/>
        <w:rPr>
          <w:rFonts w:eastAsia="Times New Roman" w:cs="Arial"/>
          <w:bCs/>
          <w:cap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p>
    <w:p w14:paraId="164830C7" w14:textId="77777777" w:rsidR="006B1F36" w:rsidRPr="001B0C3B" w:rsidRDefault="006B1F36" w:rsidP="006B1F36">
      <w:pPr>
        <w:spacing w:line="360" w:lineRule="auto"/>
        <w:rPr>
          <w:rFonts w:cs="Arial"/>
          <w:sz w:val="22"/>
          <w:szCs w:val="22"/>
          <w:lang w:val="es-ES_tradnl"/>
        </w:rPr>
      </w:pPr>
      <w:r w:rsidRPr="001B0C3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1B0C3B">
        <w:rPr>
          <w:rFonts w:eastAsia="Times New Roman" w:cs="Arial"/>
          <w:kern w:val="28"/>
          <w:sz w:val="22"/>
          <w:szCs w:val="22"/>
          <w:lang w:val="es-ES_tradnl" w:eastAsia="en-US"/>
        </w:rPr>
        <w:t xml:space="preserve"> </w:t>
      </w:r>
      <w:r w:rsidRPr="001B0C3B">
        <w:rPr>
          <w:rFonts w:cs="Arial"/>
          <w:sz w:val="22"/>
          <w:szCs w:val="22"/>
          <w:lang w:val="es-ES_tradnl"/>
        </w:rPr>
        <w:t xml:space="preserve">La parte Demandante fija la cuantía del presente procedimiento como </w:t>
      </w:r>
      <w:r w:rsidRPr="001B0C3B">
        <w:rPr>
          <w:rFonts w:cs="Arial"/>
          <w:sz w:val="22"/>
          <w:szCs w:val="22"/>
          <w:highlight w:val="yellow"/>
          <w:lang w:val="es-ES_tradnl"/>
        </w:rPr>
        <w:t>“indeterminada”</w:t>
      </w:r>
      <w:r w:rsidRPr="001B0C3B">
        <w:rPr>
          <w:rFonts w:cs="Arial"/>
          <w:sz w:val="22"/>
          <w:szCs w:val="22"/>
          <w:lang w:val="es-ES_tradnl"/>
        </w:rPr>
        <w:t xml:space="preserve"> / La parte Demandante fija la cuantía del presente procedimiento en </w:t>
      </w:r>
      <w:r w:rsidRPr="001B0C3B">
        <w:rPr>
          <w:rFonts w:cs="Arial"/>
          <w:sz w:val="22"/>
          <w:szCs w:val="22"/>
          <w:highlight w:val="yellow"/>
          <w:lang w:val="es-ES_tradnl"/>
        </w:rPr>
        <w:t>X</w:t>
      </w:r>
      <w:r w:rsidRPr="001B0C3B">
        <w:rPr>
          <w:rFonts w:cs="Arial"/>
          <w:sz w:val="22"/>
          <w:szCs w:val="22"/>
          <w:lang w:val="es-ES_tradnl"/>
        </w:rPr>
        <w:t xml:space="preserve"> €.</w:t>
      </w:r>
    </w:p>
    <w:p w14:paraId="6A83EE80" w14:textId="77777777" w:rsidR="006B1F36" w:rsidRPr="001B0C3B" w:rsidRDefault="006B1F36" w:rsidP="006B1F36">
      <w:pPr>
        <w:spacing w:line="360" w:lineRule="auto"/>
        <w:rPr>
          <w:rFonts w:cs="Arial"/>
          <w:sz w:val="22"/>
          <w:szCs w:val="22"/>
          <w:lang w:val="es-ES_tradnl"/>
        </w:rPr>
      </w:pPr>
    </w:p>
    <w:p w14:paraId="626184C8" w14:textId="77777777" w:rsidR="006B1F36" w:rsidRDefault="006B1F36" w:rsidP="006B1F36">
      <w:pPr>
        <w:spacing w:line="360" w:lineRule="auto"/>
        <w:rPr>
          <w:rFonts w:cs="Arial"/>
          <w:sz w:val="22"/>
          <w:szCs w:val="22"/>
          <w:lang w:val="es-ES_tradnl"/>
        </w:rPr>
      </w:pPr>
      <w:r w:rsidRPr="001B0C3B">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109CAD31" w14:textId="36AFD43B" w:rsidR="006F3231" w:rsidRPr="00605F61" w:rsidRDefault="006F3231" w:rsidP="006F3231">
      <w:pPr>
        <w:spacing w:after="210" w:line="360" w:lineRule="auto"/>
        <w:rPr>
          <w:rFonts w:cs="Arial"/>
          <w:sz w:val="22"/>
          <w:szCs w:val="22"/>
          <w:lang w:val="es-ES_tradnl"/>
        </w:rPr>
      </w:pPr>
      <w:r w:rsidRPr="00605F61">
        <w:rPr>
          <w:rFonts w:cs="Arial"/>
          <w:sz w:val="22"/>
          <w:szCs w:val="22"/>
          <w:highlight w:val="green"/>
          <w:lang w:val="es-ES_tradnl"/>
        </w:rPr>
        <w:t>[Adaptar según las acciones ejercitadas]</w:t>
      </w:r>
      <w:r w:rsidRPr="00605F61">
        <w:rPr>
          <w:rFonts w:cs="Arial"/>
          <w:sz w:val="22"/>
          <w:szCs w:val="22"/>
          <w:lang w:val="es-ES_tradnl"/>
        </w:rPr>
        <w:t xml:space="preserve"> Por tanto, teniendo en cuenta que en la demanda se ejercita una acción de nulidad por usura y, de forma subsidiaria, una acción de nulidad por falta de transparencia, </w:t>
      </w:r>
      <w:r w:rsidRPr="00605F61">
        <w:rPr>
          <w:rFonts w:cs="Arial"/>
          <w:b/>
          <w:bCs/>
          <w:sz w:val="22"/>
          <w:szCs w:val="22"/>
          <w:u w:val="single"/>
          <w:lang w:val="es-ES_tradnl"/>
        </w:rPr>
        <w:t xml:space="preserve">la cuantía de la presente demanda deberá ascender a </w:t>
      </w:r>
      <w:r w:rsidR="00B5572B">
        <w:rPr>
          <w:rFonts w:cs="Arial"/>
          <w:b/>
          <w:bCs/>
          <w:sz w:val="22"/>
          <w:szCs w:val="22"/>
          <w:highlight w:val="yellow"/>
          <w:u w:val="single"/>
          <w:lang w:val="es-ES_tradnl"/>
        </w:rPr>
        <w:fldChar w:fldCharType="begin"/>
      </w:r>
      <w:r w:rsidR="00B5572B">
        <w:rPr>
          <w:rFonts w:cs="Arial"/>
          <w:b/>
          <w:bCs/>
          <w:sz w:val="22"/>
          <w:szCs w:val="22"/>
          <w:highlight w:val="yellow"/>
          <w:u w:val="single"/>
          <w:lang w:val="es-ES_tradnl"/>
        </w:rPr>
        <w:instrText>persovalores_personalizable1342</w:instrText>
      </w:r>
      <w:r w:rsidR="00B5572B">
        <w:rPr>
          <w:rFonts w:cs="Arial"/>
          <w:b/>
          <w:bCs/>
          <w:sz w:val="22"/>
          <w:szCs w:val="22"/>
          <w:highlight w:val="yellow"/>
          <w:u w:val="single"/>
          <w:lang w:val="es-ES_tradnl"/>
        </w:rPr>
        <w:fldChar w:fldCharType="separate"/>
      </w:r>
      <w:r w:rsidR="00B5572B">
        <w:rPr>
          <w:rFonts w:cs="Arial"/>
          <w:b/>
          <w:bCs/>
          <w:noProof/>
          <w:sz w:val="22"/>
          <w:szCs w:val="22"/>
          <w:highlight w:val="yellow"/>
          <w:u w:val="single"/>
          <w:lang w:val="es-ES_tradnl"/>
        </w:rPr>
        <w:t>«WIZINK_CNR_(Intereses_+_Comisiones)»</w:t>
      </w:r>
      <w:r w:rsidR="00B5572B">
        <w:rPr>
          <w:rFonts w:cs="Arial"/>
          <w:b/>
          <w:bCs/>
          <w:sz w:val="22"/>
          <w:szCs w:val="22"/>
          <w:highlight w:val="yellow"/>
          <w:u w:val="single"/>
          <w:lang w:val="es-ES_tradnl"/>
        </w:rPr>
        <w:fldChar w:fldCharType="end"/>
      </w:r>
      <w:r w:rsidRPr="00605F61">
        <w:rPr>
          <w:rFonts w:cs="Arial"/>
          <w:b/>
          <w:bCs/>
          <w:sz w:val="22"/>
          <w:szCs w:val="22"/>
          <w:highlight w:val="yellow"/>
          <w:u w:val="single"/>
          <w:lang w:val="es-ES_tradnl"/>
        </w:rPr>
        <w:t xml:space="preserve">  €</w:t>
      </w:r>
      <w:r w:rsidRPr="00605F61">
        <w:rPr>
          <w:rFonts w:cs="Arial"/>
          <w:b/>
          <w:bCs/>
          <w:sz w:val="22"/>
          <w:szCs w:val="22"/>
          <w:u w:val="single"/>
          <w:lang w:val="es-ES_tradnl"/>
        </w:rPr>
        <w:t xml:space="preserve">, por constituir el verdadero interés económico del pleito y por ser ésta la cantidad que se debería devolver </w:t>
      </w:r>
      <w:r w:rsidRPr="00605F61">
        <w:rPr>
          <w:rFonts w:cs="Arial"/>
          <w:b/>
          <w:bCs/>
          <w:sz w:val="22"/>
          <w:szCs w:val="22"/>
          <w:highlight w:val="yellow"/>
          <w:u w:val="single"/>
          <w:lang w:val="es-ES_tradnl"/>
        </w:rPr>
        <w:t xml:space="preserve">a la parte </w:t>
      </w:r>
      <w:r w:rsidRPr="00605F61">
        <w:rPr>
          <w:rFonts w:cs="Arial"/>
          <w:b/>
          <w:bCs/>
          <w:sz w:val="22"/>
          <w:szCs w:val="22"/>
          <w:highlight w:val="yellow"/>
          <w:u w:val="single"/>
          <w:lang w:val="es-ES_tradnl"/>
        </w:rPr>
        <w:lastRenderedPageBreak/>
        <w:t>Demandante / a mi representada</w:t>
      </w:r>
      <w:r w:rsidRPr="00605F61">
        <w:rPr>
          <w:rFonts w:cs="Arial"/>
          <w:b/>
          <w:bCs/>
          <w:sz w:val="22"/>
          <w:szCs w:val="22"/>
          <w:u w:val="single"/>
          <w:lang w:val="es-ES_tradnl"/>
        </w:rPr>
        <w:t xml:space="preserve"> en el hipotético supuesto de que se declarase nulo el contrato objeto de autos</w:t>
      </w:r>
      <w:r w:rsidRPr="00605F61">
        <w:rPr>
          <w:rFonts w:cs="Arial"/>
          <w:sz w:val="22"/>
          <w:szCs w:val="22"/>
          <w:lang w:val="es-ES_tradnl"/>
        </w:rPr>
        <w:t xml:space="preserve">. </w:t>
      </w:r>
    </w:p>
    <w:p w14:paraId="15B30A3E" w14:textId="77777777" w:rsidR="006F3231" w:rsidRPr="001B0C3B" w:rsidRDefault="006F3231" w:rsidP="006B1F36">
      <w:pPr>
        <w:spacing w:line="360" w:lineRule="auto"/>
        <w:rPr>
          <w:rFonts w:cs="Arial"/>
          <w:sz w:val="22"/>
          <w:szCs w:val="22"/>
          <w:lang w:val="es-ES_tradnl"/>
        </w:rPr>
      </w:pPr>
    </w:p>
    <w:p w14:paraId="522FD628" w14:textId="77777777" w:rsidR="006B1F36" w:rsidRPr="001B0C3B" w:rsidRDefault="006B1F36" w:rsidP="006B1F36">
      <w:pPr>
        <w:spacing w:line="360" w:lineRule="auto"/>
        <w:rPr>
          <w:rFonts w:cs="Arial"/>
          <w:sz w:val="22"/>
          <w:szCs w:val="22"/>
          <w:lang w:val="es-ES_tradnl"/>
        </w:rPr>
      </w:pPr>
    </w:p>
    <w:p w14:paraId="47A35057" w14:textId="77777777" w:rsidR="006F3231" w:rsidRDefault="006F3231" w:rsidP="006B1F36">
      <w:pPr>
        <w:spacing w:after="210" w:line="360" w:lineRule="auto"/>
        <w:rPr>
          <w:rFonts w:cs="Arial"/>
          <w:sz w:val="22"/>
          <w:szCs w:val="22"/>
          <w:lang w:val="es-ES_tradnl"/>
        </w:rPr>
      </w:pPr>
    </w:p>
    <w:p w14:paraId="3E209CBD" w14:textId="08EE181A" w:rsidR="006B1F36" w:rsidRDefault="006B1F36" w:rsidP="006B1F36">
      <w:pPr>
        <w:spacing w:after="210" w:line="360" w:lineRule="auto"/>
        <w:rPr>
          <w:rFonts w:cs="Arial"/>
          <w:sz w:val="22"/>
          <w:szCs w:val="22"/>
          <w:lang w:val="es-ES_tradnl"/>
        </w:rPr>
      </w:pPr>
      <w:r w:rsidRPr="001B0C3B">
        <w:rPr>
          <w:rFonts w:cs="Arial"/>
          <w:sz w:val="22"/>
          <w:szCs w:val="22"/>
          <w:lang w:val="es-ES_tradnl"/>
        </w:rPr>
        <w:t xml:space="preserve">Y ello es así por cuanto, como se puede extraer del cuadro que aportamos como </w:t>
      </w:r>
      <w:r w:rsidRPr="001B0C3B">
        <w:rPr>
          <w:rFonts w:eastAsia="Calibri" w:cs="Arial"/>
          <w:b/>
          <w:bCs/>
          <w:color w:val="00B050"/>
          <w:sz w:val="22"/>
          <w:szCs w:val="22"/>
          <w:highlight w:val="yellow"/>
          <w:lang w:val="es-ES" w:eastAsia="es-ES"/>
        </w:rPr>
        <w:t>Documento 14 Contestación</w:t>
      </w:r>
      <w:r w:rsidRPr="001B0C3B">
        <w:rPr>
          <w:rFonts w:cs="Arial"/>
          <w:sz w:val="22"/>
          <w:szCs w:val="22"/>
          <w:lang w:val="es-ES_tradnl"/>
        </w:rPr>
        <w:t>, la</w:t>
      </w:r>
      <w:r w:rsidRPr="001B0C3B">
        <w:rPr>
          <w:rFonts w:eastAsia="Calibri" w:cs="Arial"/>
          <w:b/>
          <w:bCs/>
          <w:color w:val="00B050"/>
          <w:sz w:val="22"/>
          <w:szCs w:val="22"/>
          <w:lang w:val="es-ES" w:eastAsia="es-ES"/>
        </w:rPr>
        <w:t xml:space="preserve"> </w:t>
      </w:r>
      <w:r w:rsidRPr="001B0C3B">
        <w:rPr>
          <w:rFonts w:cs="Arial"/>
          <w:sz w:val="22"/>
          <w:szCs w:val="22"/>
          <w:lang w:val="es-ES_tradnl"/>
        </w:rPr>
        <w:t>parte Demandante</w:t>
      </w:r>
      <w:r w:rsidRPr="001B0C3B">
        <w:rPr>
          <w:rFonts w:eastAsia="Calibri" w:cs="Arial"/>
          <w:b/>
          <w:bCs/>
          <w:color w:val="00B050"/>
          <w:sz w:val="22"/>
          <w:szCs w:val="22"/>
          <w:lang w:val="es-ES" w:eastAsia="es-ES"/>
        </w:rPr>
        <w:t xml:space="preserve"> </w:t>
      </w:r>
      <w:r w:rsidRPr="001B0C3B">
        <w:rPr>
          <w:rFonts w:cs="Arial"/>
          <w:sz w:val="22"/>
          <w:szCs w:val="22"/>
          <w:lang w:val="es-ES_tradnl"/>
        </w:rPr>
        <w:t xml:space="preserve">ha pagado un total de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persovalores_personalizable1418</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«WIZINK_INTERESES»</w:t>
      </w:r>
      <w:r w:rsidR="00351166">
        <w:rPr>
          <w:rFonts w:cs="Arial"/>
          <w:sz w:val="22"/>
          <w:szCs w:val="22"/>
          <w:highlight w:val="yellow"/>
          <w:lang w:val="es-ES_tradnl"/>
        </w:rPr>
        <w:fldChar w:fldCharType="end"/>
      </w:r>
      <w:r w:rsidR="00351166">
        <w:rPr>
          <w:rFonts w:cs="Arial"/>
          <w:sz w:val="22"/>
          <w:szCs w:val="22"/>
          <w:highlight w:val="yellow"/>
          <w:lang w:val="es-ES_tradnl"/>
        </w:rPr>
        <w:t xml:space="preserve"> </w:t>
      </w:r>
      <w:r w:rsidRPr="001B0C3B">
        <w:rPr>
          <w:rFonts w:cs="Arial"/>
          <w:sz w:val="22"/>
          <w:szCs w:val="22"/>
          <w:highlight w:val="yellow"/>
          <w:lang w:val="es-ES_tradnl"/>
        </w:rPr>
        <w:t xml:space="preserve"> €</w:t>
      </w:r>
      <w:r w:rsidRPr="001B0C3B">
        <w:rPr>
          <w:rFonts w:cs="Arial"/>
          <w:sz w:val="22"/>
          <w:szCs w:val="22"/>
          <w:lang w:val="es-ES_tradnl"/>
        </w:rPr>
        <w:t xml:space="preserve"> de intereses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persovalores_personalizable1419</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«WIZINK_COMISIONES»</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w:t>
      </w:r>
      <w:r w:rsidRPr="001B0C3B">
        <w:rPr>
          <w:rFonts w:cs="Arial"/>
          <w:sz w:val="22"/>
          <w:szCs w:val="22"/>
          <w:lang w:val="es-ES_tradnl"/>
        </w:rPr>
        <w:t xml:space="preserve"> de comisiones, por lo que, en este caso, no resulta de aplicación la excepción a la determinación de la cuantía que contempla el art. 251.1ª de la LEC, al encontrarnos ante un interés económico perfectamente determinable y cuantificable</w:t>
      </w:r>
      <w:r w:rsidR="006F3231">
        <w:rPr>
          <w:rFonts w:cs="Arial"/>
          <w:sz w:val="22"/>
          <w:szCs w:val="22"/>
          <w:lang w:val="es-ES_tradnl"/>
        </w:rPr>
        <w:t>.</w:t>
      </w:r>
    </w:p>
    <w:p w14:paraId="7990A7EC" w14:textId="77777777" w:rsidR="006F3231" w:rsidRPr="00605F61" w:rsidRDefault="006F3231" w:rsidP="006F3231">
      <w:pPr>
        <w:spacing w:after="210" w:line="360" w:lineRule="auto"/>
        <w:rPr>
          <w:rFonts w:eastAsia="Times New Roman" w:cs="Arial"/>
          <w:kern w:val="28"/>
          <w:sz w:val="22"/>
          <w:szCs w:val="22"/>
          <w:lang w:val="es-ES_tradnl" w:eastAsia="en-US"/>
        </w:rPr>
      </w:pPr>
      <w:r w:rsidRPr="00605F61">
        <w:rPr>
          <w:rFonts w:cs="Arial"/>
          <w:sz w:val="22"/>
          <w:szCs w:val="22"/>
          <w:lang w:val="es-ES_tradnl"/>
        </w:rPr>
        <w:t xml:space="preserve">En este sentido, resulta preciso aclarar al Ilustre Juzgado que las cantidades que aparecen en el </w:t>
      </w:r>
      <w:r w:rsidRPr="00605F61">
        <w:rPr>
          <w:rFonts w:cs="Arial"/>
          <w:b/>
          <w:color w:val="00B050"/>
          <w:sz w:val="22"/>
          <w:szCs w:val="22"/>
          <w:highlight w:val="yellow"/>
          <w:lang w:val="es-ES"/>
        </w:rPr>
        <w:t>Documento 14 Contestación</w:t>
      </w:r>
      <w:r w:rsidRPr="00605F61">
        <w:rPr>
          <w:rFonts w:cs="Arial"/>
          <w:color w:val="00B050"/>
          <w:sz w:val="22"/>
          <w:szCs w:val="22"/>
          <w:lang w:val="es-ES_tradnl"/>
        </w:rPr>
        <w:t xml:space="preserve"> </w:t>
      </w:r>
      <w:r w:rsidRPr="00605F61">
        <w:rPr>
          <w:rFonts w:cs="Arial"/>
          <w:sz w:val="22"/>
          <w:szCs w:val="22"/>
          <w:lang w:val="es-ES_tradnl"/>
        </w:rPr>
        <w:t xml:space="preserve">-y que, como decimos, constituyen el interés económico del pleito- a partir de la interposición de la demanda, </w:t>
      </w:r>
      <w:r w:rsidRPr="00605F61">
        <w:rPr>
          <w:rFonts w:cs="Arial"/>
          <w:b/>
          <w:bCs/>
          <w:sz w:val="22"/>
          <w:szCs w:val="22"/>
          <w:u w:val="single"/>
          <w:lang w:val="es-ES_tradnl"/>
        </w:rPr>
        <w:t>devienen invariables</w:t>
      </w:r>
      <w:r w:rsidRPr="00605F61">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605F61">
        <w:rPr>
          <w:rFonts w:cs="Arial"/>
          <w:b/>
          <w:bCs/>
          <w:sz w:val="22"/>
          <w:szCs w:val="22"/>
          <w:u w:val="single"/>
          <w:lang w:val="es-ES_tradnl"/>
        </w:rPr>
        <w:t>el contrato de tarjeta de crédito litigioso queda en suspenso así como las cantidades que se deriven de su uso.</w:t>
      </w:r>
    </w:p>
    <w:p w14:paraId="185C62D1" w14:textId="77777777" w:rsidR="006F3231" w:rsidRPr="001B0C3B" w:rsidRDefault="006F3231" w:rsidP="006B1F36">
      <w:pPr>
        <w:spacing w:after="210" w:line="360" w:lineRule="auto"/>
        <w:rPr>
          <w:rFonts w:eastAsia="Times New Roman" w:cs="Arial"/>
          <w:kern w:val="28"/>
          <w:sz w:val="22"/>
          <w:szCs w:val="22"/>
          <w:lang w:val="es-ES_tradnl" w:eastAsia="en-US"/>
        </w:rPr>
      </w:pP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En aras de economía procesal, nos remitimos a lo ya indicado en los hechos del presente 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w:t>
      </w:r>
      <w:proofErr w:type="gramStart"/>
      <w:r w:rsidRPr="001B0C3B">
        <w:rPr>
          <w:rFonts w:eastAsia="Calibri" w:cs="Arial"/>
          <w:sz w:val="22"/>
          <w:szCs w:val="22"/>
          <w:lang w:val="es-ES_tradnl" w:eastAsia="en-US"/>
        </w:rPr>
        <w:t>continuación</w:t>
      </w:r>
      <w:proofErr w:type="gramEnd"/>
      <w:r w:rsidRPr="001B0C3B">
        <w:rPr>
          <w:rFonts w:eastAsia="Calibri" w:cs="Arial"/>
          <w:sz w:val="22"/>
          <w:szCs w:val="22"/>
          <w:lang w:val="es-ES_tradnl" w:eastAsia="en-US"/>
        </w:rPr>
        <w:t xml:space="preserve">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ni existe una falta de claridad en cuanto a las 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1619B8C9" w:rsidR="00EC1B3C" w:rsidRPr="001B0C3B" w:rsidRDefault="00EC1B3C" w:rsidP="00EC1B3C">
      <w:pPr>
        <w:widowControl w:val="0"/>
        <w:spacing w:after="210" w:line="360" w:lineRule="auto"/>
        <w:rPr>
          <w:rFonts w:eastAsia="Calibri" w:cs="Arial"/>
          <w:b/>
          <w:bCs/>
          <w:sz w:val="22"/>
          <w:szCs w:val="22"/>
          <w:lang w:val="es-ES_tradnl" w:eastAsia="en-US"/>
        </w:rPr>
      </w:pPr>
      <w:r w:rsidRPr="00EC1B3C">
        <w:rPr>
          <w:rFonts w:eastAsia="Calibri" w:cs="Arial"/>
          <w:b/>
          <w:bCs/>
          <w:sz w:val="22"/>
          <w:szCs w:val="22"/>
          <w:highlight w:val="green"/>
          <w:lang w:val="es-ES_tradnl" w:eastAsia="en-US"/>
        </w:rPr>
        <w:t xml:space="preserve">[OJO, ESTA ALEGACIÓN </w:t>
      </w:r>
      <w:r w:rsidR="006F3231" w:rsidRPr="006F3231">
        <w:rPr>
          <w:rFonts w:eastAsia="Calibri" w:cs="Arial"/>
          <w:b/>
          <w:bCs/>
          <w:sz w:val="22"/>
          <w:szCs w:val="22"/>
          <w:highlight w:val="green"/>
          <w:lang w:val="es-ES_tradnl" w:eastAsia="en-US"/>
        </w:rPr>
        <w:t>SE DEJA TANTO SI SE LE HA COBRADO COMO SI NO]</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8"/>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49"/>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lastRenderedPageBreak/>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4"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50"/>
      </w:r>
      <w:r w:rsidRPr="001B0C3B">
        <w:rPr>
          <w:rFonts w:eastAsia="Book Antiqua" w:cs="Arial"/>
          <w:spacing w:val="-1"/>
          <w:sz w:val="22"/>
          <w:szCs w:val="22"/>
          <w:lang w:val="es-ES_tradnl"/>
        </w:rPr>
        <w:t xml:space="preserve">: </w:t>
      </w:r>
      <w:bookmarkEnd w:id="24"/>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En el presente supuesto, 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1"/>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lastRenderedPageBreak/>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52"/>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proofErr w:type="spellStart"/>
      <w:r w:rsidRPr="001B0C3B">
        <w:rPr>
          <w:rFonts w:eastAsia="Book Antiqua" w:cs="Arial"/>
          <w:i/>
          <w:spacing w:val="-1"/>
          <w:sz w:val="22"/>
          <w:szCs w:val="22"/>
          <w:lang w:val="es-ES_tradnl"/>
        </w:rPr>
        <w:t>n</w:t>
      </w:r>
      <w:r w:rsidRPr="001B0C3B">
        <w:rPr>
          <w:rFonts w:eastAsia="Book Antiqua" w:cs="Arial"/>
          <w:i/>
          <w:sz w:val="22"/>
          <w:szCs w:val="22"/>
          <w:lang w:val="es-ES_tradnl"/>
        </w:rPr>
        <w:t>º</w:t>
      </w:r>
      <w:proofErr w:type="spellEnd"/>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impone que, con carácter general, el </w:t>
      </w:r>
      <w:proofErr w:type="spellStart"/>
      <w:r w:rsidRPr="001B0C3B">
        <w:rPr>
          <w:rFonts w:cs="Arial"/>
          <w:bCs/>
          <w:i/>
          <w:sz w:val="22"/>
          <w:szCs w:val="22"/>
          <w:lang w:val="es-ES_tradnl"/>
        </w:rPr>
        <w:t>dies</w:t>
      </w:r>
      <w:proofErr w:type="spellEnd"/>
      <w:r w:rsidRPr="001B0C3B">
        <w:rPr>
          <w:rFonts w:cs="Arial"/>
          <w:bCs/>
          <w:i/>
          <w:sz w:val="22"/>
          <w:szCs w:val="22"/>
          <w:lang w:val="es-ES_tradnl"/>
        </w:rPr>
        <w:t xml:space="preserve">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lastRenderedPageBreak/>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53"/>
      </w:r>
      <w:r w:rsidRPr="001B0C3B">
        <w:rPr>
          <w:rFonts w:cs="Arial"/>
          <w:bCs/>
          <w:sz w:val="22"/>
          <w:szCs w:val="22"/>
          <w:lang w:val="es-ES_tradnl"/>
        </w:rPr>
        <w:t xml:space="preserve"> rechaza de pleno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1B0C3B">
        <w:rPr>
          <w:rFonts w:cs="Arial"/>
          <w:i/>
          <w:iCs/>
          <w:sz w:val="22"/>
          <w:szCs w:val="22"/>
          <w:lang w:val="es-ES_tradnl"/>
        </w:rPr>
        <w:t>ejecución</w:t>
      </w:r>
      <w:proofErr w:type="gramEnd"/>
      <w:r w:rsidRPr="001B0C3B">
        <w:rPr>
          <w:rFonts w:cs="Arial"/>
          <w:i/>
          <w:iCs/>
          <w:sz w:val="22"/>
          <w:szCs w:val="22"/>
          <w:lang w:val="es-ES_tradnl"/>
        </w:rPr>
        <w:t xml:space="preserve">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54"/>
      </w:r>
      <w:r w:rsidRPr="001B0C3B">
        <w:rPr>
          <w:rFonts w:cs="Arial"/>
          <w:bCs/>
          <w:sz w:val="22"/>
          <w:szCs w:val="22"/>
          <w:lang w:val="es-ES_tradnl"/>
        </w:rPr>
        <w:t xml:space="preserve"> considera de igual modo que no se puede ser fijado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w:t>
      </w:r>
      <w:proofErr w:type="spellStart"/>
      <w:r w:rsidRPr="001B0C3B">
        <w:rPr>
          <w:rFonts w:cs="Arial"/>
          <w:i/>
          <w:iCs/>
          <w:sz w:val="22"/>
          <w:szCs w:val="22"/>
          <w:lang w:val="es-ES_tradnl"/>
        </w:rPr>
        <w:t>Roj</w:t>
      </w:r>
      <w:proofErr w:type="spellEnd"/>
      <w:r w:rsidRPr="001B0C3B">
        <w:rPr>
          <w:rFonts w:cs="Arial"/>
          <w:i/>
          <w:iCs/>
          <w:sz w:val="22"/>
          <w:szCs w:val="22"/>
          <w:lang w:val="es-ES_tradnl"/>
        </w:rPr>
        <w:t>: STS 600/2020, recurso 4813/2019) y 628/2015, de 25 de noviembre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que enjuician; lo que se descarta en el caso de la sentencia 367/2022, de 4 de mayo (</w:t>
      </w:r>
      <w:proofErr w:type="spellStart"/>
      <w:r w:rsidRPr="001B0C3B">
        <w:rPr>
          <w:rFonts w:cs="Arial"/>
          <w:i/>
          <w:iCs/>
          <w:sz w:val="22"/>
          <w:szCs w:val="22"/>
          <w:lang w:val="es-ES_tradnl"/>
        </w:rPr>
        <w:t>Roj</w:t>
      </w:r>
      <w:proofErr w:type="spellEnd"/>
      <w:r w:rsidRPr="001B0C3B">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55"/>
      </w:r>
      <w:r w:rsidRPr="001B0C3B">
        <w:rPr>
          <w:rFonts w:cs="Arial"/>
          <w:bCs/>
          <w:sz w:val="22"/>
          <w:szCs w:val="22"/>
          <w:lang w:val="es-ES_tradnl"/>
        </w:rPr>
        <w:t xml:space="preserve">, una vez ha descartado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debe fijar en la fecha de la sentencia que declara la nulidad de la acción declarativa, se inclina por fijar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w:t>
      </w:r>
      <w:r w:rsidRPr="001B0C3B">
        <w:rPr>
          <w:rFonts w:cs="Arial"/>
          <w:i/>
          <w:iCs/>
          <w:sz w:val="22"/>
          <w:szCs w:val="22"/>
          <w:lang w:val="es-ES_tradnl"/>
        </w:rPr>
        <w:lastRenderedPageBreak/>
        <w:t xml:space="preserve">Fundamenta este argumento en el artículo 1969 </w:t>
      </w:r>
      <w:proofErr w:type="spellStart"/>
      <w:r w:rsidRPr="001B0C3B">
        <w:rPr>
          <w:rFonts w:cs="Arial"/>
          <w:i/>
          <w:iCs/>
          <w:sz w:val="22"/>
          <w:szCs w:val="22"/>
          <w:lang w:val="es-ES_tradnl"/>
        </w:rPr>
        <w:t>Cc.</w:t>
      </w:r>
      <w:proofErr w:type="spellEnd"/>
      <w:r w:rsidRPr="001B0C3B">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1B0C3B">
        <w:rPr>
          <w:rFonts w:cs="Arial"/>
          <w:i/>
          <w:iCs/>
          <w:sz w:val="22"/>
          <w:szCs w:val="22"/>
          <w:lang w:val="es-ES_tradnl"/>
        </w:rPr>
        <w:t>en relación a</w:t>
      </w:r>
      <w:proofErr w:type="gramEnd"/>
      <w:r w:rsidRPr="001B0C3B">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1B0C3B">
        <w:rPr>
          <w:rFonts w:cs="Arial"/>
          <w:i/>
          <w:iCs/>
          <w:sz w:val="22"/>
          <w:szCs w:val="22"/>
          <w:lang w:val="es-ES_tradnl"/>
        </w:rPr>
        <w:t>nº</w:t>
      </w:r>
      <w:proofErr w:type="spellEnd"/>
      <w:r w:rsidRPr="001B0C3B">
        <w:rPr>
          <w:rFonts w:cs="Arial"/>
          <w:i/>
          <w:iCs/>
          <w:sz w:val="22"/>
          <w:szCs w:val="22"/>
          <w:lang w:val="es-ES_tradnl"/>
        </w:rPr>
        <w:t xml:space="preserve"> 38/2021). En consecuencia,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resulta preciso fijar un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5"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5"/>
      <w:r w:rsidRPr="001B0C3B">
        <w:rPr>
          <w:rFonts w:cs="Arial"/>
          <w:bCs/>
          <w:sz w:val="22"/>
          <w:szCs w:val="22"/>
          <w:lang w:val="es-ES_tradnl"/>
        </w:rPr>
        <w:t>.</w:t>
      </w:r>
    </w:p>
    <w:p w14:paraId="3F2E817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7629E382"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lastRenderedPageBreak/>
        <w:t xml:space="preserve">Por todo ello, </w:t>
      </w:r>
      <w:r w:rsidRPr="001B0C3B">
        <w:rPr>
          <w:rFonts w:cs="Arial"/>
          <w:b/>
          <w:sz w:val="22"/>
          <w:szCs w:val="22"/>
          <w:u w:val="single"/>
          <w:lang w:val="es-ES_tradnl"/>
        </w:rPr>
        <w:t xml:space="preserve">el </w:t>
      </w:r>
      <w:proofErr w:type="spellStart"/>
      <w:r w:rsidRPr="001B0C3B">
        <w:rPr>
          <w:rFonts w:cs="Arial"/>
          <w:b/>
          <w:i/>
          <w:iCs/>
          <w:sz w:val="22"/>
          <w:szCs w:val="22"/>
          <w:u w:val="single"/>
          <w:lang w:val="es-ES_tradnl"/>
        </w:rPr>
        <w:t>dies</w:t>
      </w:r>
      <w:proofErr w:type="spellEnd"/>
      <w:r w:rsidRPr="001B0C3B">
        <w:rPr>
          <w:rFonts w:cs="Arial"/>
          <w:b/>
          <w:i/>
          <w:iCs/>
          <w:sz w:val="22"/>
          <w:szCs w:val="22"/>
          <w:u w:val="single"/>
          <w:lang w:val="es-ES_tradnl"/>
        </w:rPr>
        <w:t xml:space="preserve"> a quo</w:t>
      </w:r>
      <w:r w:rsidRPr="001B0C3B">
        <w:rPr>
          <w:rFonts w:cs="Arial"/>
          <w:bCs/>
          <w:sz w:val="22"/>
          <w:szCs w:val="22"/>
          <w:lang w:val="es-ES_tradnl"/>
        </w:rPr>
        <w:t xml:space="preserve"> del plazo de prescripción de la acción restitutoria por falta de transparencia o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w:t>
      </w:r>
      <w:r w:rsidRPr="001B0C3B">
        <w:rPr>
          <w:rFonts w:cs="Arial"/>
          <w:b/>
          <w:sz w:val="22"/>
          <w:szCs w:val="22"/>
          <w:u w:val="single"/>
          <w:lang w:val="es-ES_tradnl"/>
        </w:rPr>
        <w:t>deberá fijarse a partir de la publicación en el BOE el 25 de 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1B0C3B" w:rsidRDefault="007B1C0F" w:rsidP="007B1C0F">
      <w:pPr>
        <w:spacing w:line="360" w:lineRule="auto"/>
        <w:rPr>
          <w:rFonts w:eastAsia="Times New Roman" w:cs="Arial"/>
          <w:sz w:val="22"/>
          <w:szCs w:val="22"/>
          <w:lang w:val="es-ES"/>
        </w:rPr>
      </w:pP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 xml:space="preserve">la parte Demandante ha interpuesto la demanda con </w:t>
      </w:r>
      <w:proofErr w:type="gramStart"/>
      <w:r w:rsidRPr="001B0C3B">
        <w:rPr>
          <w:rFonts w:eastAsia="Times New Roman" w:cs="Arial"/>
          <w:sz w:val="22"/>
          <w:szCs w:val="22"/>
          <w:highlight w:val="yellow"/>
          <w:lang w:val="es-ES"/>
        </w:rPr>
        <w:t>fecha  *</w:t>
      </w:r>
      <w:proofErr w:type="gramEnd"/>
      <w:r w:rsidRPr="001B0C3B">
        <w:rPr>
          <w:rFonts w:eastAsia="Times New Roman" w:cs="Arial"/>
          <w:sz w:val="22"/>
          <w:szCs w:val="22"/>
          <w:highlight w:val="yellow"/>
          <w:lang w:val="es-ES"/>
        </w:rPr>
        <w:t>******,</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1B0C3B" w:rsidRDefault="007B1C0F" w:rsidP="007B1C0F">
      <w:pPr>
        <w:spacing w:line="360" w:lineRule="auto"/>
        <w:rPr>
          <w:rFonts w:eastAsia="Times New Roman" w:cs="Arial"/>
          <w:sz w:val="22"/>
          <w:szCs w:val="22"/>
          <w:lang w:val="es-ES"/>
        </w:rPr>
      </w:pPr>
    </w:p>
    <w:p w14:paraId="3AD9EFE7" w14:textId="0DA6E5A1"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w:t>
      </w:r>
      <w:r w:rsidRPr="001B0C3B">
        <w:rPr>
          <w:rFonts w:eastAsia="Times New Roman" w:cs="Arial"/>
          <w:sz w:val="22"/>
          <w:szCs w:val="22"/>
          <w:lang w:val="es-ES"/>
        </w:rPr>
        <w:lastRenderedPageBreak/>
        <w:t xml:space="preserve">se interpone una demanda sabiendo previamente que el contrato litigioso </w:t>
      </w:r>
      <w:r w:rsidRPr="001B0C3B">
        <w:rPr>
          <w:rFonts w:eastAsia="Times New Roman" w:cs="Arial"/>
          <w:b/>
          <w:bCs/>
          <w:sz w:val="22"/>
          <w:szCs w:val="22"/>
          <w:lang w:val="es-ES"/>
        </w:rPr>
        <w:t>no puede 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al no poder apreciarse la concurrencia de dudas de hecho o de derecho 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 xml:space="preserve">El criterio del T.S. se fijó con </w:t>
      </w:r>
      <w:proofErr w:type="spellStart"/>
      <w:r w:rsidRPr="001B0C3B">
        <w:rPr>
          <w:rFonts w:eastAsia="Times New Roman" w:cs="Arial"/>
          <w:b/>
          <w:bCs/>
          <w:i/>
          <w:iCs/>
          <w:sz w:val="22"/>
          <w:szCs w:val="22"/>
          <w:u w:val="single"/>
          <w:lang w:val="es-ES"/>
        </w:rPr>
        <w:t>ulterioridad</w:t>
      </w:r>
      <w:proofErr w:type="spellEnd"/>
      <w:r w:rsidRPr="001B0C3B">
        <w:rPr>
          <w:rFonts w:eastAsia="Times New Roman" w:cs="Arial"/>
          <w:b/>
          <w:bCs/>
          <w:i/>
          <w:iCs/>
          <w:sz w:val="22"/>
          <w:szCs w:val="22"/>
          <w:u w:val="single"/>
          <w:lang w:val="es-ES"/>
        </w:rPr>
        <w:t xml:space="preserve">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w:t>
      </w:r>
      <w:proofErr w:type="gramStart"/>
      <w:r w:rsidRPr="001B0C3B">
        <w:rPr>
          <w:rFonts w:eastAsia="Times New Roman" w:cs="Arial"/>
          <w:sz w:val="22"/>
          <w:szCs w:val="22"/>
          <w:lang w:val="es-ES"/>
        </w:rPr>
        <w:t>obstante</w:t>
      </w:r>
      <w:proofErr w:type="gramEnd"/>
      <w:r w:rsidRPr="001B0C3B">
        <w:rPr>
          <w:rFonts w:eastAsia="Times New Roman" w:cs="Arial"/>
          <w:sz w:val="22"/>
          <w:szCs w:val="22"/>
          <w:lang w:val="es-ES"/>
        </w:rPr>
        <w:t xml:space="preserv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3D586FA3" w14:textId="77777777" w:rsidR="007B1C0F" w:rsidRPr="001B0C3B" w:rsidRDefault="007B1C0F" w:rsidP="007B1C0F">
      <w:pPr>
        <w:spacing w:line="360" w:lineRule="auto"/>
        <w:rPr>
          <w:rFonts w:eastAsia="Times New Roman" w:cs="Arial"/>
          <w:sz w:val="22"/>
          <w:szCs w:val="22"/>
          <w:lang w:val="es-ES_tradnl"/>
        </w:rPr>
      </w:pPr>
    </w:p>
    <w:p w14:paraId="04BF9869" w14:textId="77777777" w:rsidR="007B1C0F" w:rsidRPr="001B0C3B" w:rsidRDefault="007B1C0F" w:rsidP="007B1C0F">
      <w:pPr>
        <w:spacing w:line="360" w:lineRule="auto"/>
        <w:rPr>
          <w:rFonts w:eastAsia="Times New Roman" w:cs="Arial"/>
          <w:sz w:val="22"/>
          <w:szCs w:val="22"/>
          <w:lang w:val="es-ES_tradnl"/>
        </w:rPr>
      </w:pPr>
    </w:p>
    <w:p w14:paraId="45469F9A" w14:textId="77777777" w:rsidR="007B1C0F" w:rsidRPr="001B0C3B" w:rsidRDefault="007B1C0F" w:rsidP="007B1C0F">
      <w:pPr>
        <w:spacing w:line="360" w:lineRule="auto"/>
        <w:rPr>
          <w:rFonts w:eastAsia="Times New Roman" w:cs="Arial"/>
          <w:sz w:val="22"/>
          <w:szCs w:val="22"/>
          <w:lang w:val="es-ES_tradnl"/>
        </w:rPr>
      </w:pPr>
    </w:p>
    <w:p w14:paraId="4165BE46"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t>[PARA CASO ROJO</w:t>
      </w:r>
      <w:proofErr w:type="gramStart"/>
      <w:r w:rsidRPr="001B0C3B">
        <w:rPr>
          <w:rFonts w:eastAsia="Times New Roman" w:cs="Arial"/>
          <w:b/>
          <w:bCs/>
          <w:sz w:val="22"/>
          <w:szCs w:val="22"/>
          <w:highlight w:val="green"/>
          <w:lang w:val="es-ES"/>
        </w:rPr>
        <w:t>]</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w:t>
      </w:r>
      <w:proofErr w:type="gramEnd"/>
      <w:r w:rsidR="007B1C0F" w:rsidRPr="001B0C3B">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proofErr w:type="gramStart"/>
      <w:r w:rsidRPr="001B0C3B">
        <w:rPr>
          <w:rFonts w:eastAsia="Times New Roman" w:cs="Arial"/>
          <w:sz w:val="22"/>
          <w:szCs w:val="22"/>
          <w:lang w:val="es-ES"/>
        </w:rPr>
        <w:t>Subsidiariamente y únicamente</w:t>
      </w:r>
      <w:proofErr w:type="gramEnd"/>
      <w:r w:rsidRPr="001B0C3B">
        <w:rPr>
          <w:rFonts w:eastAsia="Times New Roman" w:cs="Arial"/>
          <w:sz w:val="22"/>
          <w:szCs w:val="22"/>
          <w:lang w:val="es-ES"/>
        </w:rPr>
        <w:t xml:space="preserve"> para el hipotético supuesto de que este Ilustre Juzgado estime que el contrato es usurario y/o adolece de falta de transparencia, </w:t>
      </w:r>
      <w:r w:rsidRPr="001B0C3B">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 xml:space="preserve">el tratamiento de la usura en las tarjetas de crédito bajo la modalidad </w:t>
      </w:r>
      <w:proofErr w:type="spellStart"/>
      <w:r w:rsidRPr="001B0C3B">
        <w:rPr>
          <w:rFonts w:eastAsia="Times New Roman" w:cs="Arial"/>
          <w:b/>
          <w:bCs/>
          <w:i/>
          <w:iCs/>
          <w:sz w:val="22"/>
          <w:szCs w:val="22"/>
          <w:u w:val="single"/>
          <w:lang w:val="es-ES"/>
        </w:rPr>
        <w:t>revolving</w:t>
      </w:r>
      <w:proofErr w:type="spellEnd"/>
      <w:r w:rsidRPr="001B0C3B">
        <w:rPr>
          <w:rFonts w:eastAsia="Times New Roman" w:cs="Arial"/>
          <w:b/>
          <w:bCs/>
          <w:i/>
          <w:iCs/>
          <w:sz w:val="22"/>
          <w:szCs w:val="22"/>
          <w:u w:val="single"/>
          <w:lang w:val="es-ES"/>
        </w:rPr>
        <w:t xml:space="preserve"> ha experimentado una continuada evolución jurisprudencial</w:t>
      </w:r>
      <w:r w:rsidRPr="001B0C3B">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1B0C3B">
        <w:rPr>
          <w:rFonts w:eastAsia="Times New Roman" w:cs="Arial"/>
          <w:i/>
          <w:iCs/>
          <w:sz w:val="22"/>
          <w:szCs w:val="22"/>
          <w:lang w:val="es-ES"/>
        </w:rPr>
        <w:t>nº</w:t>
      </w:r>
      <w:proofErr w:type="spellEnd"/>
      <w:r w:rsidRPr="001B0C3B">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w:t>
      </w:r>
      <w:r w:rsidRPr="001B0C3B">
        <w:rPr>
          <w:rFonts w:eastAsia="Times New Roman" w:cs="Arial"/>
          <w:i/>
          <w:iCs/>
          <w:sz w:val="22"/>
          <w:szCs w:val="22"/>
          <w:lang w:val="es-ES"/>
        </w:rPr>
        <w:lastRenderedPageBreak/>
        <w:t>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Pr="001B0C3B"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664F0D29"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 xml:space="preserve">PRIMER OTROSÍ DIGO, </w:t>
      </w:r>
      <w:r w:rsidRPr="00605F61">
        <w:rPr>
          <w:rFonts w:cs="Arial"/>
          <w:sz w:val="22"/>
          <w:szCs w:val="22"/>
          <w:lang w:val="es-ES"/>
        </w:rPr>
        <w:t xml:space="preserve">que de conformidad con lo establecido en el artículo 129 bis de la LEC, venimos a </w:t>
      </w:r>
      <w:r w:rsidRPr="00605F61">
        <w:rPr>
          <w:rFonts w:cs="Arial"/>
          <w:b/>
          <w:sz w:val="22"/>
          <w:szCs w:val="22"/>
          <w:lang w:val="es-ES"/>
        </w:rPr>
        <w:t>solicitar la celebración de la audiencia previa</w:t>
      </w:r>
      <w:r w:rsidRPr="00605F61">
        <w:rPr>
          <w:rFonts w:cs="Arial"/>
          <w:sz w:val="22"/>
          <w:szCs w:val="22"/>
          <w:lang w:val="es-ES"/>
        </w:rPr>
        <w:t xml:space="preserve"> </w:t>
      </w:r>
      <w:r w:rsidRPr="00605F61">
        <w:rPr>
          <w:rFonts w:cs="Arial"/>
          <w:b/>
          <w:sz w:val="22"/>
          <w:szCs w:val="22"/>
          <w:lang w:val="es-ES"/>
        </w:rPr>
        <w:t>de forma telemática</w:t>
      </w:r>
      <w:r w:rsidRPr="00605F61">
        <w:rPr>
          <w:rFonts w:cs="Arial"/>
          <w:sz w:val="22"/>
          <w:szCs w:val="22"/>
          <w:lang w:val="es-ES"/>
        </w:rPr>
        <w:t xml:space="preserve">, </w:t>
      </w:r>
      <w:r w:rsidRPr="00605F61">
        <w:rPr>
          <w:rFonts w:cs="Arial"/>
          <w:sz w:val="22"/>
          <w:szCs w:val="22"/>
          <w:lang w:val="es-ES"/>
        </w:rPr>
        <w:lastRenderedPageBreak/>
        <w:t xml:space="preserve">manifestando esta parte que su letrado y procurador disponen de los medios técnicos precisos para ello. </w:t>
      </w:r>
    </w:p>
    <w:p w14:paraId="0A0B6DAE" w14:textId="77777777" w:rsidR="00143AE0" w:rsidRPr="001B0C3B"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6FE84544"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SEGUNDO OTROSÍ DIGO</w:t>
      </w:r>
      <w:r w:rsidRPr="00605F61">
        <w:rPr>
          <w:rFonts w:cs="Arial"/>
          <w:sz w:val="22"/>
          <w:szCs w:val="22"/>
          <w:lang w:val="es-ES"/>
        </w:rPr>
        <w:t xml:space="preserve">, que para el supuesto que se acceda a la celebración telemática de la audiencia previa, aportamos los datos de contacto del letrado y procurador: </w:t>
      </w:r>
    </w:p>
    <w:p w14:paraId="3CB64773" w14:textId="77777777" w:rsidR="005145D8" w:rsidRPr="00605F61" w:rsidRDefault="005145D8" w:rsidP="005145D8">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605F61">
        <w:rPr>
          <w:rFonts w:eastAsia="Arial Unicode MS" w:cs="Arial"/>
          <w:spacing w:val="0"/>
          <w:sz w:val="22"/>
          <w:szCs w:val="22"/>
          <w:lang w:val="es-ES" w:eastAsia="en-GB"/>
        </w:rPr>
        <w:t xml:space="preserve">Letrado: </w:t>
      </w:r>
      <w:hyperlink r:id="rId15" w:history="1">
        <w:r w:rsidRPr="00605F61">
          <w:rPr>
            <w:rFonts w:eastAsia="Arial Unicode MS" w:cs="Arial"/>
            <w:sz w:val="22"/>
            <w:szCs w:val="22"/>
            <w:lang w:eastAsia="en-GB"/>
          </w:rPr>
          <w:t>ENLACESWIZINK@lexer.es</w:t>
        </w:r>
      </w:hyperlink>
      <w:r w:rsidRPr="00605F61">
        <w:rPr>
          <w:rFonts w:eastAsia="Arial Unicode MS" w:cs="Arial"/>
          <w:sz w:val="22"/>
          <w:szCs w:val="22"/>
          <w:lang w:eastAsia="en-GB"/>
        </w:rPr>
        <w:t xml:space="preserve"> ; </w:t>
      </w:r>
      <w:r w:rsidRPr="00605F61">
        <w:rPr>
          <w:rFonts w:eastAsia="Arial Unicode MS" w:cs="Arial"/>
          <w:spacing w:val="0"/>
          <w:sz w:val="22"/>
          <w:szCs w:val="22"/>
          <w:lang w:val="es-ES" w:eastAsia="en-GB"/>
        </w:rPr>
        <w:t>917.004.099 (Extensiones: 2009, 2644 o 1931)</w:t>
      </w:r>
    </w:p>
    <w:p w14:paraId="37DFE975" w14:textId="77777777" w:rsidR="005145D8" w:rsidRPr="00605F61" w:rsidRDefault="005145D8" w:rsidP="005145D8">
      <w:pPr>
        <w:pStyle w:val="Textoindependiente21"/>
        <w:spacing w:before="100" w:beforeAutospacing="1" w:after="100" w:afterAutospacing="1" w:line="360" w:lineRule="auto"/>
        <w:ind w:left="0"/>
        <w:rPr>
          <w:rFonts w:ascii="Book Antiqua" w:hAnsi="Book Antiqua"/>
          <w:spacing w:val="0"/>
          <w:sz w:val="22"/>
          <w:szCs w:val="22"/>
          <w:lang w:val="es-ES"/>
        </w:rPr>
      </w:pPr>
      <w:r w:rsidRPr="00605F61">
        <w:rPr>
          <w:rFonts w:eastAsia="Arial Unicode MS" w:cs="Arial"/>
          <w:spacing w:val="0"/>
          <w:sz w:val="22"/>
          <w:szCs w:val="22"/>
          <w:lang w:val="es-ES" w:eastAsia="en-GB"/>
        </w:rPr>
        <w:t xml:space="preserve">Procurador:  </w:t>
      </w:r>
      <w:hyperlink r:id="rId16" w:history="1">
        <w:r w:rsidRPr="00605F61">
          <w:rPr>
            <w:rFonts w:eastAsia="Arial Unicode MS" w:cs="Arial"/>
            <w:sz w:val="22"/>
            <w:szCs w:val="22"/>
            <w:lang w:eastAsia="en-GB"/>
          </w:rPr>
          <w:t>externos@lexer.es</w:t>
        </w:r>
      </w:hyperlink>
      <w:r w:rsidRPr="00605F61">
        <w:rPr>
          <w:rFonts w:eastAsia="Arial Unicode MS" w:cs="Arial"/>
          <w:sz w:val="22"/>
          <w:szCs w:val="22"/>
          <w:lang w:eastAsia="en-GB"/>
        </w:rPr>
        <w:t xml:space="preserve"> ; </w:t>
      </w:r>
      <w:r w:rsidRPr="00605F61">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4CF8CB38" w14:textId="77777777" w:rsidR="005145D8" w:rsidRPr="00605F61" w:rsidRDefault="005145D8" w:rsidP="005145D8">
      <w:pPr>
        <w:spacing w:after="210" w:line="360" w:lineRule="auto"/>
        <w:rPr>
          <w:rFonts w:cs="Arial"/>
          <w:b/>
          <w:sz w:val="22"/>
          <w:szCs w:val="22"/>
          <w:lang w:val="es-ES"/>
        </w:rPr>
      </w:pPr>
      <w:r w:rsidRPr="00605F61">
        <w:rPr>
          <w:rFonts w:cs="Arial"/>
          <w:b/>
          <w:sz w:val="22"/>
          <w:szCs w:val="22"/>
          <w:lang w:val="es-ES"/>
        </w:rPr>
        <w:t>TERCER OTROSÍ DIGO</w:t>
      </w:r>
      <w:r w:rsidRPr="00605F61">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F98F34A" w14:textId="77777777" w:rsidR="005145D8" w:rsidRPr="00605F61" w:rsidRDefault="005145D8" w:rsidP="005145D8">
      <w:pPr>
        <w:spacing w:after="210" w:line="360" w:lineRule="auto"/>
        <w:rPr>
          <w:rFonts w:cs="Arial"/>
          <w:sz w:val="22"/>
          <w:szCs w:val="22"/>
          <w:lang w:val="es-ES"/>
        </w:rPr>
      </w:pPr>
      <w:r w:rsidRPr="00605F61">
        <w:rPr>
          <w:rFonts w:cs="Arial"/>
          <w:b/>
          <w:sz w:val="22"/>
          <w:szCs w:val="22"/>
          <w:lang w:val="es-ES"/>
        </w:rPr>
        <w:t>AL JUZGADO SUPLICO</w:t>
      </w:r>
      <w:r w:rsidRPr="00605F61">
        <w:rPr>
          <w:rFonts w:cs="Arial"/>
          <w:sz w:val="22"/>
          <w:szCs w:val="22"/>
          <w:lang w:val="es-ES"/>
        </w:rPr>
        <w:t>, que tenga por realizada la anterior manifestación a los efectos oportunos.</w:t>
      </w:r>
    </w:p>
    <w:p w14:paraId="462C2B0C" w14:textId="77777777" w:rsidR="005145D8" w:rsidRPr="001B0C3B" w:rsidRDefault="005145D8"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 xml:space="preserve">Gemma </w:t>
      </w:r>
      <w:proofErr w:type="spellStart"/>
      <w:r w:rsidRPr="001B0C3B">
        <w:rPr>
          <w:rFonts w:cs="Arial"/>
          <w:sz w:val="22"/>
          <w:szCs w:val="22"/>
          <w:lang w:val="es-ES_tradnl"/>
        </w:rPr>
        <w:t>Donderis</w:t>
      </w:r>
      <w:proofErr w:type="spellEnd"/>
      <w:r w:rsidRPr="001B0C3B">
        <w:rPr>
          <w:rFonts w:cs="Arial"/>
          <w:sz w:val="22"/>
          <w:szCs w:val="22"/>
          <w:lang w:val="es-ES_tradnl"/>
        </w:rPr>
        <w:t xml:space="preserve">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5F3926">
      <w:headerReference w:type="default" r:id="rId17"/>
      <w:footerReference w:type="first" r:id="rId18"/>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EAFE0A" w14:textId="77777777" w:rsidR="005F3926" w:rsidRDefault="005F3926">
      <w:pPr>
        <w:spacing w:line="240" w:lineRule="auto"/>
      </w:pPr>
      <w:r>
        <w:separator/>
      </w:r>
    </w:p>
  </w:endnote>
  <w:endnote w:type="continuationSeparator" w:id="0">
    <w:p w14:paraId="18B86BF8" w14:textId="77777777" w:rsidR="005F3926" w:rsidRDefault="005F39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6137D3" w14:textId="77777777" w:rsidR="005F3926" w:rsidRPr="00586325" w:rsidRDefault="005F3926" w:rsidP="00586325">
      <w:pPr>
        <w:pStyle w:val="Piedepgina"/>
      </w:pPr>
      <w:r>
        <w:continuationSeparator/>
      </w:r>
    </w:p>
  </w:footnote>
  <w:footnote w:type="continuationSeparator" w:id="0">
    <w:p w14:paraId="704EAE3B" w14:textId="77777777" w:rsidR="005F3926" w:rsidRDefault="005F3926"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12284A39"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Sevilla,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489/2023, de 20 de </w:t>
      </w:r>
      <w:proofErr w:type="spellStart"/>
      <w:r>
        <w:rPr>
          <w:rFonts w:cs="Arial"/>
          <w:sz w:val="18"/>
          <w:szCs w:val="18"/>
        </w:rPr>
        <w:t>octubre</w:t>
      </w:r>
      <w:proofErr w:type="spellEnd"/>
      <w:r>
        <w:rPr>
          <w:rFonts w:cs="Arial"/>
          <w:sz w:val="18"/>
          <w:szCs w:val="18"/>
        </w:rPr>
        <w:t xml:space="preserve"> rec. 1417/2021.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2002.</w:t>
      </w:r>
    </w:p>
  </w:footnote>
  <w:footnote w:id="7">
    <w:p w14:paraId="2EB4389C" w14:textId="77777777" w:rsidR="0023073B" w:rsidRDefault="0023073B" w:rsidP="0023073B">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Mérida, </w:t>
      </w:r>
      <w:proofErr w:type="spellStart"/>
      <w:r>
        <w:rPr>
          <w:rFonts w:cs="Arial"/>
          <w:sz w:val="18"/>
          <w:szCs w:val="18"/>
        </w:rPr>
        <w:t>Sección</w:t>
      </w:r>
      <w:proofErr w:type="spellEnd"/>
      <w:r>
        <w:rPr>
          <w:rFonts w:cs="Arial"/>
          <w:sz w:val="18"/>
          <w:szCs w:val="18"/>
        </w:rPr>
        <w:t xml:space="preserve"> 3ª, </w:t>
      </w:r>
      <w:proofErr w:type="spellStart"/>
      <w:r>
        <w:rPr>
          <w:rFonts w:cs="Arial"/>
          <w:sz w:val="18"/>
          <w:szCs w:val="18"/>
        </w:rPr>
        <w:t>núm</w:t>
      </w:r>
      <w:proofErr w:type="spellEnd"/>
      <w:r>
        <w:rPr>
          <w:rFonts w:cs="Arial"/>
          <w:sz w:val="18"/>
          <w:szCs w:val="18"/>
        </w:rPr>
        <w:t xml:space="preserve">. 136/2023, de 31 de mayo, rec. 935/2022.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2004.</w:t>
      </w:r>
    </w:p>
  </w:footnote>
  <w:footnote w:id="8">
    <w:p w14:paraId="3554EA2A" w14:textId="77777777" w:rsidR="006F3231" w:rsidRPr="00E56CEE" w:rsidRDefault="006F3231" w:rsidP="006F3231">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9">
    <w:p w14:paraId="15A82F58" w14:textId="77777777" w:rsidR="006F3231" w:rsidRPr="00E56CEE" w:rsidRDefault="006F3231" w:rsidP="006F3231">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0">
    <w:p w14:paraId="702CED87" w14:textId="77777777" w:rsidR="006F3231" w:rsidRDefault="006F3231" w:rsidP="006F3231">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1">
    <w:p w14:paraId="52EC9296"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13</w:t>
      </w:r>
      <w:r>
        <w:rPr>
          <w:rFonts w:eastAsiaTheme="minorEastAsia" w:cs="Arial"/>
          <w:sz w:val="18"/>
          <w:szCs w:val="18"/>
          <w:lang w:eastAsia="es-ES_tradnl"/>
        </w:rPr>
        <w:t xml:space="preserve"> ª</w:t>
      </w:r>
      <w:r>
        <w:rPr>
          <w:rFonts w:cs="Arial"/>
          <w:sz w:val="18"/>
          <w:szCs w:val="18"/>
        </w:rPr>
        <w:t xml:space="preserve">, </w:t>
      </w:r>
      <w:proofErr w:type="spellStart"/>
      <w:r>
        <w:rPr>
          <w:rFonts w:cs="Arial"/>
          <w:sz w:val="18"/>
          <w:szCs w:val="18"/>
        </w:rPr>
        <w:t>núm</w:t>
      </w:r>
      <w:proofErr w:type="spellEnd"/>
      <w:r>
        <w:rPr>
          <w:rFonts w:cs="Arial"/>
          <w:sz w:val="18"/>
          <w:szCs w:val="18"/>
        </w:rPr>
        <w:t xml:space="preserve">. 463/2023, de 23 de </w:t>
      </w:r>
      <w:proofErr w:type="spellStart"/>
      <w:r>
        <w:rPr>
          <w:rFonts w:cs="Arial"/>
          <w:sz w:val="18"/>
          <w:szCs w:val="18"/>
        </w:rPr>
        <w:t>noviembre</w:t>
      </w:r>
      <w:proofErr w:type="spellEnd"/>
      <w:r>
        <w:rPr>
          <w:rFonts w:cs="Arial"/>
          <w:sz w:val="18"/>
          <w:szCs w:val="18"/>
        </w:rPr>
        <w:t xml:space="preserve">, rec. 929/2022.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2016.</w:t>
      </w:r>
    </w:p>
  </w:footnote>
  <w:footnote w:id="12">
    <w:p w14:paraId="58C05D22"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14ª, de 29 de </w:t>
      </w:r>
      <w:proofErr w:type="spellStart"/>
      <w:r>
        <w:rPr>
          <w:rFonts w:cs="Arial"/>
          <w:sz w:val="18"/>
          <w:szCs w:val="18"/>
        </w:rPr>
        <w:t>septiembre</w:t>
      </w:r>
      <w:proofErr w:type="spellEnd"/>
      <w:r>
        <w:rPr>
          <w:rFonts w:cs="Arial"/>
          <w:sz w:val="18"/>
          <w:szCs w:val="18"/>
        </w:rPr>
        <w:t xml:space="preserve">, rec. 876/2022.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2013.</w:t>
      </w:r>
    </w:p>
  </w:footnote>
  <w:footnote w:id="13">
    <w:p w14:paraId="66C1B69E" w14:textId="77777777" w:rsidR="0023073B" w:rsidRDefault="0023073B" w:rsidP="0023073B">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Córdoba,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843/2023, de 20 de </w:t>
      </w:r>
      <w:proofErr w:type="spellStart"/>
      <w:r>
        <w:rPr>
          <w:rFonts w:cs="Arial"/>
          <w:sz w:val="18"/>
          <w:szCs w:val="18"/>
        </w:rPr>
        <w:t>diciembre</w:t>
      </w:r>
      <w:proofErr w:type="spellEnd"/>
      <w:r>
        <w:rPr>
          <w:rFonts w:cs="Arial"/>
          <w:sz w:val="18"/>
          <w:szCs w:val="18"/>
        </w:rPr>
        <w:t xml:space="preserve">, rec. 23/2023.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2014.</w:t>
      </w:r>
    </w:p>
  </w:footnote>
  <w:footnote w:id="14">
    <w:p w14:paraId="3087C05D" w14:textId="77777777" w:rsidR="0023073B" w:rsidRDefault="0023073B" w:rsidP="0023073B">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Barcelona, </w:t>
      </w:r>
      <w:proofErr w:type="spellStart"/>
      <w:r>
        <w:rPr>
          <w:rFonts w:cs="Arial"/>
          <w:sz w:val="18"/>
          <w:szCs w:val="18"/>
        </w:rPr>
        <w:t>Sección</w:t>
      </w:r>
      <w:proofErr w:type="spellEnd"/>
      <w:r>
        <w:rPr>
          <w:rFonts w:cs="Arial"/>
          <w:sz w:val="18"/>
          <w:szCs w:val="18"/>
        </w:rPr>
        <w:t xml:space="preserve"> </w:t>
      </w:r>
      <w:r>
        <w:rPr>
          <w:rFonts w:eastAsiaTheme="minorEastAsia" w:cs="Arial"/>
          <w:sz w:val="18"/>
          <w:szCs w:val="18"/>
          <w:lang w:eastAsia="es-ES_tradnl"/>
        </w:rPr>
        <w:t xml:space="preserve">4ª, </w:t>
      </w:r>
      <w:proofErr w:type="spellStart"/>
      <w:r>
        <w:rPr>
          <w:rFonts w:eastAsiaTheme="minorEastAsia" w:cs="Arial"/>
          <w:sz w:val="18"/>
          <w:szCs w:val="18"/>
          <w:lang w:eastAsia="es-ES_tradnl"/>
        </w:rPr>
        <w:t>núm</w:t>
      </w:r>
      <w:proofErr w:type="spellEnd"/>
      <w:r>
        <w:rPr>
          <w:rFonts w:eastAsiaTheme="minorEastAsia" w:cs="Arial"/>
          <w:sz w:val="18"/>
          <w:szCs w:val="18"/>
          <w:lang w:eastAsia="es-ES_tradnl"/>
        </w:rPr>
        <w:t xml:space="preserve">. 823/2023, de 19 de </w:t>
      </w:r>
      <w:proofErr w:type="spellStart"/>
      <w:r>
        <w:rPr>
          <w:rFonts w:eastAsiaTheme="minorEastAsia" w:cs="Arial"/>
          <w:sz w:val="18"/>
          <w:szCs w:val="18"/>
          <w:lang w:eastAsia="es-ES_tradnl"/>
        </w:rPr>
        <w:t>diciembre</w:t>
      </w:r>
      <w:proofErr w:type="spellEnd"/>
      <w:r>
        <w:rPr>
          <w:rFonts w:eastAsiaTheme="minorEastAsia" w:cs="Arial"/>
          <w:sz w:val="18"/>
          <w:szCs w:val="18"/>
          <w:lang w:eastAsia="es-ES_tradnl"/>
        </w:rPr>
        <w:t xml:space="preserve">, rec. 1049/2022.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2015.</w:t>
      </w:r>
    </w:p>
  </w:footnote>
  <w:footnote w:id="15">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6">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7">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8">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9">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4" w:history="1">
        <w:r w:rsidRPr="004F6052">
          <w:rPr>
            <w:rStyle w:val="Hipervnculo"/>
            <w:lang w:val="es-ES_tradnl"/>
          </w:rPr>
          <w:t>https://app.vlex.com/vid/actual-litigiosidad-credito-revolving-973974595</w:t>
        </w:r>
      </w:hyperlink>
    </w:p>
  </w:footnote>
  <w:footnote w:id="20">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21">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2">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23">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24">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25">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w:t>
      </w:r>
      <w:proofErr w:type="spellStart"/>
      <w:r w:rsidRPr="0041663E">
        <w:rPr>
          <w:sz w:val="16"/>
          <w:szCs w:val="16"/>
          <w:lang w:val="es-ES_tradnl"/>
        </w:rPr>
        <w:t>Nº</w:t>
      </w:r>
      <w:proofErr w:type="spellEnd"/>
      <w:r w:rsidRPr="0041663E">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6">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7">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8">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29">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30">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31">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32">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33">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34">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5">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6">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7">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38">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9">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0">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1">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2">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43">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44">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45">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2"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2"/>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46">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7">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8">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 xml:space="preserve">:ES:TS:2019:3315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49">
    <w:p w14:paraId="01E307AC" w14:textId="77777777" w:rsidR="006B1F36" w:rsidRPr="005115E4" w:rsidRDefault="006B1F36" w:rsidP="000131F5">
      <w:pPr>
        <w:pStyle w:val="Textonotapie"/>
        <w:rPr>
          <w:rFonts w:cs="Arial"/>
          <w:lang w:val="es-ES"/>
        </w:rPr>
      </w:pPr>
    </w:p>
  </w:footnote>
  <w:footnote w:id="50">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 xml:space="preserve">:2018:6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51">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 xml:space="preserve">:2012:750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52">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 xml:space="preserve">:2012:2717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53">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4">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5">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6"/>
  </w:num>
  <w:num w:numId="3" w16cid:durableId="594050692">
    <w:abstractNumId w:val="15"/>
  </w:num>
  <w:num w:numId="4" w16cid:durableId="1225221816">
    <w:abstractNumId w:val="4"/>
  </w:num>
  <w:num w:numId="5" w16cid:durableId="780799701">
    <w:abstractNumId w:val="10"/>
  </w:num>
  <w:num w:numId="6" w16cid:durableId="1191258655">
    <w:abstractNumId w:val="5"/>
  </w:num>
  <w:num w:numId="7" w16cid:durableId="1627588201">
    <w:abstractNumId w:val="19"/>
  </w:num>
  <w:num w:numId="8" w16cid:durableId="392780825">
    <w:abstractNumId w:val="22"/>
  </w:num>
  <w:num w:numId="9" w16cid:durableId="229274290">
    <w:abstractNumId w:val="20"/>
  </w:num>
  <w:num w:numId="10" w16cid:durableId="433793008">
    <w:abstractNumId w:val="11"/>
  </w:num>
  <w:num w:numId="11" w16cid:durableId="2144272663">
    <w:abstractNumId w:val="14"/>
  </w:num>
  <w:num w:numId="12" w16cid:durableId="1868449832">
    <w:abstractNumId w:val="3"/>
  </w:num>
  <w:num w:numId="13" w16cid:durableId="10548867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3"/>
  </w:num>
  <w:num w:numId="15" w16cid:durableId="691028241">
    <w:abstractNumId w:val="8"/>
  </w:num>
  <w:num w:numId="16" w16cid:durableId="1448743745">
    <w:abstractNumId w:val="16"/>
  </w:num>
  <w:num w:numId="17" w16cid:durableId="1362320289">
    <w:abstractNumId w:val="24"/>
  </w:num>
  <w:num w:numId="18" w16cid:durableId="1669555988">
    <w:abstractNumId w:val="9"/>
  </w:num>
  <w:num w:numId="19" w16cid:durableId="251205173">
    <w:abstractNumId w:val="0"/>
  </w:num>
  <w:num w:numId="20" w16cid:durableId="1835494020">
    <w:abstractNumId w:val="17"/>
  </w:num>
  <w:num w:numId="21" w16cid:durableId="1933736534">
    <w:abstractNumId w:val="21"/>
  </w:num>
  <w:num w:numId="22" w16cid:durableId="830877730">
    <w:abstractNumId w:val="27"/>
  </w:num>
  <w:num w:numId="23" w16cid:durableId="947587477">
    <w:abstractNumId w:val="7"/>
  </w:num>
  <w:num w:numId="24" w16cid:durableId="1611812359">
    <w:abstractNumId w:val="26"/>
  </w:num>
  <w:num w:numId="25" w16cid:durableId="1053234551">
    <w:abstractNumId w:val="1"/>
  </w:num>
  <w:num w:numId="26" w16cid:durableId="1920551528">
    <w:abstractNumId w:val="18"/>
  </w:num>
  <w:num w:numId="27" w16cid:durableId="1751371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913C1"/>
    <w:rsid w:val="00192615"/>
    <w:rsid w:val="00197F35"/>
    <w:rsid w:val="001B0C3B"/>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42E4"/>
    <w:rsid w:val="00225252"/>
    <w:rsid w:val="0023073B"/>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1166"/>
    <w:rsid w:val="00354458"/>
    <w:rsid w:val="0035748F"/>
    <w:rsid w:val="003615AD"/>
    <w:rsid w:val="00362D12"/>
    <w:rsid w:val="00365920"/>
    <w:rsid w:val="00366FA5"/>
    <w:rsid w:val="003701AD"/>
    <w:rsid w:val="003819C9"/>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F26FF"/>
    <w:rsid w:val="004F27D0"/>
    <w:rsid w:val="004F689E"/>
    <w:rsid w:val="005000B3"/>
    <w:rsid w:val="0050094A"/>
    <w:rsid w:val="005045A9"/>
    <w:rsid w:val="005070F4"/>
    <w:rsid w:val="005145D8"/>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3926"/>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595C"/>
    <w:rsid w:val="006866D8"/>
    <w:rsid w:val="0068752B"/>
    <w:rsid w:val="00693528"/>
    <w:rsid w:val="00697879"/>
    <w:rsid w:val="006B0AFB"/>
    <w:rsid w:val="006B1F36"/>
    <w:rsid w:val="006B40C9"/>
    <w:rsid w:val="006C0773"/>
    <w:rsid w:val="006C3316"/>
    <w:rsid w:val="006C5148"/>
    <w:rsid w:val="006C5171"/>
    <w:rsid w:val="006C731B"/>
    <w:rsid w:val="006D53BF"/>
    <w:rsid w:val="006D5737"/>
    <w:rsid w:val="006D7AD3"/>
    <w:rsid w:val="006E1EA1"/>
    <w:rsid w:val="006E6119"/>
    <w:rsid w:val="006E6A6D"/>
    <w:rsid w:val="006F3231"/>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6FEA"/>
    <w:rsid w:val="00787D3E"/>
    <w:rsid w:val="00790859"/>
    <w:rsid w:val="007A12AF"/>
    <w:rsid w:val="007A2109"/>
    <w:rsid w:val="007B159D"/>
    <w:rsid w:val="007B16F5"/>
    <w:rsid w:val="007B1C0F"/>
    <w:rsid w:val="007B2A65"/>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0EEB"/>
    <w:rsid w:val="00844C07"/>
    <w:rsid w:val="0085100C"/>
    <w:rsid w:val="00856C9E"/>
    <w:rsid w:val="00857579"/>
    <w:rsid w:val="008615D9"/>
    <w:rsid w:val="00861FBD"/>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6923"/>
    <w:rsid w:val="00907691"/>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64CE3"/>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C86"/>
    <w:rsid w:val="00B10EA7"/>
    <w:rsid w:val="00B11BDB"/>
    <w:rsid w:val="00B35276"/>
    <w:rsid w:val="00B40328"/>
    <w:rsid w:val="00B4157F"/>
    <w:rsid w:val="00B52118"/>
    <w:rsid w:val="00B54430"/>
    <w:rsid w:val="00B5572B"/>
    <w:rsid w:val="00B63DF3"/>
    <w:rsid w:val="00B65AE0"/>
    <w:rsid w:val="00B66179"/>
    <w:rsid w:val="00B72A78"/>
    <w:rsid w:val="00B750AD"/>
    <w:rsid w:val="00B75F8E"/>
    <w:rsid w:val="00B8026E"/>
    <w:rsid w:val="00B826DE"/>
    <w:rsid w:val="00BB1810"/>
    <w:rsid w:val="00BB6351"/>
    <w:rsid w:val="00BC22AD"/>
    <w:rsid w:val="00BC28E7"/>
    <w:rsid w:val="00BC4FC2"/>
    <w:rsid w:val="00BC558E"/>
    <w:rsid w:val="00BD0777"/>
    <w:rsid w:val="00BD1756"/>
    <w:rsid w:val="00BD1A23"/>
    <w:rsid w:val="00BD3539"/>
    <w:rsid w:val="00BD3991"/>
    <w:rsid w:val="00BD3B0F"/>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77F6E"/>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1B3C"/>
    <w:rsid w:val="00EC32DD"/>
    <w:rsid w:val="00ED08A9"/>
    <w:rsid w:val="00ED1B41"/>
    <w:rsid w:val="00ED4803"/>
    <w:rsid w:val="00ED7C7C"/>
    <w:rsid w:val="00EE0820"/>
    <w:rsid w:val="00EE484E"/>
    <w:rsid w:val="00EE5E05"/>
    <w:rsid w:val="00EE6506"/>
    <w:rsid w:val="00EE6E18"/>
    <w:rsid w:val="00EF1928"/>
    <w:rsid w:val="00F022E0"/>
    <w:rsid w:val="00F121CB"/>
    <w:rsid w:val="00F15680"/>
    <w:rsid w:val="00F164AB"/>
    <w:rsid w:val="00F22B59"/>
    <w:rsid w:val="00F24A01"/>
    <w:rsid w:val="00F24A09"/>
    <w:rsid w:val="00F31002"/>
    <w:rsid w:val="00F35B13"/>
    <w:rsid w:val="00F445F1"/>
    <w:rsid w:val="00F51543"/>
    <w:rsid w:val="00F539D5"/>
    <w:rsid w:val="00F62290"/>
    <w:rsid w:val="00F6340A"/>
    <w:rsid w:val="00F63D71"/>
    <w:rsid w:val="00F6670A"/>
    <w:rsid w:val="00F66853"/>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5145D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993415571">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002272353">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externos@lexer.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hyperlink" Target="mailto:ENLACESWIZINK@lexer.es"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document.dotm</Template>
  <TotalTime>65</TotalTime>
  <Pages>50</Pages>
  <Words>17980</Words>
  <Characters>98894</Characters>
  <Application>Microsoft Office Word</Application>
  <DocSecurity>0</DocSecurity>
  <Lines>824</Lines>
  <Paragraphs>233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AVALENTIA ABOGADOS - ÁREA ADMINISTRATIVO</cp:lastModifiedBy>
  <cp:revision>8</cp:revision>
  <dcterms:created xsi:type="dcterms:W3CDTF">2024-03-18T08:21:00Z</dcterms:created>
  <dcterms:modified xsi:type="dcterms:W3CDTF">2024-04-15T10:25:00Z</dcterms:modified>
</cp:coreProperties>
</file>