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4D6AB" w14:textId="77777777" w:rsidR="00B81AA5" w:rsidRPr="00A92D61" w:rsidRDefault="00B81AA5" w:rsidP="00B81AA5">
      <w:pPr>
        <w:pStyle w:val="Encabezado"/>
        <w:spacing w:after="210" w:line="240" w:lineRule="auto"/>
        <w:jc w:val="center"/>
        <w:rPr>
          <w:rFonts w:cs="Arial"/>
          <w:b/>
          <w:sz w:val="22"/>
          <w:szCs w:val="22"/>
          <w:highlight w:val="green"/>
          <w:lang w:val="es-ES_tradnl"/>
        </w:rPr>
      </w:pPr>
      <w:bookmarkStart w:id="0" w:name="_Hlk147484115"/>
      <w:bookmarkStart w:id="1" w:name="_Hlk147484458"/>
      <w:r w:rsidRPr="00A92D61">
        <w:rPr>
          <w:rFonts w:cs="Arial"/>
          <w:b/>
          <w:sz w:val="22"/>
          <w:szCs w:val="22"/>
          <w:highlight w:val="green"/>
          <w:lang w:val="es-ES_tradnl"/>
        </w:rPr>
        <w:t xml:space="preserve">MODELO PARA TAE ÚNICA en contrato </w:t>
      </w:r>
    </w:p>
    <w:p w14:paraId="753C5AE0" w14:textId="77777777" w:rsidR="00B81AA5" w:rsidRPr="00A92D61" w:rsidRDefault="00B81AA5" w:rsidP="00B81AA5">
      <w:pPr>
        <w:pStyle w:val="Encabezado"/>
        <w:spacing w:after="210" w:line="240" w:lineRule="auto"/>
        <w:jc w:val="center"/>
        <w:rPr>
          <w:rFonts w:cs="Arial"/>
          <w:b/>
          <w:sz w:val="22"/>
          <w:szCs w:val="22"/>
          <w:highlight w:val="green"/>
          <w:lang w:val="es-ES_tradnl"/>
        </w:rPr>
      </w:pPr>
      <w:r w:rsidRPr="00A92D61">
        <w:rPr>
          <w:rFonts w:cs="Arial"/>
          <w:b/>
          <w:sz w:val="22"/>
          <w:szCs w:val="22"/>
          <w:highlight w:val="green"/>
          <w:lang w:val="es-ES_tradnl"/>
        </w:rPr>
        <w:t>ORIGEN WIZINK</w:t>
      </w:r>
    </w:p>
    <w:p w14:paraId="1FF72161" w14:textId="77777777" w:rsidR="00170451" w:rsidRPr="001B0C3B" w:rsidRDefault="00170451" w:rsidP="00656890">
      <w:pPr>
        <w:pStyle w:val="Encabezado"/>
        <w:spacing w:after="210" w:line="240" w:lineRule="auto"/>
        <w:rPr>
          <w:rFonts w:cs="Arial"/>
          <w:b/>
          <w:sz w:val="22"/>
          <w:szCs w:val="22"/>
          <w:highlight w:val="yellow"/>
          <w:lang w:val="es-ES_tradnl"/>
        </w:rPr>
      </w:pPr>
    </w:p>
    <w:p w14:paraId="278CEEF9" w14:textId="6C96DF34" w:rsidR="0062169A" w:rsidRPr="001B0C3B" w:rsidRDefault="0062169A" w:rsidP="00656890">
      <w:pPr>
        <w:pStyle w:val="Encabezado"/>
        <w:spacing w:after="210" w:line="240" w:lineRule="auto"/>
        <w:rPr>
          <w:rFonts w:cs="Arial"/>
          <w:b/>
          <w:sz w:val="22"/>
          <w:szCs w:val="22"/>
          <w:highlight w:val="yellow"/>
          <w:lang w:val="es-ES_tradnl"/>
        </w:rPr>
      </w:pPr>
      <w:r w:rsidRPr="001B0C3B">
        <w:rPr>
          <w:rFonts w:cs="Arial"/>
          <w:b/>
          <w:sz w:val="22"/>
          <w:szCs w:val="22"/>
          <w:highlight w:val="yellow"/>
          <w:lang w:val="es-ES_tradnl"/>
        </w:rPr>
        <w:t xml:space="preserve">Procedimiento ordinario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Pr="001B0C3B"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Así, tras años de incertidumbre sobre cómo debe realizarse este “juicio de usura”, la jurisprudencia ha definido por fin con precisión y claridad los elementos que lo conforman y </w:t>
      </w:r>
      <w:r w:rsidRPr="001B0C3B">
        <w:rPr>
          <w:rFonts w:cs="Arial"/>
          <w:sz w:val="22"/>
          <w:szCs w:val="22"/>
          <w:lang w:val="es-ES"/>
        </w:rPr>
        <w:lastRenderedPageBreak/>
        <w:t>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lastRenderedPageBreak/>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67645BAE" w14:textId="327423C4" w:rsidR="00B81AA5" w:rsidRPr="001B0C3B" w:rsidRDefault="00B81AA5" w:rsidP="007B1C0F">
      <w:pPr>
        <w:pStyle w:val="Body1"/>
        <w:spacing w:line="360" w:lineRule="auto"/>
        <w:rPr>
          <w:rFonts w:cs="Arial"/>
          <w:sz w:val="22"/>
          <w:szCs w:val="22"/>
          <w:lang w:val="es-ES"/>
        </w:rPr>
      </w:pPr>
      <w:r w:rsidRPr="00B81AA5">
        <w:rPr>
          <w:rFonts w:cs="Arial"/>
          <w:sz w:val="22"/>
          <w:szCs w:val="22"/>
          <w:highlight w:val="green"/>
          <w:lang w:val="es-ES"/>
        </w:rPr>
        <w:t>[SE DEJA SI ES VERDE TEDR +0.3]</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 xml:space="preserve">cuanta más oferta crediticia exista, </w:t>
      </w:r>
      <w:r w:rsidRPr="001B0C3B">
        <w:rPr>
          <w:rFonts w:cs="Arial"/>
          <w:i/>
          <w:iCs/>
          <w:sz w:val="22"/>
          <w:szCs w:val="22"/>
          <w:lang w:val="es-ES"/>
        </w:rPr>
        <w:lastRenderedPageBreak/>
        <w:t>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21416BAD" w14:textId="77777777" w:rsidR="00B81AA5" w:rsidRDefault="00B81AA5" w:rsidP="00B81AA5">
      <w:pPr>
        <w:spacing w:line="360" w:lineRule="auto"/>
        <w:rPr>
          <w:rFonts w:eastAsiaTheme="minorEastAsia" w:cs="Arial"/>
          <w:b/>
          <w:bCs/>
        </w:rPr>
      </w:pPr>
      <w:r w:rsidRPr="00A670CE">
        <w:rPr>
          <w:rFonts w:cs="Arial"/>
          <w:b/>
          <w:bCs/>
          <w:highlight w:val="green"/>
        </w:rPr>
        <w:t>[PARA CONTRATO DE ORIGEN WIZINK SUSCRITO ENTRE 2016-2019]</w:t>
      </w:r>
    </w:p>
    <w:p w14:paraId="65CC9FB1"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Destacamos que ya son numerosas las secciones de Audiencias Provinciales que validan los reglamentos Wizink (entre los que se puede incluir el obrante en autos, al ser afín en su clausulado), tanto desde el punto de vista formal como material.</w:t>
      </w:r>
    </w:p>
    <w:p w14:paraId="76172CF4"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Constituyen ejemplo jurisprudencial de validación de la transparencia de estos contratos, lo esgrimido por la sección 14ª</w:t>
      </w:r>
      <w:r w:rsidRPr="00A670CE">
        <w:rPr>
          <w:rStyle w:val="Refdenotaalpie"/>
          <w:rFonts w:cs="Arial"/>
          <w:sz w:val="22"/>
          <w:szCs w:val="22"/>
          <w:lang w:val="es-ES"/>
        </w:rPr>
        <w:footnoteReference w:id="6"/>
      </w:r>
      <w:r w:rsidRPr="00A670CE">
        <w:rPr>
          <w:rFonts w:cs="Arial"/>
          <w:sz w:val="22"/>
          <w:szCs w:val="22"/>
          <w:lang w:val="es-ES"/>
        </w:rPr>
        <w:t>, y la sección 19ª</w:t>
      </w:r>
      <w:r w:rsidRPr="00A670CE">
        <w:rPr>
          <w:rStyle w:val="Refdenotaalpie"/>
          <w:rFonts w:cs="Arial"/>
          <w:sz w:val="22"/>
          <w:szCs w:val="22"/>
          <w:lang w:val="es-ES"/>
        </w:rPr>
        <w:footnoteReference w:id="7"/>
      </w:r>
      <w:r w:rsidRPr="00A670CE">
        <w:rPr>
          <w:rFonts w:cs="Arial"/>
          <w:sz w:val="22"/>
          <w:szCs w:val="22"/>
          <w:lang w:val="es-ES"/>
        </w:rPr>
        <w:t xml:space="preserve"> de la Ilma. Audiencia Provincial de Madrid; y también por la sección 1ª de la Audiencia Provincial de Valladolid</w:t>
      </w:r>
      <w:r w:rsidRPr="00A670CE">
        <w:rPr>
          <w:rStyle w:val="Refdenotaalpie"/>
          <w:rFonts w:cs="Arial"/>
          <w:sz w:val="22"/>
          <w:szCs w:val="22"/>
          <w:lang w:val="es-ES"/>
        </w:rPr>
        <w:footnoteReference w:id="8"/>
      </w:r>
      <w:r w:rsidRPr="00A670CE">
        <w:rPr>
          <w:rFonts w:cs="Arial"/>
          <w:sz w:val="22"/>
          <w:szCs w:val="22"/>
          <w:lang w:val="es-ES"/>
        </w:rPr>
        <w:t>, las cuales confirman con claridad la superación del control de transparencia de la cláusula reguladora del interés remuneratorio.</w:t>
      </w:r>
    </w:p>
    <w:p w14:paraId="72247CCE" w14:textId="77777777" w:rsidR="00B81AA5" w:rsidRPr="00A670CE" w:rsidRDefault="00B81AA5" w:rsidP="00B81AA5">
      <w:pPr>
        <w:spacing w:line="360" w:lineRule="auto"/>
        <w:rPr>
          <w:rFonts w:cs="Arial"/>
          <w:sz w:val="22"/>
          <w:szCs w:val="22"/>
          <w:lang w:val="es-ES"/>
        </w:rPr>
      </w:pPr>
    </w:p>
    <w:p w14:paraId="7CD4E7E3"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 xml:space="preserve">A este respecto, explica por ejemplo la </w:t>
      </w:r>
      <w:r w:rsidRPr="00A670CE">
        <w:rPr>
          <w:rFonts w:cs="Arial"/>
          <w:b/>
          <w:bCs/>
          <w:sz w:val="22"/>
          <w:szCs w:val="22"/>
          <w:lang w:val="es-ES"/>
        </w:rPr>
        <w:t>sección 14ª</w:t>
      </w:r>
      <w:r w:rsidRPr="00A670C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A670CE">
        <w:rPr>
          <w:rFonts w:cs="Arial"/>
          <w:sz w:val="22"/>
          <w:szCs w:val="22"/>
          <w:lang w:val="es-ES"/>
        </w:rPr>
        <w:t>revolving</w:t>
      </w:r>
      <w:proofErr w:type="spellEnd"/>
      <w:r w:rsidRPr="00A670C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0ED0F5D1" w14:textId="77777777" w:rsidR="00B81AA5" w:rsidRPr="00A670CE" w:rsidRDefault="00B81AA5" w:rsidP="00B81AA5">
      <w:pPr>
        <w:spacing w:line="360" w:lineRule="auto"/>
        <w:rPr>
          <w:rFonts w:cs="Arial"/>
          <w:sz w:val="22"/>
          <w:szCs w:val="22"/>
          <w:lang w:val="es-ES"/>
        </w:rPr>
      </w:pPr>
      <w:r w:rsidRPr="00A670CE">
        <w:rPr>
          <w:rFonts w:cs="Arial"/>
          <w:sz w:val="22"/>
          <w:szCs w:val="22"/>
          <w:lang w:val="es-ES"/>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A670CE">
        <w:rPr>
          <w:rFonts w:cs="Arial"/>
          <w:sz w:val="22"/>
          <w:szCs w:val="22"/>
          <w:lang w:val="es-ES"/>
        </w:rPr>
        <w:lastRenderedPageBreak/>
        <w:t>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lastRenderedPageBreak/>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9"/>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Demandante no ha pagado ni un solo euro a Wizink en concepto comisión por posiciones deudoras, ni Wizink le ha aplicado nunca dicha comisión ni reclamado nunca cantidad alguna</w:t>
      </w:r>
      <w:bookmarkStart w:id="17" w:name="_Hlk98859207"/>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7"/>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lastRenderedPageBreak/>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w:t>
      </w:r>
      <w:r w:rsidRPr="001B0C3B">
        <w:rPr>
          <w:rFonts w:cs="Arial"/>
          <w:i/>
          <w:iCs/>
          <w:sz w:val="22"/>
          <w:szCs w:val="22"/>
          <w:lang w:val="es-ES"/>
        </w:rPr>
        <w:lastRenderedPageBreak/>
        <w:t xml:space="preserve">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0"/>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57247204"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6264C6">
        <w:rPr>
          <w:rFonts w:cs="Arial"/>
          <w:sz w:val="22"/>
          <w:szCs w:val="22"/>
          <w:lang w:val="es-ES"/>
        </w:rPr>
        <w:t xml:space="preserve">. </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w:t>
      </w:r>
      <w:r w:rsidRPr="001B0C3B">
        <w:rPr>
          <w:rFonts w:cs="Arial"/>
          <w:sz w:val="22"/>
          <w:szCs w:val="22"/>
          <w:lang w:val="es-ES"/>
        </w:rPr>
        <w:lastRenderedPageBreak/>
        <w:t xml:space="preserve">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1"/>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18" w:name="_Hlk129605960"/>
      <w:r w:rsidRPr="001B0C3B">
        <w:rPr>
          <w:noProof/>
          <w:sz w:val="22"/>
          <w:szCs w:val="22"/>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ROJAS/VERDES </w:t>
      </w:r>
      <w:r w:rsidRPr="001B0C3B">
        <w:rPr>
          <w:rFonts w:cs="Arial"/>
          <w:b/>
          <w:sz w:val="22"/>
          <w:szCs w:val="22"/>
          <w:highlight w:val="green"/>
          <w:lang w:val="es-ES"/>
        </w:rPr>
        <w:t>]</w:t>
      </w:r>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5ADFEF8B"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B81AA5">
        <w:rPr>
          <w:rFonts w:cs="Arial"/>
          <w:sz w:val="22"/>
          <w:szCs w:val="22"/>
          <w:highlight w:val="yellow"/>
          <w:lang w:val="es-ES"/>
        </w:rPr>
        <w:fldChar w:fldCharType="begin"/>
      </w:r>
      <w:r w:rsidR="00B81AA5">
        <w:rPr>
          <w:rFonts w:cs="Arial"/>
          <w:sz w:val="22"/>
          <w:szCs w:val="22"/>
          <w:highlight w:val="yellow"/>
          <w:lang w:val="es-ES"/>
        </w:rPr>
        <w:instrText>persovalores_personalizable180</w:instrText>
      </w:r>
      <w:r w:rsidR="00B81AA5">
        <w:rPr>
          <w:rFonts w:cs="Arial"/>
          <w:sz w:val="22"/>
          <w:szCs w:val="22"/>
          <w:highlight w:val="yellow"/>
          <w:lang w:val="es-ES"/>
        </w:rPr>
        <w:fldChar w:fldCharType="separate"/>
      </w:r>
      <w:r w:rsidR="00B81AA5">
        <w:rPr>
          <w:rFonts w:cs="Arial"/>
          <w:noProof/>
          <w:sz w:val="22"/>
          <w:szCs w:val="22"/>
          <w:highlight w:val="yellow"/>
          <w:lang w:val="es-ES"/>
        </w:rPr>
        <w:t>«WIZINK_AÑO_DE_CONTRATACIÓN»</w:t>
      </w:r>
      <w:r w:rsidR="00B81AA5">
        <w:rPr>
          <w:rFonts w:cs="Arial"/>
          <w:sz w:val="22"/>
          <w:szCs w:val="22"/>
          <w:highlight w:val="yellow"/>
          <w:lang w:val="es-ES"/>
        </w:rPr>
        <w:fldChar w:fldCharType="end"/>
      </w:r>
      <w:r w:rsidR="00B81AA5">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38516AF1"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B81AA5">
        <w:rPr>
          <w:rFonts w:cs="Arial"/>
          <w:sz w:val="22"/>
          <w:szCs w:val="22"/>
          <w:highlight w:val="yellow"/>
          <w:lang w:val="es-ES"/>
        </w:rPr>
        <w:fldChar w:fldCharType="begin"/>
      </w:r>
      <w:r w:rsidR="00B81AA5">
        <w:rPr>
          <w:rFonts w:cs="Arial"/>
          <w:sz w:val="22"/>
          <w:szCs w:val="22"/>
          <w:highlight w:val="yellow"/>
          <w:lang w:val="es-ES"/>
        </w:rPr>
        <w:instrText>persovalores_personalizable1338</w:instrText>
      </w:r>
      <w:r w:rsidR="00B81AA5">
        <w:rPr>
          <w:rFonts w:cs="Arial"/>
          <w:sz w:val="22"/>
          <w:szCs w:val="22"/>
          <w:highlight w:val="yellow"/>
          <w:lang w:val="es-ES"/>
        </w:rPr>
        <w:fldChar w:fldCharType="separate"/>
      </w:r>
      <w:r w:rsidR="00B81AA5">
        <w:rPr>
          <w:rFonts w:cs="Arial"/>
          <w:noProof/>
          <w:sz w:val="22"/>
          <w:szCs w:val="22"/>
          <w:highlight w:val="yellow"/>
          <w:lang w:val="es-ES"/>
        </w:rPr>
        <w:t>«WIZINK_TAE_MEDIA_TABLA_COMPASS»</w:t>
      </w:r>
      <w:r w:rsidR="00B81AA5">
        <w:rPr>
          <w:rFonts w:cs="Arial"/>
          <w:sz w:val="22"/>
          <w:szCs w:val="22"/>
          <w:highlight w:val="yellow"/>
          <w:lang w:val="es-ES"/>
        </w:rPr>
        <w:fldChar w:fldCharType="end"/>
      </w:r>
      <w:r w:rsidR="00B81AA5">
        <w:rPr>
          <w:rFonts w:cs="Arial"/>
          <w:sz w:val="22"/>
          <w:szCs w:val="22"/>
          <w:lang w:val="es-ES"/>
        </w:rPr>
        <w:t xml:space="preserve"> </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w:t>
      </w:r>
      <w:r w:rsidRPr="001B0C3B">
        <w:rPr>
          <w:rFonts w:cs="Arial"/>
          <w:sz w:val="22"/>
          <w:szCs w:val="22"/>
          <w:lang w:val="es-ES"/>
        </w:rPr>
        <w:lastRenderedPageBreak/>
        <w:t xml:space="preserve">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19"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19"/>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18"/>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w:t>
      </w:r>
      <w:r w:rsidR="007B1C0F" w:rsidRPr="001B0C3B">
        <w:rPr>
          <w:rFonts w:cs="Arial"/>
          <w:sz w:val="22"/>
          <w:szCs w:val="22"/>
          <w:lang w:val="es-ES"/>
        </w:rPr>
        <w:lastRenderedPageBreak/>
        <w:t xml:space="preserve">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w:t>
      </w:r>
      <w:r w:rsidR="007B1C0F" w:rsidRPr="001B0C3B">
        <w:rPr>
          <w:rFonts w:cs="Arial"/>
          <w:sz w:val="22"/>
          <w:szCs w:val="22"/>
          <w:lang w:val="es-ES"/>
        </w:rPr>
        <w:lastRenderedPageBreak/>
        <w:t xml:space="preserve">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No obstante, de manera introductoria, destacar que, como ya indica la doctrina (por ejemplo, el abogado Jesús Sánchez García)</w:t>
      </w:r>
      <w:r w:rsidRPr="001B0C3B">
        <w:rPr>
          <w:rStyle w:val="Refdenotaalpie"/>
          <w:rFonts w:cs="Arial"/>
          <w:sz w:val="22"/>
          <w:szCs w:val="22"/>
          <w:lang w:val="es-ES"/>
        </w:rPr>
        <w:footnoteReference w:id="12"/>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que no es conforme a Derecho, exigir, por ejemplo, aplicar la Orden EHA/2899/2011 y la Orden 699/2020 a contratos nacidos con anterioridad a la entrada en vigor de esta normativa. En palabras de Jesús </w:t>
      </w:r>
      <w:proofErr w:type="spellStart"/>
      <w:r w:rsidRPr="001B0C3B">
        <w:rPr>
          <w:rFonts w:cs="Arial"/>
          <w:sz w:val="22"/>
          <w:szCs w:val="22"/>
          <w:lang w:val="es-ES"/>
        </w:rPr>
        <w:t>Sanchez</w:t>
      </w:r>
      <w:proofErr w:type="spellEnd"/>
      <w:r w:rsidRPr="001B0C3B">
        <w:rPr>
          <w:rFonts w:cs="Arial"/>
          <w:sz w:val="22"/>
          <w:szCs w:val="22"/>
          <w:lang w:val="es-ES"/>
        </w:rPr>
        <w:t>, “</w:t>
      </w:r>
      <w:r w:rsidRPr="001B0C3B">
        <w:rPr>
          <w:rFonts w:cs="Arial"/>
          <w:i/>
          <w:iCs/>
          <w:sz w:val="22"/>
          <w:szCs w:val="22"/>
          <w:lang w:val="es-ES"/>
        </w:rPr>
        <w:t xml:space="preserve">deberá ponderarse con la legislación existente en cada fecha y la jurisprudencia que ha interpretado dicha legislación, de acuerdo con los parámetros comunitarios y nacionales fijados por la jurisprudencia del TJUE y la Sala </w:t>
      </w:r>
      <w:r w:rsidRPr="001B0C3B">
        <w:rPr>
          <w:rFonts w:cs="Arial"/>
          <w:i/>
          <w:iCs/>
          <w:sz w:val="22"/>
          <w:szCs w:val="22"/>
          <w:lang w:val="es-ES"/>
        </w:rPr>
        <w:lastRenderedPageBreak/>
        <w:t>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3"/>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14"/>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15"/>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jamás puede ser abusiva aunque no sea transparente</w:t>
      </w:r>
      <w:r w:rsidRPr="001B0C3B">
        <w:rPr>
          <w:rStyle w:val="Refdenotaalpie"/>
          <w:rFonts w:cs="Arial"/>
          <w:sz w:val="22"/>
          <w:szCs w:val="22"/>
          <w:lang w:val="es-ES"/>
        </w:rPr>
        <w:footnoteReference w:id="16"/>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17"/>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18"/>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19"/>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lastRenderedPageBreak/>
        <w:drawing>
          <wp:anchor distT="0" distB="0" distL="114300" distR="114300" simplePos="0" relativeHeight="251662336" behindDoc="0" locked="0" layoutInCell="1" allowOverlap="1" wp14:anchorId="1A9DB238" wp14:editId="6A636C9A">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7179D814">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1B0C3B" w:rsidRDefault="007B1C0F" w:rsidP="007B1C0F">
      <w:pPr>
        <w:pStyle w:val="Body1"/>
        <w:spacing w:line="360" w:lineRule="auto"/>
        <w:rPr>
          <w:rFonts w:cs="Arial"/>
          <w:sz w:val="22"/>
          <w:szCs w:val="22"/>
          <w:lang w:val="es-ES"/>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1B0C3B">
        <w:rPr>
          <w:rFonts w:cs="Arial"/>
          <w:sz w:val="22"/>
          <w:szCs w:val="22"/>
          <w:highlight w:val="yellow"/>
          <w:lang w:val="es-ES"/>
        </w:rPr>
        <w:t xml:space="preserve">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Tipo Nominal Anual para Disposiciones de efectivo y transferencias: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persovalores_personalizable172</w:instrText>
      </w:r>
      <w:r w:rsidR="00A04892">
        <w:rPr>
          <w:rFonts w:cs="Arial"/>
          <w:sz w:val="22"/>
          <w:szCs w:val="22"/>
          <w:highlight w:val="yellow"/>
          <w:lang w:val="es-ES"/>
        </w:rPr>
        <w:fldChar w:fldCharType="separate"/>
      </w:r>
      <w:r w:rsidR="00A04892">
        <w:rPr>
          <w:rFonts w:cs="Arial"/>
          <w:noProof/>
          <w:sz w:val="22"/>
          <w:szCs w:val="22"/>
          <w:highlight w:val="yellow"/>
          <w:lang w:val="es-ES"/>
        </w:rPr>
        <w:t>«WIZINK_TIN»</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00A04892">
        <w:rPr>
          <w:rFonts w:cs="Arial"/>
          <w:sz w:val="22"/>
          <w:szCs w:val="22"/>
          <w:lang w:val="es-ES"/>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lastRenderedPageBreak/>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0"/>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1"/>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607D238D" w14:textId="45BBC671" w:rsidR="00A80AF8" w:rsidRPr="001B0C3B" w:rsidRDefault="00A80AF8" w:rsidP="006B1F36">
      <w:pPr>
        <w:pStyle w:val="Body1"/>
        <w:spacing w:line="360" w:lineRule="auto"/>
        <w:rPr>
          <w:rFonts w:eastAsia="Calibri" w:cs="Arial"/>
          <w:sz w:val="22"/>
          <w:szCs w:val="22"/>
          <w:lang w:val="es-ES_tradnl" w:eastAsia="en-US"/>
        </w:rPr>
      </w:pPr>
      <w:r w:rsidRPr="00A80AF8">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1B0C3B">
        <w:rPr>
          <w:rFonts w:eastAsia="Calibri" w:cs="Arial"/>
          <w:sz w:val="22"/>
          <w:szCs w:val="22"/>
          <w:lang w:val="es-ES_tradnl" w:eastAsia="en-US"/>
        </w:rPr>
        <w:lastRenderedPageBreak/>
        <w:t xml:space="preserve">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2"/>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23"/>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w:t>
      </w:r>
      <w:r w:rsidRPr="001B0C3B">
        <w:rPr>
          <w:rFonts w:cs="Arial"/>
          <w:sz w:val="22"/>
          <w:szCs w:val="22"/>
          <w:lang w:val="es-ES"/>
        </w:rPr>
        <w:lastRenderedPageBreak/>
        <w:t xml:space="preserve">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24"/>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w:t>
      </w:r>
      <w:r w:rsidRPr="001B0C3B">
        <w:rPr>
          <w:rFonts w:eastAsia="Calibri" w:cs="Arial"/>
          <w:sz w:val="22"/>
          <w:szCs w:val="22"/>
          <w:lang w:val="es-ES_tradnl" w:eastAsia="en-US"/>
        </w:rPr>
        <w:lastRenderedPageBreak/>
        <w:t xml:space="preserve">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25"/>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26"/>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27"/>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28"/>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0"/>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w:t>
      </w:r>
      <w:r w:rsidRPr="001B0C3B">
        <w:rPr>
          <w:rFonts w:eastAsia="Calibri" w:cs="Arial"/>
          <w:sz w:val="22"/>
          <w:szCs w:val="22"/>
          <w:lang w:val="es-ES_tradnl" w:eastAsia="en-US"/>
        </w:rPr>
        <w:lastRenderedPageBreak/>
        <w:t xml:space="preserve">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31"/>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34"/>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xml:space="preserve">) el tipo de interés remuneratorio (la TAE) aplicable a cada operación (compras, disposiciones de efectivo y </w:t>
      </w:r>
      <w:r w:rsidRPr="001B0C3B">
        <w:rPr>
          <w:rFonts w:eastAsia="Calibri" w:cs="Arial"/>
          <w:sz w:val="22"/>
          <w:szCs w:val="22"/>
          <w:lang w:val="es-ES_tradnl" w:eastAsia="en-US"/>
        </w:rPr>
        <w:lastRenderedPageBreak/>
        <w:t>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36"/>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1B0C3B">
        <w:rPr>
          <w:rFonts w:eastAsia="Calibri" w:cs="Arial"/>
          <w:sz w:val="22"/>
          <w:szCs w:val="22"/>
          <w:lang w:val="es-ES_tradnl" w:eastAsia="en-US"/>
        </w:rPr>
        <w:t>Europea</w:t>
      </w:r>
      <w:proofErr w:type="gramEnd"/>
      <w:r w:rsidRPr="001B0C3B">
        <w:rPr>
          <w:rFonts w:eastAsia="Calibri" w:cs="Arial"/>
          <w:sz w:val="22"/>
          <w:szCs w:val="22"/>
          <w:lang w:val="es-ES_tradnl" w:eastAsia="en-US"/>
        </w:rPr>
        <w:t xml:space="preserve"> sobre Crédito al Consumo”</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39"/>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la cantidad de dinero 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El actor aduce también la nulidad, por abusiva, de la comisión por reclamación de cuota impagada. Así, en su demanda solicita la declaración de nulidad de la mencionada cláusula y </w:t>
      </w:r>
      <w:r w:rsidRPr="001B0C3B">
        <w:rPr>
          <w:rFonts w:eastAsia="Calibri" w:cs="Arial"/>
          <w:sz w:val="22"/>
          <w:szCs w:val="22"/>
          <w:lang w:val="es-ES_tradnl" w:eastAsia="en-US"/>
        </w:rPr>
        <w:lastRenderedPageBreak/>
        <w:t>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concreto, los apartados 1 y 2 del artículo 3 de la Orden EHA/2899/2011 otorgan validez a las comisiones fijadas por el banco siempre y cuando el cobro de éstas responda a servicios </w:t>
      </w:r>
      <w:r w:rsidRPr="001B0C3B">
        <w:rPr>
          <w:rFonts w:eastAsia="Calibri" w:cs="Arial"/>
          <w:sz w:val="22"/>
          <w:szCs w:val="22"/>
          <w:lang w:val="es-ES_tradnl" w:eastAsia="en-US"/>
        </w:rPr>
        <w:lastRenderedPageBreak/>
        <w:t>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Más a más, todas las reclamaciones extrajudiciales para el recobro de cuotas impagadas comparten una serie de comunicaciones que se envían cada vez que impaga un recibo adecuando el contenido al número de recibos impagados, es decir, que de manera que </w:t>
      </w:r>
      <w:r w:rsidRPr="001B0C3B">
        <w:rPr>
          <w:rFonts w:eastAsia="Calibri" w:cs="Arial"/>
          <w:sz w:val="22"/>
          <w:szCs w:val="22"/>
          <w:lang w:val="es-ES_tradnl" w:eastAsia="en-US"/>
        </w:rPr>
        <w:lastRenderedPageBreak/>
        <w:t>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w:t>
      </w:r>
      <w:r w:rsidRPr="001B0C3B">
        <w:rPr>
          <w:rFonts w:eastAsia="Calibri" w:cs="Arial"/>
          <w:sz w:val="22"/>
          <w:szCs w:val="22"/>
          <w:highlight w:val="green"/>
          <w:lang w:val="es-ES_tradnl" w:eastAsia="en-US"/>
        </w:rPr>
        <w:lastRenderedPageBreak/>
        <w:t>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 xml:space="preserve">desde que pueda </w:t>
      </w:r>
      <w:r w:rsidRPr="001B0C3B">
        <w:rPr>
          <w:rFonts w:ascii="Arial" w:eastAsia="Arial Unicode MS" w:hAnsi="Arial" w:cs="Arial"/>
          <w:i/>
          <w:iCs/>
          <w:sz w:val="22"/>
          <w:szCs w:val="22"/>
          <w:u w:val="single"/>
          <w:lang w:eastAsia="en-GB"/>
        </w:rPr>
        <w:lastRenderedPageBreak/>
        <w:t>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0"/>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w:t>
      </w:r>
      <w:r w:rsidRPr="001B0C3B">
        <w:rPr>
          <w:rFonts w:cs="Arial"/>
          <w:sz w:val="22"/>
          <w:szCs w:val="22"/>
          <w:lang w:val="es-ES"/>
        </w:rPr>
        <w:lastRenderedPageBreak/>
        <w:t xml:space="preserve">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1"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1"/>
      <w:r w:rsidRPr="001B0C3B">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1"/>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1D5B1B1D" w14:textId="77777777"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xml:space="preserve">). Es más, no solo han sido los medios de comunicación quienes han dado </w:t>
      </w:r>
      <w:r w:rsidRPr="001B0C3B">
        <w:rPr>
          <w:rFonts w:cs="Arial"/>
          <w:bCs/>
          <w:sz w:val="22"/>
          <w:szCs w:val="22"/>
          <w:lang w:val="es-ES_tradnl"/>
        </w:rPr>
        <w:lastRenderedPageBreak/>
        <w:t>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07B722FE" w14:textId="77777777" w:rsidR="006264C6" w:rsidRDefault="006264C6" w:rsidP="006264C6">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proofErr w:type="spellStart"/>
      <w:r>
        <w:rPr>
          <w:rFonts w:cs="Arial"/>
          <w:b/>
          <w:i/>
          <w:iCs/>
          <w:sz w:val="22"/>
          <w:szCs w:val="22"/>
          <w:lang w:val="es-ES_tradnl"/>
        </w:rPr>
        <w:t>dies</w:t>
      </w:r>
      <w:proofErr w:type="spellEnd"/>
      <w:r>
        <w:rPr>
          <w:rFonts w:cs="Arial"/>
          <w:b/>
          <w:i/>
          <w:iCs/>
          <w:sz w:val="22"/>
          <w:szCs w:val="22"/>
          <w:lang w:val="es-ES_tradnl"/>
        </w:rPr>
        <w:t xml:space="preserve"> a quo</w:t>
      </w:r>
      <w:r>
        <w:rPr>
          <w:rFonts w:cs="Arial"/>
          <w:b/>
          <w:sz w:val="22"/>
          <w:szCs w:val="22"/>
          <w:lang w:val="es-ES_tradnl"/>
        </w:rPr>
        <w:t xml:space="preserve"> entre finales del 2016 y principios del 2017</w:t>
      </w:r>
      <w:r>
        <w:rPr>
          <w:rFonts w:cs="Arial"/>
          <w:bCs/>
          <w:sz w:val="22"/>
          <w:szCs w:val="22"/>
          <w:lang w:val="es-ES_tradnl"/>
        </w:rPr>
        <w:t>, a raíz de la Sentencia del Tribunal de Justicia de la Unión Europea de 25 de enero de 2024 (asuntos C-810/21 y C-813/21), todo ello en los siguientes términos:</w:t>
      </w:r>
    </w:p>
    <w:p w14:paraId="17C615E2"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Cs/>
          <w:sz w:val="22"/>
          <w:szCs w:val="22"/>
          <w:lang w:val="es-ES_tradnl"/>
        </w:rPr>
        <w:t>“</w:t>
      </w:r>
      <w:r>
        <w:rPr>
          <w:rFonts w:cs="Arial"/>
          <w:bCs/>
          <w:i/>
          <w:iCs/>
          <w:sz w:val="22"/>
          <w:szCs w:val="22"/>
          <w:lang w:val="es-ES_tradnl"/>
        </w:rPr>
        <w:t xml:space="preserve">Ahora bien, el hecho de que nuestro consumidor medio informado no tenga por qué conocer la jurisprudencia </w:t>
      </w:r>
      <w:r>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2"/>
          <w:szCs w:val="22"/>
          <w:lang w:val="es-ES_tradnl"/>
        </w:rPr>
        <w:t xml:space="preserve"> (…)</w:t>
      </w:r>
    </w:p>
    <w:p w14:paraId="25424E01"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Cs/>
          <w:i/>
          <w:iCs/>
          <w:sz w:val="22"/>
          <w:szCs w:val="22"/>
          <w:lang w:val="es-ES_tradnl"/>
        </w:rPr>
        <w:t xml:space="preserve">Ese momento de la notoriedad para los consumidores creemos que hay que fijarlo </w:t>
      </w:r>
      <w:r>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Pr>
          <w:rFonts w:cs="Arial"/>
          <w:bCs/>
          <w:i/>
          <w:iCs/>
          <w:sz w:val="22"/>
          <w:szCs w:val="22"/>
          <w:lang w:val="es-ES_tradnl"/>
        </w:rPr>
        <w:t>.</w:t>
      </w:r>
    </w:p>
    <w:p w14:paraId="7BB73A1A" w14:textId="77777777" w:rsidR="006264C6" w:rsidRDefault="006264C6" w:rsidP="006264C6">
      <w:pPr>
        <w:widowControl w:val="0"/>
        <w:autoSpaceDE w:val="0"/>
        <w:autoSpaceDN w:val="0"/>
        <w:adjustRightInd w:val="0"/>
        <w:spacing w:after="210" w:line="360" w:lineRule="auto"/>
        <w:ind w:left="567"/>
        <w:rPr>
          <w:rFonts w:cs="Arial"/>
          <w:bCs/>
          <w:i/>
          <w:iCs/>
          <w:sz w:val="22"/>
          <w:szCs w:val="22"/>
          <w:lang w:val="es-ES_tradnl"/>
        </w:rPr>
      </w:pPr>
      <w:r>
        <w:rPr>
          <w:rFonts w:cs="Arial"/>
          <w:b/>
          <w:i/>
          <w:iCs/>
          <w:sz w:val="22"/>
          <w:szCs w:val="22"/>
          <w:u w:val="single"/>
          <w:lang w:val="es-ES_tradnl"/>
        </w:rPr>
        <w:t>La intensidad de esas campañas publicitarios y su éxito nos conducen a fijar la cognoscibilidad para el consumidor medio a principios de 2017</w:t>
      </w:r>
      <w:r>
        <w:rPr>
          <w:rFonts w:cs="Arial"/>
          <w:bCs/>
          <w:i/>
          <w:iCs/>
          <w:sz w:val="22"/>
          <w:szCs w:val="22"/>
          <w:lang w:val="es-ES_tradnl"/>
        </w:rPr>
        <w:t xml:space="preserve">. Y prueba del éxito de esas campañas fue la litigación masiva a que dio lugar, </w:t>
      </w:r>
      <w:proofErr w:type="gramStart"/>
      <w:r>
        <w:rPr>
          <w:rFonts w:cs="Arial"/>
          <w:bCs/>
          <w:i/>
          <w:iCs/>
          <w:sz w:val="22"/>
          <w:szCs w:val="22"/>
          <w:lang w:val="es-ES_tradnl"/>
        </w:rPr>
        <w:t>hasta el punto que</w:t>
      </w:r>
      <w:proofErr w:type="gramEnd"/>
      <w:r>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Pr>
          <w:rFonts w:cs="Arial"/>
          <w:b/>
          <w:i/>
          <w:iCs/>
          <w:sz w:val="22"/>
          <w:szCs w:val="22"/>
          <w:u w:val="single"/>
          <w:lang w:val="es-ES_tradnl"/>
        </w:rPr>
        <w:t>Por tanto, aquí sí que estamos ante hechos relevantes que un consumidor medio y debidamente informado no habría desconocido</w:t>
      </w:r>
      <w:r>
        <w:rPr>
          <w:rFonts w:cs="Arial"/>
          <w:bCs/>
          <w:i/>
          <w:iCs/>
          <w:sz w:val="22"/>
          <w:szCs w:val="22"/>
          <w:lang w:val="es-ES_tradnl"/>
        </w:rPr>
        <w:t xml:space="preserve">. </w:t>
      </w:r>
      <w:r>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2"/>
          <w:szCs w:val="22"/>
          <w:lang w:val="es-ES_tradnl"/>
        </w:rPr>
        <w:t xml:space="preserve">, esto es, que podía reclamar con muy altas probabilidades de éxito lo previamente abonado en concepto de gastos del contrato. </w:t>
      </w:r>
      <w:r>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w:t>
      </w:r>
      <w:r>
        <w:rPr>
          <w:rFonts w:cs="Arial"/>
          <w:b/>
          <w:i/>
          <w:iCs/>
          <w:sz w:val="22"/>
          <w:szCs w:val="22"/>
          <w:u w:val="single"/>
          <w:lang w:val="es-ES_tradnl"/>
        </w:rPr>
        <w:lastRenderedPageBreak/>
        <w:t xml:space="preserve">impulso de reclamar sus derechos habría podido conocer todas las circunstancias que posibilitaban el ejercicio de la acción de reclamación </w:t>
      </w:r>
      <w:r>
        <w:rPr>
          <w:rFonts w:cs="Arial"/>
          <w:bCs/>
          <w:i/>
          <w:iCs/>
          <w:sz w:val="22"/>
          <w:szCs w:val="22"/>
          <w:lang w:val="es-ES_tradnl"/>
        </w:rPr>
        <w:t>(…).</w:t>
      </w:r>
    </w:p>
    <w:p w14:paraId="3F3CEB0F" w14:textId="77777777" w:rsidR="006264C6" w:rsidRDefault="006264C6" w:rsidP="006264C6">
      <w:pPr>
        <w:widowControl w:val="0"/>
        <w:autoSpaceDE w:val="0"/>
        <w:autoSpaceDN w:val="0"/>
        <w:adjustRightInd w:val="0"/>
        <w:spacing w:after="210" w:line="360" w:lineRule="auto"/>
        <w:ind w:left="567"/>
        <w:rPr>
          <w:rFonts w:cs="Arial"/>
          <w:bCs/>
          <w:sz w:val="22"/>
          <w:szCs w:val="22"/>
          <w:lang w:val="es-ES_tradnl"/>
        </w:rPr>
      </w:pPr>
      <w:r>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2"/>
          <w:szCs w:val="22"/>
          <w:lang w:val="es-ES_tradnl"/>
        </w:rPr>
        <w:t>” [El subrayado y la negrita es nuestro].</w:t>
      </w:r>
    </w:p>
    <w:p w14:paraId="4F4D3DFF" w14:textId="77777777" w:rsidR="006264C6" w:rsidRDefault="006264C6"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lastRenderedPageBreak/>
        <w:t>Procedimiento</w:t>
      </w: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kern w:val="28"/>
          <w:sz w:val="22"/>
          <w:szCs w:val="22"/>
          <w:lang w:val="es-ES_tradnl" w:eastAsia="en-US"/>
        </w:rPr>
        <w:t>Cuantía</w:t>
      </w:r>
    </w:p>
    <w:p w14:paraId="34DCD0EF" w14:textId="77777777"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Pr="001B0C3B"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22FD628" w14:textId="77777777" w:rsidR="006B1F36" w:rsidRPr="001B0C3B" w:rsidRDefault="006B1F36" w:rsidP="006B1F36">
      <w:pPr>
        <w:spacing w:line="360" w:lineRule="auto"/>
        <w:rPr>
          <w:rFonts w:cs="Arial"/>
          <w:sz w:val="22"/>
          <w:szCs w:val="22"/>
          <w:lang w:val="es-ES_tradnl"/>
        </w:rPr>
      </w:pPr>
    </w:p>
    <w:p w14:paraId="4C80B566" w14:textId="4B69AC87" w:rsidR="006264C6" w:rsidRDefault="006264C6" w:rsidP="006264C6">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persovalores_personalizable1342</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«WIZINK_CNR_(Intereses_+_Comisiones)»</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3E209CBD" w14:textId="4CBFB9D4"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cs="Arial"/>
          <w:sz w:val="22"/>
          <w:szCs w:val="22"/>
          <w:lang w:val="es-ES_tradnl"/>
        </w:rPr>
        <w:t xml:space="preserve">Y ello es así por cuanto, como se puede extraer del cuadro que aportamos como </w:t>
      </w:r>
      <w:r w:rsidRPr="001B0C3B">
        <w:rPr>
          <w:rFonts w:eastAsia="Calibri" w:cs="Arial"/>
          <w:b/>
          <w:bCs/>
          <w:color w:val="00B050"/>
          <w:sz w:val="22"/>
          <w:szCs w:val="22"/>
          <w:highlight w:val="yellow"/>
          <w:lang w:val="es-ES" w:eastAsia="es-ES"/>
        </w:rPr>
        <w:t>Documento 14 Contestación</w:t>
      </w:r>
      <w:r w:rsidRPr="001B0C3B">
        <w:rPr>
          <w:rFonts w:cs="Arial"/>
          <w:sz w:val="22"/>
          <w:szCs w:val="22"/>
          <w:lang w:val="es-ES_tradnl"/>
        </w:rPr>
        <w:t>, la</w:t>
      </w:r>
      <w:r w:rsidRPr="001B0C3B">
        <w:rPr>
          <w:rFonts w:eastAsia="Calibri" w:cs="Arial"/>
          <w:b/>
          <w:bCs/>
          <w:color w:val="00B050"/>
          <w:sz w:val="22"/>
          <w:szCs w:val="22"/>
          <w:lang w:val="es-ES" w:eastAsia="es-ES"/>
        </w:rPr>
        <w:t xml:space="preserve"> </w:t>
      </w:r>
      <w:r w:rsidRPr="001B0C3B">
        <w:rPr>
          <w:rFonts w:cs="Arial"/>
          <w:sz w:val="22"/>
          <w:szCs w:val="22"/>
          <w:lang w:val="es-ES_tradnl"/>
        </w:rPr>
        <w:t>parte Demandante</w:t>
      </w:r>
      <w:r w:rsidRPr="001B0C3B">
        <w:rPr>
          <w:rFonts w:eastAsia="Calibri" w:cs="Arial"/>
          <w:b/>
          <w:bCs/>
          <w:color w:val="00B050"/>
          <w:sz w:val="22"/>
          <w:szCs w:val="22"/>
          <w:lang w:val="es-ES" w:eastAsia="es-ES"/>
        </w:rPr>
        <w:t xml:space="preserve"> </w:t>
      </w:r>
      <w:r w:rsidRPr="001B0C3B">
        <w:rPr>
          <w:rFonts w:cs="Arial"/>
          <w:sz w:val="22"/>
          <w:szCs w:val="22"/>
          <w:lang w:val="es-ES_tradnl"/>
        </w:rPr>
        <w:t xml:space="preserve">ha pagado un total de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persovalores_personalizable1418</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«WIZINK_INTERESES»</w:t>
      </w:r>
      <w:r w:rsidR="00351166">
        <w:rPr>
          <w:rFonts w:cs="Arial"/>
          <w:sz w:val="22"/>
          <w:szCs w:val="22"/>
          <w:highlight w:val="yellow"/>
          <w:lang w:val="es-ES_tradnl"/>
        </w:rPr>
        <w:fldChar w:fldCharType="end"/>
      </w:r>
      <w:r w:rsidR="00351166">
        <w:rPr>
          <w:rFonts w:cs="Arial"/>
          <w:sz w:val="22"/>
          <w:szCs w:val="22"/>
          <w:highlight w:val="yellow"/>
          <w:lang w:val="es-ES_tradnl"/>
        </w:rPr>
        <w:t xml:space="preserve"> </w:t>
      </w:r>
      <w:r w:rsidRPr="001B0C3B">
        <w:rPr>
          <w:rFonts w:cs="Arial"/>
          <w:sz w:val="22"/>
          <w:szCs w:val="22"/>
          <w:highlight w:val="yellow"/>
          <w:lang w:val="es-ES_tradnl"/>
        </w:rPr>
        <w:t xml:space="preserve"> €</w:t>
      </w:r>
      <w:r w:rsidRPr="001B0C3B">
        <w:rPr>
          <w:rFonts w:cs="Arial"/>
          <w:sz w:val="22"/>
          <w:szCs w:val="22"/>
          <w:lang w:val="es-ES_tradnl"/>
        </w:rPr>
        <w:t xml:space="preserve"> de intereses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persovalores_personalizable1419</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«WIZINK_COMISIONES»</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w:t>
      </w:r>
      <w:r w:rsidRPr="001B0C3B">
        <w:rPr>
          <w:rFonts w:cs="Arial"/>
          <w:sz w:val="22"/>
          <w:szCs w:val="22"/>
          <w:lang w:val="es-ES_tradnl"/>
        </w:rPr>
        <w:t xml:space="preserve"> de comisiones, por lo que, en este caso, no resulta de aplicación la excepción a la determinación de la cuantía que contempla el art. 251.1ª de la LEC, al encontrarnos ante un interés económico perfectamente determinable y cuantificable</w:t>
      </w: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lastRenderedPageBreak/>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4CF0B4EF"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 xml:space="preserve">[OJO, ESTA </w:t>
      </w:r>
      <w:proofErr w:type="gramStart"/>
      <w:r w:rsidRPr="00EC1B3C">
        <w:rPr>
          <w:rFonts w:eastAsia="Calibri" w:cs="Arial"/>
          <w:b/>
          <w:bCs/>
          <w:sz w:val="22"/>
          <w:szCs w:val="22"/>
          <w:highlight w:val="green"/>
          <w:lang w:val="es-ES_tradnl" w:eastAsia="en-US"/>
        </w:rPr>
        <w:t>ALEGACIÓN  SE</w:t>
      </w:r>
      <w:proofErr w:type="gramEnd"/>
      <w:r w:rsidRPr="00EC1B3C">
        <w:rPr>
          <w:rFonts w:eastAsia="Calibri" w:cs="Arial"/>
          <w:b/>
          <w:bCs/>
          <w:sz w:val="22"/>
          <w:szCs w:val="22"/>
          <w:highlight w:val="green"/>
          <w:lang w:val="es-ES_tradnl" w:eastAsia="en-US"/>
        </w:rPr>
        <w:t xml:space="preserve"> DEJA SI SE LE HA COBRADO</w:t>
      </w:r>
      <w:r w:rsidR="006264C6">
        <w:rPr>
          <w:rFonts w:eastAsia="Calibri" w:cs="Arial"/>
          <w:b/>
          <w:bCs/>
          <w:sz w:val="22"/>
          <w:szCs w:val="22"/>
          <w:lang w:val="es-ES_tradnl" w:eastAsia="en-US"/>
        </w:rPr>
        <w:t xml:space="preserve"> </w:t>
      </w:r>
      <w:r w:rsidR="006264C6" w:rsidRPr="006264C6">
        <w:rPr>
          <w:rFonts w:eastAsia="Calibri" w:cs="Arial"/>
          <w:b/>
          <w:bCs/>
          <w:sz w:val="22"/>
          <w:szCs w:val="22"/>
          <w:highlight w:val="green"/>
          <w:lang w:val="es-ES_tradnl" w:eastAsia="en-US"/>
        </w:rPr>
        <w:t>Y SI NO TAMBIÉN SE DEJA]</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lastRenderedPageBreak/>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2"/>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3"/>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2"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44"/>
      </w:r>
      <w:r w:rsidRPr="001B0C3B">
        <w:rPr>
          <w:rFonts w:eastAsia="Book Antiqua" w:cs="Arial"/>
          <w:spacing w:val="-1"/>
          <w:sz w:val="22"/>
          <w:szCs w:val="22"/>
          <w:lang w:val="es-ES_tradnl"/>
        </w:rPr>
        <w:t xml:space="preserve">: </w:t>
      </w:r>
      <w:bookmarkEnd w:id="22"/>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 xml:space="preserve">En el presente supuesto, </w:t>
      </w:r>
      <w:r w:rsidRPr="001B0C3B">
        <w:rPr>
          <w:rFonts w:eastAsia="Book Antiqua" w:cs="Arial"/>
          <w:b/>
          <w:bCs/>
          <w:i/>
          <w:spacing w:val="-1"/>
          <w:sz w:val="22"/>
          <w:szCs w:val="22"/>
          <w:lang w:val="es-ES_tradnl"/>
        </w:rPr>
        <w:lastRenderedPageBreak/>
        <w:t>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45"/>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46"/>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lastRenderedPageBreak/>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47"/>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48"/>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1763/2022, recurso 812/2019). Pero no </w:t>
      </w:r>
      <w:r w:rsidRPr="001B0C3B">
        <w:rPr>
          <w:rFonts w:cs="Arial"/>
          <w:i/>
          <w:iCs/>
          <w:sz w:val="22"/>
          <w:szCs w:val="22"/>
          <w:lang w:val="es-ES_tradnl"/>
        </w:rPr>
        <w:lastRenderedPageBreak/>
        <w:t>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49"/>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w:t>
      </w:r>
      <w:r w:rsidRPr="001B0C3B">
        <w:rPr>
          <w:rFonts w:cs="Arial"/>
          <w:bCs/>
          <w:sz w:val="22"/>
          <w:szCs w:val="22"/>
          <w:lang w:val="es-ES_tradnl"/>
        </w:rPr>
        <w:lastRenderedPageBreak/>
        <w:t>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3"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3"/>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 xml:space="preserve">no resultaría procedente aplicar al presente caso la excepción del principio del vencimiento objetivo y alegar unas pretendidas dudas de hecho o de </w:t>
      </w:r>
      <w:r w:rsidRPr="001B0C3B">
        <w:rPr>
          <w:rFonts w:eastAsia="Times New Roman" w:cs="Arial"/>
          <w:b/>
          <w:bCs/>
          <w:sz w:val="22"/>
          <w:szCs w:val="22"/>
          <w:u w:val="single"/>
          <w:lang w:val="es-ES"/>
        </w:rPr>
        <w:lastRenderedPageBreak/>
        <w:t>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xml:space="preserve">, decide no imponer las costas a la parte vencida </w:t>
      </w:r>
      <w:r w:rsidRPr="001B0C3B">
        <w:rPr>
          <w:rFonts w:eastAsia="Times New Roman" w:cs="Arial"/>
          <w:sz w:val="22"/>
          <w:szCs w:val="22"/>
          <w:lang w:val="es-ES"/>
        </w:rPr>
        <w:lastRenderedPageBreak/>
        <w:t>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lastRenderedPageBreak/>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lastRenderedPageBreak/>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054C5220" w14:textId="77777777" w:rsidR="006264C6" w:rsidRDefault="006264C6" w:rsidP="006264C6">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7E5A43BE" w14:textId="77777777" w:rsidR="006264C6" w:rsidRDefault="006264C6" w:rsidP="006264C6">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67E5D193" w14:textId="77777777" w:rsidR="006264C6" w:rsidRDefault="006264C6" w:rsidP="006264C6">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5" w:history="1">
        <w:r>
          <w:rPr>
            <w:rStyle w:val="Hipervnculo"/>
            <w:rFonts w:eastAsia="Arial Unicode MS" w:cs="Arial"/>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76A5D07C" w14:textId="77777777" w:rsidR="006264C6" w:rsidRDefault="006264C6" w:rsidP="006264C6">
      <w:pPr>
        <w:pStyle w:val="Textoindependiente21"/>
        <w:spacing w:before="100" w:beforeAutospacing="1" w:after="100" w:afterAutospacing="1" w:line="360" w:lineRule="auto"/>
        <w:ind w:left="0"/>
        <w:rPr>
          <w:rFonts w:ascii="Book Antiqua" w:hAnsi="Book Antiqua"/>
          <w:spacing w:val="0"/>
          <w:sz w:val="22"/>
          <w:szCs w:val="22"/>
          <w:lang w:val="es-ES"/>
        </w:rPr>
      </w:pPr>
      <w:r>
        <w:rPr>
          <w:rFonts w:eastAsia="Arial Unicode MS" w:cs="Arial"/>
          <w:spacing w:val="0"/>
          <w:sz w:val="22"/>
          <w:szCs w:val="22"/>
          <w:lang w:val="es-ES" w:eastAsia="en-GB"/>
        </w:rPr>
        <w:t xml:space="preserve">Procurador:  </w:t>
      </w:r>
      <w:hyperlink r:id="rId16" w:history="1">
        <w:r>
          <w:rPr>
            <w:rStyle w:val="Hipervnculo"/>
            <w:rFonts w:eastAsia="Arial Unicode MS" w:cs="Arial"/>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37E83754" w14:textId="77777777" w:rsidR="006264C6" w:rsidRDefault="006264C6" w:rsidP="006264C6">
      <w:pPr>
        <w:spacing w:after="210" w:line="360" w:lineRule="auto"/>
        <w:rPr>
          <w:rFonts w:cs="Arial"/>
          <w:b/>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29F5566" w14:textId="77777777" w:rsidR="006264C6" w:rsidRDefault="006264C6" w:rsidP="006264C6">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2ACD712C" w14:textId="77777777" w:rsidR="006264C6" w:rsidRPr="001B0C3B" w:rsidRDefault="006264C6"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lastRenderedPageBreak/>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CF47E4">
      <w:headerReference w:type="default" r:id="rId17"/>
      <w:footerReference w:type="first" r:id="rId18"/>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FAF80D" w14:textId="77777777" w:rsidR="00CF47E4" w:rsidRDefault="00CF47E4">
      <w:pPr>
        <w:spacing w:line="240" w:lineRule="auto"/>
      </w:pPr>
      <w:r>
        <w:separator/>
      </w:r>
    </w:p>
  </w:endnote>
  <w:endnote w:type="continuationSeparator" w:id="0">
    <w:p w14:paraId="2D2B4040" w14:textId="77777777" w:rsidR="00CF47E4" w:rsidRDefault="00CF4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C611F" w14:textId="77777777" w:rsidR="00CF47E4" w:rsidRPr="00586325" w:rsidRDefault="00CF47E4" w:rsidP="00586325">
      <w:pPr>
        <w:pStyle w:val="Piedepgina"/>
      </w:pPr>
      <w:r>
        <w:continuationSeparator/>
      </w:r>
    </w:p>
  </w:footnote>
  <w:footnote w:type="continuationSeparator" w:id="0">
    <w:p w14:paraId="6A31C1C4" w14:textId="77777777" w:rsidR="00CF47E4" w:rsidRDefault="00CF47E4"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3F071E44" w14:textId="77777777" w:rsidR="00B81AA5" w:rsidRDefault="00B81AA5" w:rsidP="00B81AA5">
      <w:pPr>
        <w:pStyle w:val="Textonotapie"/>
        <w:rPr>
          <w:rFonts w:asciiTheme="minorHAnsi" w:hAnsiTheme="minorHAnsi"/>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Wizink de mayo 2016. </w:t>
      </w:r>
    </w:p>
  </w:footnote>
  <w:footnote w:id="7">
    <w:p w14:paraId="0F20EC20" w14:textId="77777777" w:rsidR="00B81AA5" w:rsidRDefault="00B81AA5" w:rsidP="00B81AA5">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8">
    <w:p w14:paraId="7D0F3DCB" w14:textId="77777777" w:rsidR="00B81AA5" w:rsidRDefault="00B81AA5" w:rsidP="00B81AA5">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9">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0">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1">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2">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3">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14">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5">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16">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7">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8">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9">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0">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1">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2">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3">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24">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25">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26">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7">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8">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9">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0">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1">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2">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3">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34">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35">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36">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7">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8">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9">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0"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0"/>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0">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1">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2">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43">
    <w:p w14:paraId="01E307AC" w14:textId="77777777" w:rsidR="006B1F36" w:rsidRPr="005115E4" w:rsidRDefault="006B1F36" w:rsidP="000131F5">
      <w:pPr>
        <w:pStyle w:val="Textonotapie"/>
        <w:rPr>
          <w:rFonts w:cs="Arial"/>
          <w:lang w:val="es-ES"/>
        </w:rPr>
      </w:pPr>
    </w:p>
  </w:footnote>
  <w:footnote w:id="44">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45">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46">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47">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48">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49">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B5732"/>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264C6"/>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96040"/>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AF8"/>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3DF3"/>
    <w:rsid w:val="00B65AE0"/>
    <w:rsid w:val="00B66179"/>
    <w:rsid w:val="00B727E5"/>
    <w:rsid w:val="00B72A78"/>
    <w:rsid w:val="00B750AD"/>
    <w:rsid w:val="00B75F8E"/>
    <w:rsid w:val="00B8026E"/>
    <w:rsid w:val="00B81AA5"/>
    <w:rsid w:val="00B826DE"/>
    <w:rsid w:val="00BB1810"/>
    <w:rsid w:val="00BB6351"/>
    <w:rsid w:val="00BC22AD"/>
    <w:rsid w:val="00BC28E7"/>
    <w:rsid w:val="00BC4FC2"/>
    <w:rsid w:val="00BC558E"/>
    <w:rsid w:val="00BD0777"/>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47E4"/>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6264C6"/>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251207072">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20317495">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854809151">
      <w:bodyDiv w:val="1"/>
      <w:marLeft w:val="0"/>
      <w:marRight w:val="0"/>
      <w:marTop w:val="0"/>
      <w:marBottom w:val="0"/>
      <w:divBdr>
        <w:top w:val="none" w:sz="0" w:space="0" w:color="auto"/>
        <w:left w:val="none" w:sz="0" w:space="0" w:color="auto"/>
        <w:bottom w:val="none" w:sz="0" w:space="0" w:color="auto"/>
        <w:right w:val="none" w:sz="0" w:space="0" w:color="auto"/>
      </w:divBdr>
    </w:div>
    <w:div w:id="874662237">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87488261">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externos@lexe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hyperlink" Target="mailto:ENLACESWIZINK@lexer.e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63</TotalTime>
  <Pages>48</Pages>
  <Words>17133</Words>
  <Characters>94235</Characters>
  <Application>Microsoft Office Word</Application>
  <DocSecurity>0</DocSecurity>
  <Lines>785</Lines>
  <Paragraphs>222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AVALENTIA ABOGADOS - ÁREA ADMINISTRATIVO</cp:lastModifiedBy>
  <cp:revision>7</cp:revision>
  <dcterms:created xsi:type="dcterms:W3CDTF">2024-03-18T08:21:00Z</dcterms:created>
  <dcterms:modified xsi:type="dcterms:W3CDTF">2024-04-15T10:31:00Z</dcterms:modified>
</cp:coreProperties>
</file>