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D1CD1" w14:textId="7D7E0C6E" w:rsidR="00177E76" w:rsidRDefault="005F7A08" w:rsidP="00177E76">
      <w:pPr>
        <w:pStyle w:val="Encabezado"/>
        <w:spacing w:after="210" w:line="240" w:lineRule="auto"/>
        <w:jc w:val="center"/>
        <w:rPr>
          <w:rFonts w:cs="Arial"/>
          <w:b/>
          <w:sz w:val="22"/>
          <w:szCs w:val="22"/>
          <w:highlight w:val="cyan"/>
          <w:lang w:val="es-ES_tradnl"/>
        </w:rPr>
      </w:pPr>
      <w:bookmarkStart w:id="0" w:name="_Hlk147484115"/>
      <w:bookmarkStart w:id="1" w:name="_Hlk147484458"/>
      <w:r w:rsidRPr="005F7A08">
        <w:rPr>
          <w:rFonts w:cs="Arial"/>
          <w:b/>
          <w:sz w:val="22"/>
          <w:szCs w:val="22"/>
          <w:highlight w:val="red"/>
          <w:lang w:val="es-ES_tradnl"/>
        </w:rPr>
        <w:t>**</w:t>
      </w:r>
      <w:r w:rsidR="00177E76">
        <w:rPr>
          <w:rFonts w:cs="Arial"/>
          <w:b/>
          <w:sz w:val="22"/>
          <w:szCs w:val="22"/>
          <w:highlight w:val="cyan"/>
          <w:lang w:val="es-ES_tradnl"/>
        </w:rPr>
        <w:t>RÉPLICA ABRIL 2024</w:t>
      </w:r>
    </w:p>
    <w:p w14:paraId="5CB4B6EB" w14:textId="77777777" w:rsidR="00FE6828" w:rsidRDefault="00FE6828" w:rsidP="00170451">
      <w:pPr>
        <w:pStyle w:val="Encabezado"/>
        <w:spacing w:after="210" w:line="240" w:lineRule="auto"/>
        <w:jc w:val="center"/>
        <w:rPr>
          <w:rFonts w:cs="Arial"/>
          <w:b/>
          <w:sz w:val="22"/>
          <w:szCs w:val="22"/>
          <w:highlight w:val="green"/>
          <w:lang w:val="es-ES_tradnl"/>
        </w:rPr>
      </w:pPr>
    </w:p>
    <w:p w14:paraId="0AF558C4" w14:textId="5DF6B619" w:rsidR="00170451" w:rsidRPr="001B0C3B" w:rsidRDefault="00170451"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MODELO PARA TAE ÚNICA </w:t>
      </w:r>
      <w:r w:rsidR="00A73D6D" w:rsidRPr="001B0C3B">
        <w:rPr>
          <w:rFonts w:cs="Arial"/>
          <w:b/>
          <w:sz w:val="22"/>
          <w:szCs w:val="22"/>
          <w:highlight w:val="green"/>
          <w:lang w:val="es-ES_tradnl"/>
        </w:rPr>
        <w:t xml:space="preserve">en contrato </w:t>
      </w:r>
    </w:p>
    <w:p w14:paraId="4F2951E6" w14:textId="7C3BA55D" w:rsidR="00BC22AD" w:rsidRDefault="00BC22AD"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ORIGEN </w:t>
      </w:r>
      <w:r w:rsidR="0068752B" w:rsidRPr="001B0C3B">
        <w:rPr>
          <w:rFonts w:cs="Arial"/>
          <w:b/>
          <w:sz w:val="22"/>
          <w:szCs w:val="22"/>
          <w:highlight w:val="green"/>
          <w:lang w:val="es-ES_tradnl"/>
        </w:rPr>
        <w:t>CITIBANK</w:t>
      </w:r>
    </w:p>
    <w:p w14:paraId="4FB13910" w14:textId="77777777" w:rsidR="00177E76" w:rsidRDefault="00177E76" w:rsidP="00177E76">
      <w:pPr>
        <w:pStyle w:val="Encabezado"/>
        <w:spacing w:after="210" w:line="240" w:lineRule="auto"/>
        <w:jc w:val="center"/>
        <w:rPr>
          <w:rFonts w:cs="Arial"/>
          <w:b/>
          <w:sz w:val="22"/>
          <w:szCs w:val="22"/>
          <w:highlight w:val="magenta"/>
          <w:lang w:val="es-ES"/>
        </w:rPr>
      </w:pPr>
      <w:r>
        <w:rPr>
          <w:rFonts w:cs="Arial"/>
          <w:b/>
          <w:sz w:val="22"/>
          <w:szCs w:val="22"/>
          <w:highlight w:val="magenta"/>
          <w:lang w:val="es-ES"/>
        </w:rPr>
        <w:t>OJO CON DEMANDAS POSTERIORES AL 20 DE MARZO DE 2024.</w:t>
      </w:r>
    </w:p>
    <w:p w14:paraId="0DDE1F47" w14:textId="77777777" w:rsidR="00177E76" w:rsidRPr="00177E76" w:rsidRDefault="00177E76" w:rsidP="00170451">
      <w:pPr>
        <w:pStyle w:val="Encabezado"/>
        <w:spacing w:after="210" w:line="240" w:lineRule="auto"/>
        <w:jc w:val="center"/>
        <w:rPr>
          <w:rFonts w:cs="Arial"/>
          <w:b/>
          <w:sz w:val="22"/>
          <w:szCs w:val="22"/>
          <w:highlight w:val="green"/>
          <w:lang w:val="es-ES"/>
        </w:rPr>
      </w:pP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676880CB" w:rsidR="0062169A" w:rsidRPr="001B0C3B" w:rsidRDefault="005F7A08"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EB6DC7">
        <w:rPr>
          <w:rFonts w:cs="Arial"/>
          <w:b/>
          <w:sz w:val="22"/>
          <w:szCs w:val="22"/>
          <w:highlight w:val="yellow"/>
          <w:lang w:val="es-ES_tradnl"/>
        </w:rPr>
        <w:fldChar w:fldCharType="begin"/>
      </w:r>
      <w:r w:rsidR="00EB6DC7">
        <w:rPr>
          <w:rFonts w:cs="Arial"/>
          <w:b/>
          <w:sz w:val="22"/>
          <w:szCs w:val="22"/>
          <w:highlight w:val="yellow"/>
          <w:lang w:val="es-ES_tradnl"/>
        </w:rPr>
        <w:instrText>expedien_codproce</w:instrText>
      </w:r>
      <w:r w:rsidR="00EB6DC7">
        <w:rPr>
          <w:rFonts w:cs="Arial"/>
          <w:b/>
          <w:sz w:val="22"/>
          <w:szCs w:val="22"/>
          <w:highlight w:val="yellow"/>
          <w:lang w:val="es-ES_tradnl"/>
        </w:rPr>
        <w:fldChar w:fldCharType="separate"/>
      </w:r>
      <w:r w:rsidR="00EB6DC7">
        <w:rPr>
          <w:rFonts w:cs="Arial"/>
          <w:b/>
          <w:noProof/>
          <w:sz w:val="22"/>
          <w:szCs w:val="22"/>
          <w:highlight w:val="yellow"/>
          <w:lang w:val="es-ES_tradnl"/>
        </w:rPr>
        <w:t>«Datos_del_Expediente_Tipo_de_Procedimien»</w:t>
      </w:r>
      <w:r w:rsidR="00EB6DC7">
        <w:rPr>
          <w:rFonts w:cs="Arial"/>
          <w:b/>
          <w:sz w:val="22"/>
          <w:szCs w:val="22"/>
          <w:highlight w:val="yellow"/>
          <w:lang w:val="es-ES_tradnl"/>
        </w:rPr>
        <w:fldChar w:fldCharType="end"/>
      </w:r>
      <w:r w:rsidR="00EB6DC7">
        <w:rPr>
          <w:rFonts w:cs="Arial"/>
          <w:b/>
          <w:sz w:val="22"/>
          <w:szCs w:val="22"/>
          <w:highlight w:val="yellow"/>
          <w:lang w:val="es-ES_tradnl"/>
        </w:rPr>
        <w:t xml:space="preserve">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5F7A08" w:rsidRDefault="0062169A" w:rsidP="00656890">
      <w:pPr>
        <w:pStyle w:val="Encabezado"/>
        <w:spacing w:after="210" w:line="240" w:lineRule="auto"/>
        <w:rPr>
          <w:rFonts w:cs="Arial"/>
          <w:sz w:val="22"/>
          <w:szCs w:val="22"/>
          <w:highlight w:val="yellow"/>
          <w:lang w:val="es-ES_tradnl"/>
        </w:rPr>
      </w:pPr>
      <w:r w:rsidRPr="005F7A08">
        <w:rPr>
          <w:rFonts w:cs="Arial"/>
          <w:sz w:val="22"/>
          <w:szCs w:val="22"/>
          <w:highlight w:val="yellow"/>
          <w:lang w:val="es-ES_tradnl"/>
        </w:rPr>
        <w:t>Demandado:</w:t>
      </w:r>
      <w:r w:rsidR="007B1C0F" w:rsidRPr="005F7A08">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proofErr w:type="spellStart"/>
      <w:r w:rsidR="0062169A" w:rsidRPr="001B0C3B">
        <w:rPr>
          <w:rFonts w:eastAsia="Calibri" w:cs="Arial"/>
          <w:b/>
          <w:bCs/>
          <w:smallCaps/>
          <w:sz w:val="22"/>
          <w:szCs w:val="22"/>
          <w:lang w:val="es-ES" w:eastAsia="en-US"/>
        </w:rPr>
        <w:t>Wizink</w:t>
      </w:r>
      <w:proofErr w:type="spellEnd"/>
      <w:r w:rsidR="0062169A" w:rsidRPr="001B0C3B">
        <w:rPr>
          <w:rFonts w:eastAsia="Calibri" w:cs="Arial"/>
          <w:b/>
          <w:bCs/>
          <w:smallCaps/>
          <w:sz w:val="22"/>
          <w:szCs w:val="22"/>
          <w:lang w:val="es-ES" w:eastAsia="en-US"/>
        </w:rPr>
        <w:t xml:space="preserve"> Bank, S.A. </w:t>
      </w:r>
      <w:r w:rsidR="0062169A" w:rsidRPr="001B0C3B">
        <w:rPr>
          <w:rFonts w:eastAsia="Calibri" w:cs="Arial"/>
          <w:sz w:val="22"/>
          <w:szCs w:val="22"/>
          <w:lang w:val="es-ES" w:eastAsia="en-US"/>
        </w:rPr>
        <w:t>(“</w:t>
      </w:r>
      <w:proofErr w:type="spellStart"/>
      <w:r w:rsidR="0062169A" w:rsidRPr="001B0C3B">
        <w:rPr>
          <w:rFonts w:eastAsia="Calibri" w:cs="Arial"/>
          <w:b/>
          <w:bCs/>
          <w:sz w:val="22"/>
          <w:szCs w:val="22"/>
          <w:lang w:val="es-ES" w:eastAsia="en-US"/>
        </w:rPr>
        <w:t>Wizink</w:t>
      </w:r>
      <w:proofErr w:type="spellEnd"/>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t>
      </w:r>
      <w:proofErr w:type="spellStart"/>
      <w:r w:rsidR="0062169A" w:rsidRPr="001B0C3B">
        <w:rPr>
          <w:rFonts w:eastAsia="Calibri" w:cs="Arial"/>
          <w:bCs/>
          <w:sz w:val="22"/>
          <w:szCs w:val="22"/>
          <w:lang w:val="es-ES" w:eastAsia="en-US"/>
        </w:rPr>
        <w:t>Wizink</w:t>
      </w:r>
      <w:proofErr w:type="spellEnd"/>
      <w:r w:rsidR="0062169A" w:rsidRPr="001B0C3B">
        <w:rPr>
          <w:rFonts w:eastAsia="Calibri" w:cs="Arial"/>
          <w:bCs/>
          <w:sz w:val="22"/>
          <w:szCs w:val="22"/>
          <w:lang w:val="es-ES" w:eastAsia="en-US"/>
        </w:rPr>
        <w:t xml:space="preserve">,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t>
      </w:r>
      <w:proofErr w:type="spellStart"/>
      <w:r w:rsidRPr="001B0C3B">
        <w:rPr>
          <w:rFonts w:cs="Arial"/>
          <w:sz w:val="22"/>
          <w:szCs w:val="22"/>
          <w:lang w:val="es-ES"/>
        </w:rPr>
        <w:t>Wizink</w:t>
      </w:r>
      <w:proofErr w:type="spellEnd"/>
      <w:r w:rsidRPr="001B0C3B">
        <w:rPr>
          <w:rFonts w:cs="Arial"/>
          <w:sz w:val="22"/>
          <w:szCs w:val="22"/>
          <w:lang w:val="es-ES"/>
        </w:rPr>
        <w:t xml:space="preserve">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6D4335A7" w14:textId="77777777" w:rsidR="00177E76" w:rsidRDefault="00177E76" w:rsidP="00177E76">
      <w:pPr>
        <w:pStyle w:val="Body1"/>
        <w:spacing w:line="360" w:lineRule="auto"/>
        <w:rPr>
          <w:rFonts w:cs="Arial"/>
          <w:sz w:val="22"/>
          <w:szCs w:val="22"/>
          <w:lang w:val="es-ES"/>
        </w:rPr>
      </w:pPr>
      <w:r>
        <w:rPr>
          <w:rFonts w:cs="Arial"/>
          <w:sz w:val="22"/>
          <w:szCs w:val="22"/>
          <w:highlight w:val="green"/>
          <w:lang w:val="es-ES"/>
        </w:rPr>
        <w:t>[LO DEJAMOS SI SE LE HA APLICADO UNA REDUCCIÓN EN LA TAE, LO COMPROBAMOS EN LOS EXTRACTOS A PARTIR DE ABRIL DE 2020]</w:t>
      </w:r>
    </w:p>
    <w:p w14:paraId="0828090E" w14:textId="77777777" w:rsidR="00177E76" w:rsidRPr="001B0C3B" w:rsidRDefault="00177E76" w:rsidP="007B1C0F">
      <w:pPr>
        <w:pStyle w:val="Body1"/>
        <w:spacing w:line="360" w:lineRule="auto"/>
        <w:rPr>
          <w:rFonts w:cs="Arial"/>
          <w:sz w:val="22"/>
          <w:szCs w:val="22"/>
          <w:lang w:val="es-ES"/>
        </w:rPr>
      </w:pPr>
    </w:p>
    <w:p w14:paraId="1CD84D67" w14:textId="4619A5F8"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r w:rsidR="00177E76" w:rsidRPr="00177E76">
        <w:rPr>
          <w:rFonts w:cs="Arial"/>
          <w:sz w:val="22"/>
          <w:szCs w:val="22"/>
          <w:highlight w:val="green"/>
          <w:lang w:val="es-ES"/>
        </w:rPr>
        <w:t>[FIN}</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740ED974" w14:textId="12227258" w:rsidR="00CF5A7C" w:rsidRPr="001B0C3B" w:rsidRDefault="00CF5A7C" w:rsidP="007B1C0F">
      <w:pPr>
        <w:pStyle w:val="Body1"/>
        <w:spacing w:line="360" w:lineRule="auto"/>
        <w:rPr>
          <w:rFonts w:cs="Arial"/>
          <w:sz w:val="22"/>
          <w:szCs w:val="22"/>
          <w:lang w:val="es-ES"/>
        </w:rPr>
      </w:pPr>
      <w:r w:rsidRPr="00CF5A7C">
        <w:rPr>
          <w:rFonts w:cs="Arial"/>
          <w:sz w:val="22"/>
          <w:szCs w:val="22"/>
          <w:highlight w:val="green"/>
          <w:lang w:val="es-ES"/>
        </w:rPr>
        <w:t>SI ES VERDE CON TEDR +0,3</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w:t>
      </w:r>
      <w:r w:rsidRPr="001B0C3B">
        <w:rPr>
          <w:rFonts w:cs="Arial"/>
          <w:sz w:val="22"/>
          <w:szCs w:val="22"/>
          <w:lang w:val="es-ES"/>
        </w:rPr>
        <w:lastRenderedPageBreak/>
        <w:t xml:space="preserve">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w:t>
      </w:r>
      <w:r w:rsidRPr="001B0C3B">
        <w:rPr>
          <w:rFonts w:cs="Arial"/>
          <w:sz w:val="22"/>
          <w:szCs w:val="22"/>
          <w:lang w:val="es-ES"/>
        </w:rPr>
        <w:lastRenderedPageBreak/>
        <w:t xml:space="preserve">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7CB9B1C5" w14:textId="22AD457A" w:rsidR="00A753DF" w:rsidRPr="001B0C3B" w:rsidRDefault="006B1F36" w:rsidP="00A753DF">
      <w:pPr>
        <w:pStyle w:val="Body1"/>
        <w:spacing w:line="360" w:lineRule="auto"/>
        <w:rPr>
          <w:rFonts w:cs="Arial"/>
          <w:sz w:val="22"/>
          <w:szCs w:val="22"/>
          <w:lang w:val="es-ES"/>
        </w:rPr>
      </w:pPr>
      <w:r w:rsidRPr="001B0C3B">
        <w:rPr>
          <w:rFonts w:cs="Arial"/>
          <w:sz w:val="22"/>
          <w:szCs w:val="22"/>
          <w:highlight w:val="green"/>
          <w:lang w:val="es-ES"/>
        </w:rPr>
        <w:t xml:space="preserve"> </w:t>
      </w:r>
      <w:r w:rsidR="00A753DF" w:rsidRPr="001B0C3B">
        <w:rPr>
          <w:rFonts w:cs="Arial"/>
          <w:sz w:val="22"/>
          <w:szCs w:val="22"/>
          <w:highlight w:val="green"/>
          <w:lang w:val="es-ES"/>
        </w:rPr>
        <w:t>[PARA CONTRATO DE ORIGEN CITI SUSCRITO ENTRE 1992 Y 2001]</w:t>
      </w:r>
    </w:p>
    <w:p w14:paraId="7521A0CD" w14:textId="4C0295F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A413D9E" w14:textId="77777777" w:rsidR="006B1F36" w:rsidRPr="001B0C3B" w:rsidRDefault="006B1F36" w:rsidP="0068752B">
      <w:pPr>
        <w:spacing w:line="360" w:lineRule="auto"/>
        <w:rPr>
          <w:rFonts w:eastAsiaTheme="minorEastAsia" w:cs="Arial"/>
          <w:sz w:val="22"/>
          <w:szCs w:val="22"/>
          <w:lang w:val="es-ES" w:eastAsia="es-ES_tradnl"/>
        </w:rPr>
      </w:pPr>
    </w:p>
    <w:p w14:paraId="2622CA11" w14:textId="307FEA0C"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Constituyen ejemplo jurisprudencial de validación de la transparencia del contrato </w:t>
      </w:r>
      <w:r w:rsidRPr="001B0C3B">
        <w:rPr>
          <w:rFonts w:eastAsiaTheme="minorEastAsia" w:cs="Arial"/>
          <w:sz w:val="22"/>
          <w:szCs w:val="22"/>
          <w:highlight w:val="yellow"/>
          <w:lang w:val="es-ES" w:eastAsia="es-ES_tradnl"/>
        </w:rPr>
        <w:t xml:space="preserve">Citi </w:t>
      </w:r>
      <w:r w:rsidR="00840EEB">
        <w:rPr>
          <w:rFonts w:eastAsiaTheme="minorEastAsia" w:cs="Arial"/>
          <w:sz w:val="22"/>
          <w:szCs w:val="22"/>
          <w:highlight w:val="yellow"/>
          <w:lang w:val="es-ES" w:eastAsia="es-ES_tradnl"/>
        </w:rPr>
        <w:fldChar w:fldCharType="begin"/>
      </w:r>
      <w:r w:rsidR="00840EEB">
        <w:rPr>
          <w:rFonts w:eastAsiaTheme="minorEastAsia" w:cs="Arial"/>
          <w:sz w:val="22"/>
          <w:szCs w:val="22"/>
          <w:highlight w:val="yellow"/>
          <w:lang w:val="es-ES" w:eastAsia="es-ES_tradnl"/>
        </w:rPr>
        <w:instrText>persovalores_personalizable180</w:instrText>
      </w:r>
      <w:r w:rsidR="00840EEB">
        <w:rPr>
          <w:rFonts w:eastAsiaTheme="minorEastAsia" w:cs="Arial"/>
          <w:sz w:val="22"/>
          <w:szCs w:val="22"/>
          <w:highlight w:val="yellow"/>
          <w:lang w:val="es-ES" w:eastAsia="es-ES_tradnl"/>
        </w:rPr>
        <w:fldChar w:fldCharType="separate"/>
      </w:r>
      <w:r w:rsidR="00840EEB">
        <w:rPr>
          <w:rFonts w:eastAsiaTheme="minorEastAsia" w:cs="Arial"/>
          <w:noProof/>
          <w:sz w:val="22"/>
          <w:szCs w:val="22"/>
          <w:highlight w:val="yellow"/>
          <w:lang w:val="es-ES" w:eastAsia="es-ES_tradnl"/>
        </w:rPr>
        <w:t>«WIZINK_AÑO_DE_CONTRATACIÓN»</w:t>
      </w:r>
      <w:r w:rsidR="00840EEB">
        <w:rPr>
          <w:rFonts w:eastAsiaTheme="minorEastAsia" w:cs="Arial"/>
          <w:sz w:val="22"/>
          <w:szCs w:val="22"/>
          <w:highlight w:val="yellow"/>
          <w:lang w:val="es-ES" w:eastAsia="es-ES_tradnl"/>
        </w:rPr>
        <w:fldChar w:fldCharType="end"/>
      </w:r>
      <w:r w:rsidRPr="001B0C3B">
        <w:rPr>
          <w:rFonts w:eastAsiaTheme="minorEastAsia" w:cs="Arial"/>
          <w:sz w:val="22"/>
          <w:szCs w:val="22"/>
          <w:lang w:val="es-ES" w:eastAsia="es-ES_tradnl"/>
        </w:rPr>
        <w:t>, lo esgrimido por la sección 10ª</w:t>
      </w:r>
      <w:r w:rsidRPr="001B0C3B">
        <w:rPr>
          <w:rFonts w:eastAsiaTheme="minorEastAsia" w:cs="Arial"/>
          <w:sz w:val="22"/>
          <w:szCs w:val="22"/>
          <w:vertAlign w:val="superscript"/>
          <w:lang w:val="es-ES" w:eastAsia="es-ES_tradnl"/>
        </w:rPr>
        <w:t xml:space="preserve"> </w:t>
      </w:r>
      <w:r w:rsidRPr="001B0C3B">
        <w:rPr>
          <w:rFonts w:eastAsiaTheme="minorEastAsia" w:cs="Arial"/>
          <w:sz w:val="22"/>
          <w:szCs w:val="22"/>
          <w:lang w:val="es-ES" w:eastAsia="es-ES_tradnl"/>
        </w:rPr>
        <w:t>y la sección 20ª</w:t>
      </w:r>
      <w:r w:rsidRPr="001B0C3B">
        <w:rPr>
          <w:rStyle w:val="Refdenotaalpie"/>
          <w:rFonts w:eastAsiaTheme="minorEastAsia"/>
          <w:sz w:val="22"/>
          <w:szCs w:val="22"/>
          <w:lang w:val="es-ES" w:eastAsia="es-ES_tradnl"/>
        </w:rPr>
        <w:footnoteReference w:id="6"/>
      </w:r>
      <w:r w:rsidRPr="001B0C3B">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1B0C3B">
        <w:rPr>
          <w:rStyle w:val="Refdenotaalpie"/>
          <w:rFonts w:eastAsiaTheme="minorEastAsia"/>
          <w:sz w:val="22"/>
          <w:szCs w:val="22"/>
          <w:lang w:val="es-ES" w:eastAsia="es-ES_tradnl"/>
        </w:rPr>
        <w:footnoteReference w:id="7"/>
      </w:r>
      <w:r w:rsidRPr="001B0C3B">
        <w:rPr>
          <w:rFonts w:eastAsiaTheme="minorEastAsia" w:cs="Arial"/>
          <w:sz w:val="22"/>
          <w:szCs w:val="22"/>
          <w:lang w:val="es-ES" w:eastAsia="es-ES_tradnl"/>
        </w:rPr>
        <w:t xml:space="preserve"> y Sección 1ª de la Audiencia Provincial de León</w:t>
      </w:r>
      <w:r w:rsidRPr="001B0C3B">
        <w:rPr>
          <w:rStyle w:val="Refdenotaalpie"/>
          <w:rFonts w:eastAsiaTheme="minorEastAsia"/>
          <w:sz w:val="22"/>
          <w:szCs w:val="22"/>
          <w:lang w:val="es-ES" w:eastAsia="es-ES_tradnl"/>
        </w:rPr>
        <w:footnoteReference w:id="8"/>
      </w:r>
      <w:r w:rsidRPr="001B0C3B">
        <w:rPr>
          <w:rFonts w:eastAsiaTheme="minorEastAsia" w:cs="Arial"/>
          <w:sz w:val="22"/>
          <w:szCs w:val="22"/>
          <w:lang w:val="es-ES" w:eastAsia="es-ES_tradnl"/>
        </w:rPr>
        <w:t xml:space="preserve">. </w:t>
      </w:r>
    </w:p>
    <w:p w14:paraId="49C1C7AC" w14:textId="77777777" w:rsidR="0068752B" w:rsidRPr="001B0C3B" w:rsidRDefault="0068752B" w:rsidP="0068752B">
      <w:pPr>
        <w:spacing w:line="360" w:lineRule="auto"/>
        <w:rPr>
          <w:rFonts w:eastAsiaTheme="minorEastAsia" w:cs="Arial"/>
          <w:sz w:val="22"/>
          <w:szCs w:val="22"/>
          <w:lang w:val="es-ES" w:eastAsia="es-ES_tradnl"/>
        </w:rPr>
      </w:pPr>
    </w:p>
    <w:p w14:paraId="1FAEAFBE" w14:textId="4A281055"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A este respecto, explica la </w:t>
      </w:r>
      <w:r w:rsidRPr="001B0C3B">
        <w:rPr>
          <w:rFonts w:eastAsiaTheme="minorEastAsia" w:cs="Arial"/>
          <w:b/>
          <w:bCs/>
          <w:sz w:val="22"/>
          <w:szCs w:val="22"/>
          <w:lang w:val="es-ES" w:eastAsia="es-ES_tradnl"/>
        </w:rPr>
        <w:t>sección 10ª</w:t>
      </w:r>
      <w:r w:rsidRPr="001B0C3B">
        <w:rPr>
          <w:rFonts w:eastAsiaTheme="minorEastAsia" w:cs="Arial"/>
          <w:sz w:val="22"/>
          <w:szCs w:val="22"/>
          <w:lang w:val="es-ES" w:eastAsia="es-ES_tradnl"/>
        </w:rPr>
        <w:t xml:space="preserve"> de la Audiencia Provincial de Madrid que </w:t>
      </w:r>
      <w:r w:rsidRPr="001B0C3B">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1B0C3B">
        <w:rPr>
          <w:rFonts w:eastAsiaTheme="minorEastAsia" w:cs="Arial"/>
          <w:sz w:val="22"/>
          <w:szCs w:val="22"/>
          <w:lang w:val="es-ES" w:eastAsia="es-ES_tradnl"/>
        </w:rPr>
        <w:t xml:space="preserve">sin que quepa apreciar que exista desequilibrio entre las obligaciones de las partes. En similar sentido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1B0C3B">
        <w:rPr>
          <w:rFonts w:eastAsiaTheme="minorEastAsia" w:cs="Arial"/>
          <w:b/>
          <w:bCs/>
          <w:sz w:val="22"/>
          <w:szCs w:val="22"/>
          <w:lang w:val="es-ES" w:eastAsia="es-ES_tradnl"/>
        </w:rPr>
        <w:t>sección 3ª</w:t>
      </w:r>
      <w:r w:rsidRPr="001B0C3B">
        <w:rPr>
          <w:rFonts w:eastAsiaTheme="minorEastAsia" w:cs="Arial"/>
          <w:sz w:val="22"/>
          <w:szCs w:val="22"/>
          <w:lang w:val="es-ES" w:eastAsia="es-ES_tradnl"/>
        </w:rPr>
        <w:t xml:space="preserve"> de la Audiencia Provincial de Burgos</w:t>
      </w:r>
      <w:r w:rsidRPr="001B0C3B">
        <w:rPr>
          <w:rStyle w:val="Refdenotaalpie"/>
          <w:rFonts w:eastAsiaTheme="minorEastAsia" w:cs="Arial"/>
          <w:sz w:val="22"/>
          <w:szCs w:val="22"/>
          <w:lang w:val="es-ES" w:eastAsia="es-ES_tradnl"/>
        </w:rPr>
        <w:footnoteReference w:id="9"/>
      </w:r>
      <w:r w:rsidRPr="001B0C3B">
        <w:rPr>
          <w:rFonts w:eastAsiaTheme="minorEastAsia" w:cs="Arial"/>
          <w:sz w:val="22"/>
          <w:szCs w:val="22"/>
          <w:lang w:val="es-ES" w:eastAsia="es-ES_tradnl"/>
        </w:rPr>
        <w:t xml:space="preserve">, </w:t>
      </w:r>
      <w:r w:rsidRPr="001B0C3B">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1B0C3B">
        <w:rPr>
          <w:rFonts w:cs="Arial"/>
          <w:b/>
          <w:bCs/>
          <w:sz w:val="22"/>
          <w:szCs w:val="22"/>
          <w:lang w:val="es-ES"/>
        </w:rPr>
        <w:t>sección 8ª</w:t>
      </w:r>
      <w:r w:rsidRPr="001B0C3B">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1B0C3B">
        <w:rPr>
          <w:rFonts w:cs="Arial"/>
          <w:sz w:val="22"/>
          <w:szCs w:val="22"/>
          <w:lang w:val="es-ES"/>
        </w:rPr>
        <w:t>abusividad</w:t>
      </w:r>
      <w:proofErr w:type="spellEnd"/>
      <w:r w:rsidRPr="001B0C3B">
        <w:rPr>
          <w:rFonts w:cs="Arial"/>
          <w:sz w:val="22"/>
          <w:szCs w:val="22"/>
          <w:lang w:val="es-ES"/>
        </w:rPr>
        <w:t>. Si no existe usura, indica, no puede existir desequilibrio a los efectos de la transparencia</w:t>
      </w:r>
      <w:r w:rsidRPr="001B0C3B">
        <w:rPr>
          <w:rStyle w:val="Refdenotaalpie"/>
          <w:sz w:val="22"/>
          <w:szCs w:val="22"/>
          <w:lang w:val="es-ES"/>
        </w:rPr>
        <w:footnoteReference w:id="10"/>
      </w:r>
      <w:r w:rsidRPr="001B0C3B">
        <w:rPr>
          <w:rFonts w:cs="Arial"/>
          <w:sz w:val="22"/>
          <w:szCs w:val="22"/>
          <w:lang w:val="es-ES"/>
        </w:rPr>
        <w:t>.</w:t>
      </w:r>
    </w:p>
    <w:p w14:paraId="7E077BEB" w14:textId="77777777" w:rsidR="0068752B" w:rsidRPr="001B0C3B" w:rsidRDefault="0068752B" w:rsidP="0068752B">
      <w:pPr>
        <w:spacing w:line="360" w:lineRule="auto"/>
        <w:rPr>
          <w:rFonts w:eastAsiaTheme="minorEastAsia" w:cs="Arial"/>
          <w:sz w:val="22"/>
          <w:szCs w:val="22"/>
          <w:lang w:val="es-ES" w:eastAsia="es-ES_tradnl"/>
        </w:rPr>
      </w:pPr>
    </w:p>
    <w:p w14:paraId="0B98BD0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9EF09F0" w14:textId="77777777" w:rsidR="00A753DF" w:rsidRPr="001B0C3B" w:rsidRDefault="00A753DF" w:rsidP="00A753DF">
      <w:pPr>
        <w:pStyle w:val="Body1"/>
        <w:spacing w:line="360" w:lineRule="auto"/>
        <w:rPr>
          <w:rFonts w:cs="Arial"/>
          <w:sz w:val="22"/>
          <w:szCs w:val="22"/>
          <w:lang w:val="es-ES"/>
        </w:rPr>
      </w:pPr>
    </w:p>
    <w:p w14:paraId="070B41A5"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2002 Y 2003]</w:t>
      </w:r>
    </w:p>
    <w:p w14:paraId="55E1F9C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93859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de Citibank, lo esgrimido por la Sección 18ª</w:t>
      </w:r>
      <w:r w:rsidRPr="001B0C3B">
        <w:rPr>
          <w:rFonts w:eastAsiaTheme="minorEastAsia" w:cs="Arial"/>
          <w:sz w:val="22"/>
          <w:szCs w:val="22"/>
          <w:vertAlign w:val="superscript"/>
          <w:lang w:val="es-ES" w:eastAsia="es-ES_tradnl"/>
        </w:rPr>
        <w:footnoteReference w:id="11"/>
      </w:r>
      <w:r w:rsidRPr="001B0C3B">
        <w:rPr>
          <w:rFonts w:eastAsiaTheme="minorEastAsia" w:cs="Arial"/>
          <w:sz w:val="22"/>
          <w:szCs w:val="22"/>
          <w:lang w:val="es-ES" w:eastAsia="es-ES_tradnl"/>
        </w:rPr>
        <w:t xml:space="preserve"> y por la Sección 20ª</w:t>
      </w:r>
      <w:r w:rsidRPr="001B0C3B">
        <w:rPr>
          <w:rStyle w:val="Refdenotaalpie"/>
          <w:rFonts w:cs="Arial"/>
          <w:sz w:val="22"/>
          <w:szCs w:val="22"/>
          <w:lang w:val="es-ES"/>
        </w:rPr>
        <w:footnoteReference w:id="12"/>
      </w:r>
      <w:r w:rsidRPr="001B0C3B">
        <w:rPr>
          <w:rFonts w:eastAsiaTheme="minorEastAsia" w:cs="Arial"/>
          <w:sz w:val="22"/>
          <w:szCs w:val="22"/>
          <w:lang w:val="es-ES" w:eastAsia="es-ES_tradnl"/>
        </w:rPr>
        <w:t xml:space="preserve"> de la Ilma. Audiencia Provincial de Madrid.</w:t>
      </w:r>
    </w:p>
    <w:p w14:paraId="61C4E62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lastRenderedPageBreak/>
        <w:t xml:space="preserve">Por su parte la </w:t>
      </w:r>
      <w:r w:rsidRPr="001B0C3B">
        <w:rPr>
          <w:rFonts w:eastAsiaTheme="minorEastAsia" w:cs="Arial"/>
          <w:b/>
          <w:bCs/>
          <w:sz w:val="22"/>
          <w:szCs w:val="22"/>
          <w:lang w:val="es-ES" w:eastAsia="es-ES_tradnl"/>
        </w:rPr>
        <w:t>Sección 18ª</w:t>
      </w:r>
      <w:r w:rsidRPr="001B0C3B">
        <w:rPr>
          <w:rFonts w:eastAsiaTheme="minorEastAsia" w:cs="Arial"/>
          <w:sz w:val="22"/>
          <w:szCs w:val="22"/>
          <w:lang w:val="es-ES" w:eastAsia="es-ES_tradnl"/>
        </w:rPr>
        <w:t xml:space="preserve"> explica la transparencia del contrato a la vista de la indicación en el contrato</w:t>
      </w:r>
      <w:r w:rsidRPr="001B0C3B">
        <w:rPr>
          <w:rFonts w:cs="Arial"/>
          <w:sz w:val="22"/>
          <w:szCs w:val="22"/>
          <w:lang w:val="es-ES"/>
        </w:rPr>
        <w:t xml:space="preserve"> de la </w:t>
      </w:r>
      <w:r w:rsidRPr="001B0C3B">
        <w:rPr>
          <w:rFonts w:eastAsiaTheme="minorEastAsia" w:cs="Arial"/>
          <w:sz w:val="22"/>
          <w:szCs w:val="22"/>
          <w:lang w:val="es-ES" w:eastAsia="es-ES_tradnl"/>
        </w:rPr>
        <w:t>TAE</w:t>
      </w:r>
      <w:r w:rsidRPr="001B0C3B">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1B0C3B">
        <w:rPr>
          <w:rFonts w:cs="Arial"/>
          <w:b/>
          <w:bCs/>
          <w:sz w:val="22"/>
          <w:szCs w:val="22"/>
          <w:lang w:val="es-ES"/>
        </w:rPr>
        <w:t>Sección 20ª</w:t>
      </w:r>
      <w:r w:rsidRPr="001B0C3B">
        <w:rPr>
          <w:rStyle w:val="Refdenotaalpie"/>
          <w:rFonts w:cs="Arial"/>
          <w:sz w:val="22"/>
          <w:szCs w:val="22"/>
          <w:lang w:val="es-ES"/>
        </w:rPr>
        <w:footnoteReference w:id="13"/>
      </w:r>
      <w:r w:rsidRPr="001B0C3B">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59BE7AAD"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3001FED" w14:textId="77777777" w:rsidR="0068752B" w:rsidRPr="001B0C3B" w:rsidRDefault="0068752B" w:rsidP="0068752B">
      <w:pPr>
        <w:spacing w:line="360" w:lineRule="auto"/>
        <w:rPr>
          <w:rFonts w:eastAsiaTheme="minorEastAsia" w:cs="Arial"/>
          <w:b/>
          <w:bCs/>
          <w:sz w:val="22"/>
          <w:szCs w:val="22"/>
          <w:highlight w:val="green"/>
          <w:lang w:val="es-ES" w:eastAsia="es-ES_tradnl"/>
        </w:rPr>
      </w:pPr>
    </w:p>
    <w:p w14:paraId="7B751922" w14:textId="7B90F47B"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2004 Y 2007]</w:t>
      </w:r>
    </w:p>
    <w:p w14:paraId="565228D5"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F55A68" w14:textId="019650CE"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1B0C3B">
        <w:rPr>
          <w:rStyle w:val="Refdenotaalpie"/>
          <w:rFonts w:eastAsiaTheme="minorEastAsia"/>
          <w:sz w:val="22"/>
          <w:szCs w:val="22"/>
          <w:lang w:val="es-ES" w:eastAsia="es-ES_tradnl"/>
        </w:rPr>
        <w:footnoteReference w:id="14"/>
      </w:r>
      <w:r w:rsidRPr="001B0C3B">
        <w:rPr>
          <w:rFonts w:eastAsiaTheme="minorEastAsia" w:cs="Arial"/>
          <w:sz w:val="22"/>
          <w:szCs w:val="22"/>
          <w:lang w:val="es-ES" w:eastAsia="es-ES_tradnl"/>
        </w:rPr>
        <w:t xml:space="preserve"> de la Audiencia Provincial de León, la Sección 5ª de la Audiencia Provincial de Sevilla </w:t>
      </w:r>
      <w:r w:rsidRPr="001B0C3B">
        <w:rPr>
          <w:rStyle w:val="Refdenotaalpie"/>
          <w:rFonts w:eastAsiaTheme="minorEastAsia"/>
          <w:sz w:val="22"/>
          <w:szCs w:val="22"/>
          <w:lang w:val="es-ES" w:eastAsia="es-ES_tradnl"/>
        </w:rPr>
        <w:footnoteReference w:id="15"/>
      </w:r>
      <w:r w:rsidRPr="001B0C3B">
        <w:rPr>
          <w:rFonts w:eastAsiaTheme="minorEastAsia" w:cs="Arial"/>
          <w:sz w:val="22"/>
          <w:szCs w:val="22"/>
          <w:lang w:val="es-ES" w:eastAsia="es-ES_tradnl"/>
        </w:rPr>
        <w:t xml:space="preserve">, o la Sección 1ª de la Audiencia Provincial de Almería </w:t>
      </w:r>
      <w:r w:rsidRPr="001B0C3B">
        <w:rPr>
          <w:rStyle w:val="Refdenotaalpie"/>
          <w:rFonts w:eastAsiaTheme="minorEastAsia"/>
          <w:sz w:val="22"/>
          <w:szCs w:val="22"/>
          <w:lang w:val="es-ES" w:eastAsia="es-ES_tradnl"/>
        </w:rPr>
        <w:footnoteReference w:id="16"/>
      </w:r>
      <w:r w:rsidRPr="001B0C3B">
        <w:rPr>
          <w:rFonts w:eastAsiaTheme="minorEastAsia" w:cs="Arial"/>
          <w:sz w:val="22"/>
          <w:szCs w:val="22"/>
          <w:lang w:val="es-ES" w:eastAsia="es-ES_tradnl"/>
        </w:rPr>
        <w:t>.</w:t>
      </w:r>
    </w:p>
    <w:p w14:paraId="7EA6A5E8" w14:textId="77777777" w:rsidR="0068752B" w:rsidRPr="001B0C3B" w:rsidRDefault="0068752B" w:rsidP="0068752B">
      <w:pPr>
        <w:spacing w:line="360" w:lineRule="auto"/>
        <w:rPr>
          <w:rFonts w:eastAsiaTheme="minorEastAsia" w:cs="Arial"/>
          <w:sz w:val="22"/>
          <w:szCs w:val="22"/>
          <w:lang w:val="es-ES" w:eastAsia="es-ES_tradnl"/>
        </w:rPr>
      </w:pPr>
    </w:p>
    <w:p w14:paraId="679A18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Por ejemplo,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w:t>
      </w:r>
      <w:r w:rsidRPr="001B0C3B">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w:t>
      </w:r>
      <w:r w:rsidRPr="001B0C3B">
        <w:rPr>
          <w:rFonts w:cs="Arial"/>
          <w:sz w:val="22"/>
          <w:szCs w:val="22"/>
          <w:lang w:val="es-ES"/>
        </w:rPr>
        <w:lastRenderedPageBreak/>
        <w:t xml:space="preserve">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1B0C3B">
        <w:rPr>
          <w:rFonts w:cs="Arial"/>
          <w:b/>
          <w:bCs/>
          <w:sz w:val="22"/>
          <w:szCs w:val="22"/>
          <w:lang w:val="es-ES"/>
        </w:rPr>
        <w:t>Sección 1ª</w:t>
      </w:r>
      <w:r w:rsidRPr="001B0C3B">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1B0C3B">
        <w:rPr>
          <w:rFonts w:cs="Arial"/>
          <w:b/>
          <w:bCs/>
          <w:sz w:val="22"/>
          <w:szCs w:val="22"/>
          <w:lang w:val="es-ES"/>
        </w:rPr>
        <w:t>Sección 5ª</w:t>
      </w:r>
      <w:r w:rsidRPr="001B0C3B">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1DA1529A" w14:textId="5E0C9D8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25042C6C" w14:textId="77777777" w:rsidR="0068752B" w:rsidRPr="001B0C3B" w:rsidRDefault="0068752B" w:rsidP="0068752B">
      <w:pPr>
        <w:spacing w:line="360" w:lineRule="auto"/>
        <w:rPr>
          <w:sz w:val="22"/>
          <w:szCs w:val="22"/>
          <w:lang w:val="es-ES"/>
        </w:rPr>
      </w:pPr>
    </w:p>
    <w:p w14:paraId="50EAA161"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ENTRE 2008 Y 2014]</w:t>
      </w:r>
    </w:p>
    <w:p w14:paraId="543DF25C"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7879161" w14:textId="42F609B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1B0C3B">
        <w:rPr>
          <w:rStyle w:val="Refdenotaalpie"/>
          <w:rFonts w:eastAsiaTheme="minorEastAsia" w:cs="Arial"/>
          <w:sz w:val="22"/>
          <w:szCs w:val="22"/>
          <w:lang w:val="es-ES" w:eastAsia="es-ES_tradnl"/>
        </w:rPr>
        <w:footnoteReference w:id="17"/>
      </w:r>
      <w:r w:rsidRPr="001B0C3B">
        <w:rPr>
          <w:rFonts w:eastAsiaTheme="minorEastAsia" w:cs="Arial"/>
          <w:sz w:val="22"/>
          <w:szCs w:val="22"/>
          <w:lang w:val="es-ES" w:eastAsia="es-ES_tradnl"/>
        </w:rPr>
        <w:t xml:space="preserve"> o por las Secciones 10ª y 20</w:t>
      </w:r>
      <w:bookmarkStart w:id="17" w:name="_Hlk156585946"/>
      <w:r w:rsidRPr="001B0C3B">
        <w:rPr>
          <w:rFonts w:eastAsiaTheme="minorEastAsia" w:cs="Arial"/>
          <w:sz w:val="22"/>
          <w:szCs w:val="22"/>
          <w:lang w:val="es-ES" w:eastAsia="es-ES_tradnl"/>
        </w:rPr>
        <w:t>ª</w:t>
      </w:r>
      <w:bookmarkEnd w:id="17"/>
      <w:r w:rsidRPr="001B0C3B">
        <w:rPr>
          <w:rFonts w:eastAsiaTheme="minorEastAsia" w:cs="Arial"/>
          <w:sz w:val="22"/>
          <w:szCs w:val="22"/>
          <w:lang w:val="es-ES" w:eastAsia="es-ES_tradnl"/>
        </w:rPr>
        <w:t xml:space="preserve"> de la Audiencia Provincial de Madrid</w:t>
      </w:r>
      <w:r w:rsidRPr="001B0C3B">
        <w:rPr>
          <w:rStyle w:val="Refdenotaalpie"/>
          <w:rFonts w:eastAsiaTheme="minorEastAsia" w:cs="Arial"/>
          <w:sz w:val="22"/>
          <w:szCs w:val="22"/>
          <w:lang w:val="es-ES" w:eastAsia="es-ES_tradnl"/>
        </w:rPr>
        <w:footnoteReference w:id="18"/>
      </w:r>
      <w:r w:rsidRPr="001B0C3B">
        <w:rPr>
          <w:rFonts w:eastAsiaTheme="minorEastAsia" w:cs="Arial"/>
          <w:sz w:val="22"/>
          <w:szCs w:val="22"/>
          <w:lang w:val="es-ES" w:eastAsia="es-ES_tradnl"/>
        </w:rPr>
        <w:t>. Del mismo modo validan este reglamento, la Sección 2ª de la Audiencia Provincial de Huelva</w:t>
      </w:r>
      <w:r w:rsidRPr="001B0C3B">
        <w:rPr>
          <w:rStyle w:val="Refdenotaalpie"/>
          <w:rFonts w:eastAsiaTheme="minorEastAsia"/>
          <w:sz w:val="22"/>
          <w:szCs w:val="22"/>
          <w:lang w:val="es-ES" w:eastAsia="es-ES_tradnl"/>
        </w:rPr>
        <w:footnoteReference w:id="19"/>
      </w:r>
      <w:r w:rsidRPr="001B0C3B">
        <w:rPr>
          <w:rFonts w:eastAsiaTheme="minorEastAsia" w:cs="Arial"/>
          <w:sz w:val="22"/>
          <w:szCs w:val="22"/>
          <w:lang w:val="es-ES" w:eastAsia="es-ES_tradnl"/>
        </w:rPr>
        <w:t>, la Sección 1ª de la Audiencia Provincial de Ávila</w:t>
      </w:r>
      <w:r w:rsidRPr="001B0C3B">
        <w:rPr>
          <w:rStyle w:val="Refdenotaalpie"/>
          <w:rFonts w:eastAsiaTheme="minorEastAsia"/>
          <w:sz w:val="22"/>
          <w:szCs w:val="22"/>
          <w:lang w:val="es-ES" w:eastAsia="es-ES_tradnl"/>
        </w:rPr>
        <w:footnoteReference w:id="20"/>
      </w:r>
      <w:r w:rsidRPr="001B0C3B">
        <w:rPr>
          <w:rFonts w:eastAsiaTheme="minorEastAsia" w:cs="Arial"/>
          <w:sz w:val="22"/>
          <w:szCs w:val="22"/>
          <w:lang w:val="es-ES" w:eastAsia="es-ES_tradnl"/>
        </w:rPr>
        <w:t xml:space="preserve"> y la Sección 1ª de la Audiencia Provincial de Teruel</w:t>
      </w:r>
      <w:r w:rsidRPr="001B0C3B">
        <w:rPr>
          <w:rStyle w:val="Refdenotaalpie"/>
          <w:rFonts w:eastAsiaTheme="minorEastAsia"/>
          <w:sz w:val="22"/>
          <w:szCs w:val="22"/>
          <w:lang w:val="es-ES" w:eastAsia="es-ES_tradnl"/>
        </w:rPr>
        <w:footnoteReference w:id="21"/>
      </w:r>
      <w:r w:rsidRPr="001B0C3B">
        <w:rPr>
          <w:rFonts w:eastAsiaTheme="minorEastAsia" w:cs="Arial"/>
          <w:sz w:val="22"/>
          <w:szCs w:val="22"/>
          <w:lang w:val="es-ES" w:eastAsia="es-ES_tradnl"/>
        </w:rPr>
        <w:t>.</w:t>
      </w:r>
    </w:p>
    <w:p w14:paraId="73E0CA49" w14:textId="77777777" w:rsidR="0068752B" w:rsidRPr="001B0C3B" w:rsidRDefault="0068752B" w:rsidP="0068752B">
      <w:pPr>
        <w:spacing w:line="360" w:lineRule="auto"/>
        <w:rPr>
          <w:rFonts w:eastAsiaTheme="minorEastAsia" w:cs="Arial"/>
          <w:sz w:val="22"/>
          <w:szCs w:val="22"/>
          <w:lang w:val="es-ES" w:eastAsia="es-ES_tradnl"/>
        </w:rPr>
      </w:pPr>
    </w:p>
    <w:p w14:paraId="56E12DE6" w14:textId="77777777"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Entrando con mayor detalle en alguna de las citadas, la </w:t>
      </w:r>
      <w:r w:rsidRPr="001B0C3B">
        <w:rPr>
          <w:rFonts w:eastAsiaTheme="minorEastAsia" w:cs="Arial"/>
          <w:b/>
          <w:bCs/>
          <w:sz w:val="22"/>
          <w:szCs w:val="22"/>
          <w:lang w:val="es-ES" w:eastAsia="es-ES_tradnl"/>
        </w:rPr>
        <w:t>Sección 1ª</w:t>
      </w:r>
      <w:r w:rsidRPr="001B0C3B">
        <w:rPr>
          <w:rFonts w:eastAsiaTheme="minorEastAsia" w:cs="Arial"/>
          <w:sz w:val="22"/>
          <w:szCs w:val="22"/>
          <w:lang w:val="es-ES" w:eastAsia="es-ES_tradnl"/>
        </w:rPr>
        <w:t xml:space="preserve"> de la Audiencia Provincial de Cáceres </w:t>
      </w:r>
      <w:r w:rsidRPr="001B0C3B">
        <w:rPr>
          <w:rFonts w:cs="Arial"/>
          <w:sz w:val="22"/>
          <w:szCs w:val="22"/>
          <w:lang w:val="es-ES"/>
        </w:rPr>
        <w:t xml:space="preserve">insiste en que el interés remuneratorio se encuentra consignado de forma clara, no enmascarada y perfectamente comprensible. Por su parte, la </w:t>
      </w:r>
      <w:r w:rsidRPr="001B0C3B">
        <w:rPr>
          <w:rFonts w:cs="Arial"/>
          <w:b/>
          <w:bCs/>
          <w:sz w:val="22"/>
          <w:szCs w:val="22"/>
          <w:lang w:val="es-ES"/>
        </w:rPr>
        <w:t>Sección 10ª</w:t>
      </w:r>
      <w:r w:rsidRPr="001B0C3B">
        <w:rPr>
          <w:rFonts w:cs="Arial"/>
          <w:sz w:val="22"/>
          <w:szCs w:val="22"/>
          <w:lang w:val="es-ES"/>
        </w:rPr>
        <w:t xml:space="preserve"> de la Audiencia Provincial de Madrid ofrece similar argumento y la </w:t>
      </w:r>
      <w:r w:rsidRPr="001B0C3B">
        <w:rPr>
          <w:rFonts w:cs="Arial"/>
          <w:b/>
          <w:bCs/>
          <w:sz w:val="22"/>
          <w:szCs w:val="22"/>
          <w:lang w:val="es-ES"/>
        </w:rPr>
        <w:t>Sección 20ª</w:t>
      </w:r>
      <w:r w:rsidRPr="001B0C3B">
        <w:rPr>
          <w:rFonts w:cs="Arial"/>
          <w:sz w:val="22"/>
          <w:szCs w:val="22"/>
          <w:lang w:val="es-ES"/>
        </w:rPr>
        <w:t xml:space="preserve"> de la Audiencia Provincial de </w:t>
      </w:r>
      <w:r w:rsidRPr="001B0C3B">
        <w:rPr>
          <w:rFonts w:cs="Arial"/>
          <w:sz w:val="22"/>
          <w:szCs w:val="22"/>
          <w:lang w:val="es-ES"/>
        </w:rPr>
        <w:lastRenderedPageBreak/>
        <w:t xml:space="preserve">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17AAAD78"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w:t>
      </w:r>
      <w:r w:rsidRPr="001B0C3B">
        <w:rPr>
          <w:rFonts w:cs="Arial"/>
          <w:sz w:val="22"/>
          <w:szCs w:val="22"/>
          <w:lang w:val="es-ES"/>
        </w:rPr>
        <w:lastRenderedPageBreak/>
        <w:t>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157FCA40" w14:textId="0BCC44DD" w:rsidR="00CF5A7C"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r w:rsidR="00CF5A7C">
        <w:rPr>
          <w:rFonts w:cs="Arial"/>
          <w:sz w:val="22"/>
          <w:szCs w:val="22"/>
          <w:lang w:val="es-ES_tradnl"/>
        </w:rPr>
        <w:t xml:space="preserve">Esta opinión ha sido recientemente avalada por la </w:t>
      </w:r>
      <w:r w:rsidR="00CF5A7C">
        <w:rPr>
          <w:rFonts w:cs="Arial"/>
          <w:b/>
          <w:bCs/>
          <w:sz w:val="22"/>
          <w:szCs w:val="22"/>
          <w:lang w:val="es-ES_tradnl"/>
        </w:rPr>
        <w:t>Sentencia núm. 64/2024, de 15 de marzo, dictada por la sección 15ª de la Audiencia Provincial de Barcelona</w:t>
      </w:r>
      <w:r w:rsidR="00CF5A7C">
        <w:rPr>
          <w:rFonts w:cs="Arial"/>
          <w:sz w:val="22"/>
          <w:szCs w:val="22"/>
          <w:lang w:val="es-ES_tradnl"/>
        </w:rPr>
        <w:t xml:space="preserve">, la cual desarrollaremos más adelante, </w:t>
      </w:r>
      <w:r w:rsidR="00CF5A7C">
        <w:rPr>
          <w:rFonts w:cs="Arial"/>
          <w:b/>
          <w:sz w:val="22"/>
          <w:szCs w:val="22"/>
          <w:lang w:val="es-ES_tradnl"/>
        </w:rPr>
        <w:t xml:space="preserve">en la que se fija el </w:t>
      </w:r>
      <w:proofErr w:type="spellStart"/>
      <w:r w:rsidR="00CF5A7C">
        <w:rPr>
          <w:rFonts w:cs="Arial"/>
          <w:b/>
          <w:i/>
          <w:iCs/>
          <w:sz w:val="22"/>
          <w:szCs w:val="22"/>
          <w:lang w:val="es-ES_tradnl"/>
        </w:rPr>
        <w:t>dies</w:t>
      </w:r>
      <w:proofErr w:type="spellEnd"/>
      <w:r w:rsidR="00CF5A7C">
        <w:rPr>
          <w:rFonts w:cs="Arial"/>
          <w:b/>
          <w:i/>
          <w:iCs/>
          <w:sz w:val="22"/>
          <w:szCs w:val="22"/>
          <w:lang w:val="es-ES_tradnl"/>
        </w:rPr>
        <w:t xml:space="preserve"> a quo</w:t>
      </w:r>
      <w:r w:rsidR="00CF5A7C">
        <w:rPr>
          <w:rFonts w:cs="Arial"/>
          <w:b/>
          <w:sz w:val="22"/>
          <w:szCs w:val="22"/>
          <w:lang w:val="es-ES_tradnl"/>
        </w:rPr>
        <w:t xml:space="preserve"> entre finales del 2016 y principios del 2017 en un asunto de transparencia de cláusulas análogas a la que nos ocupa.</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w:t>
      </w:r>
      <w:r w:rsidRPr="001B0C3B">
        <w:rPr>
          <w:rFonts w:cs="Arial"/>
          <w:sz w:val="22"/>
          <w:szCs w:val="22"/>
          <w:lang w:val="es-ES_tradnl"/>
        </w:rPr>
        <w:lastRenderedPageBreak/>
        <w:t xml:space="preserve">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22"/>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8"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8"/>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w:t>
      </w:r>
      <w:r w:rsidRPr="001B0C3B">
        <w:rPr>
          <w:rFonts w:eastAsia="Book Antiqua" w:cs="Arial"/>
          <w:spacing w:val="1"/>
          <w:sz w:val="22"/>
          <w:szCs w:val="22"/>
          <w:lang w:val="es-ES_tradnl"/>
        </w:rPr>
        <w:lastRenderedPageBreak/>
        <w:t xml:space="preserve">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lastRenderedPageBreak/>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23"/>
      </w:r>
      <w:r w:rsidRPr="001B0C3B">
        <w:rPr>
          <w:rFonts w:cs="Arial"/>
          <w:sz w:val="22"/>
          <w:szCs w:val="22"/>
          <w:lang w:val="es-ES"/>
        </w:rPr>
        <w:t xml:space="preserve">). Este importe es el que, según el TS, hay que añadir al TEDR publicado por el Banco de España para hallar la TAE media con la que comparar la </w:t>
      </w:r>
      <w:r w:rsidRPr="001B0C3B">
        <w:rPr>
          <w:rFonts w:cs="Arial"/>
          <w:sz w:val="22"/>
          <w:szCs w:val="22"/>
          <w:lang w:val="es-ES"/>
        </w:rPr>
        <w:lastRenderedPageBreak/>
        <w:t>TAE de la Tarjeta, evitando así la comparación de magnitudes no equivalentes (evitando comparar TAE con TEDR que es comparar “peras con manzanas”).</w:t>
      </w:r>
    </w:p>
    <w:p w14:paraId="08F5DC8F" w14:textId="533808E5"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9C2223">
        <w:rPr>
          <w:rFonts w:cs="Arial"/>
          <w:b/>
          <w:bCs/>
          <w:color w:val="00B050"/>
          <w:sz w:val="22"/>
          <w:szCs w:val="22"/>
          <w:lang w:val="es-ES"/>
        </w:rPr>
        <w:t>Documento 2 Contestación</w:t>
      </w:r>
      <w:r w:rsidR="009C2223" w:rsidRPr="009C2223">
        <w:rPr>
          <w:rFonts w:cs="Arial"/>
          <w:b/>
          <w:bCs/>
          <w:sz w:val="22"/>
          <w:szCs w:val="22"/>
          <w:lang w:val="es-ES"/>
        </w:rPr>
        <w:t xml:space="preserve"> y Documento 2 bis </w:t>
      </w:r>
      <w:r w:rsidR="009C2223" w:rsidRPr="009C2223">
        <w:rPr>
          <w:rFonts w:cs="Arial"/>
          <w:sz w:val="22"/>
          <w:szCs w:val="22"/>
          <w:lang w:val="es-ES"/>
        </w:rPr>
        <w:t>su anexo.</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24"/>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9" w:name="_Hlk129605960"/>
      <w:r w:rsidRPr="001B0C3B">
        <w:rPr>
          <w:noProof/>
          <w:sz w:val="22"/>
          <w:szCs w:val="22"/>
          <w:lang w:val="es-ES" w:eastAsia="es-ES"/>
        </w:rPr>
        <w:lastRenderedPageBreak/>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23F8C9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proofErr w:type="spellStart"/>
      <w:r w:rsidRPr="001B0C3B">
        <w:rPr>
          <w:rFonts w:cs="Arial"/>
          <w:sz w:val="22"/>
          <w:szCs w:val="22"/>
          <w:lang w:val="es-ES"/>
        </w:rPr>
        <w:t>año</w:t>
      </w:r>
      <w:proofErr w:type="spellEnd"/>
      <w:r w:rsidRPr="001B0C3B">
        <w:rPr>
          <w:rFonts w:cs="Arial"/>
          <w:sz w:val="22"/>
          <w:szCs w:val="22"/>
          <w:lang w:val="es-ES"/>
        </w:rPr>
        <w:t xml:space="preserve">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persovalores_personalizable176</w:instrText>
      </w:r>
      <w:r w:rsidR="006D5B76">
        <w:rPr>
          <w:rFonts w:cs="Arial"/>
          <w:sz w:val="22"/>
          <w:szCs w:val="22"/>
          <w:highlight w:val="yellow"/>
          <w:lang w:val="es-ES"/>
        </w:rPr>
        <w:fldChar w:fldCharType="separate"/>
      </w:r>
      <w:r w:rsidR="006D5B76">
        <w:rPr>
          <w:rFonts w:cs="Arial"/>
          <w:noProof/>
          <w:sz w:val="22"/>
          <w:szCs w:val="22"/>
          <w:highlight w:val="yellow"/>
          <w:lang w:val="es-ES"/>
        </w:rPr>
        <w:t>«WIZINK_FECHA_DE_CONTRATACIÓN»</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aunque solo a ella correspondía la carga de probar la existencia de usura -hecho constitutivo de su pretensión- y, como parte de ello, de todos los elementos que integran la fórmula en la </w:t>
      </w:r>
      <w:r w:rsidRPr="001B0C3B">
        <w:rPr>
          <w:rFonts w:cs="Arial"/>
          <w:sz w:val="22"/>
          <w:szCs w:val="22"/>
          <w:lang w:val="es-ES"/>
        </w:rPr>
        <w:lastRenderedPageBreak/>
        <w:t>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75792709"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persovalores_personalizable1338</w:instrText>
      </w:r>
      <w:r w:rsidR="006D5B76">
        <w:rPr>
          <w:rFonts w:cs="Arial"/>
          <w:sz w:val="22"/>
          <w:szCs w:val="22"/>
          <w:highlight w:val="yellow"/>
          <w:lang w:val="es-ES"/>
        </w:rPr>
        <w:fldChar w:fldCharType="separate"/>
      </w:r>
      <w:r w:rsidR="006D5B76">
        <w:rPr>
          <w:rFonts w:cs="Arial"/>
          <w:noProof/>
          <w:sz w:val="22"/>
          <w:szCs w:val="22"/>
          <w:highlight w:val="yellow"/>
          <w:lang w:val="es-ES"/>
        </w:rPr>
        <w:t>«WIZINK_TAE_MEDIA_TABLA_COMPASS»</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0"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0"/>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9"/>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44B9F8A2"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CF5A7C">
        <w:rPr>
          <w:rFonts w:cs="Arial"/>
          <w:sz w:val="22"/>
          <w:szCs w:val="22"/>
          <w:highlight w:val="yellow"/>
          <w:lang w:val="es-ES"/>
        </w:rPr>
        <w:fldChar w:fldCharType="begin"/>
      </w:r>
      <w:r w:rsidR="00CF5A7C">
        <w:rPr>
          <w:rFonts w:cs="Arial"/>
          <w:sz w:val="22"/>
          <w:szCs w:val="22"/>
          <w:highlight w:val="yellow"/>
          <w:lang w:val="es-ES"/>
        </w:rPr>
        <w:instrText>persovalores_personalizable1338</w:instrText>
      </w:r>
      <w:r w:rsidR="00CF5A7C">
        <w:rPr>
          <w:rFonts w:cs="Arial"/>
          <w:sz w:val="22"/>
          <w:szCs w:val="22"/>
          <w:highlight w:val="yellow"/>
          <w:lang w:val="es-ES"/>
        </w:rPr>
        <w:fldChar w:fldCharType="separate"/>
      </w:r>
      <w:r w:rsidR="00CF5A7C">
        <w:rPr>
          <w:rFonts w:cs="Arial"/>
          <w:noProof/>
          <w:sz w:val="22"/>
          <w:szCs w:val="22"/>
          <w:highlight w:val="yellow"/>
          <w:lang w:val="es-ES"/>
        </w:rPr>
        <w:t>«WIZINK_TAE_MEDIA_TABLA_COMPASS»</w:t>
      </w:r>
      <w:r w:rsidR="00CF5A7C">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w:t>
      </w:r>
      <w:r w:rsidRPr="001B0C3B">
        <w:rPr>
          <w:rFonts w:cs="Arial"/>
          <w:i/>
          <w:iCs/>
          <w:sz w:val="22"/>
          <w:szCs w:val="22"/>
          <w:lang w:val="es-ES"/>
        </w:rPr>
        <w:lastRenderedPageBreak/>
        <w:t xml:space="preserve">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lastRenderedPageBreak/>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25"/>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26"/>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xml:space="preserve">. </w:t>
      </w:r>
      <w:r w:rsidRPr="001B0C3B">
        <w:rPr>
          <w:rFonts w:cs="Arial"/>
          <w:sz w:val="22"/>
          <w:szCs w:val="22"/>
          <w:lang w:val="es-ES"/>
        </w:rPr>
        <w:lastRenderedPageBreak/>
        <w:t>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7"/>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8"/>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9"/>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30"/>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31"/>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32"/>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635202A2">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1FF70A47">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A87E3A" w:rsidRDefault="007B1C0F" w:rsidP="007B1C0F">
      <w:pPr>
        <w:pStyle w:val="Body1"/>
        <w:spacing w:before="120" w:after="240" w:line="360" w:lineRule="auto"/>
        <w:jc w:val="center"/>
        <w:rPr>
          <w:rFonts w:cs="Arial"/>
          <w:sz w:val="22"/>
          <w:szCs w:val="22"/>
          <w:highlight w:val="cyan"/>
          <w:lang w:val="es-ES"/>
        </w:rPr>
      </w:pPr>
      <w:r w:rsidRPr="00A87E3A">
        <w:rPr>
          <w:rFonts w:cs="Arial"/>
          <w:sz w:val="22"/>
          <w:szCs w:val="22"/>
          <w:highlight w:val="cyan"/>
          <w:lang w:val="es-ES"/>
        </w:rPr>
        <w:t>***TRANSCRIBIMOS LA CLAUSULA***</w:t>
      </w:r>
    </w:p>
    <w:p w14:paraId="59D59006" w14:textId="77777777" w:rsidR="007B4024" w:rsidRPr="00A87E3A" w:rsidRDefault="007B4024" w:rsidP="007B1C0F">
      <w:pPr>
        <w:pStyle w:val="Body1"/>
        <w:spacing w:before="120" w:after="240" w:line="360" w:lineRule="auto"/>
        <w:jc w:val="center"/>
        <w:rPr>
          <w:rFonts w:cs="Arial"/>
          <w:sz w:val="22"/>
          <w:szCs w:val="22"/>
          <w:highlight w:val="cyan"/>
          <w:lang w:val="es-ES"/>
        </w:rPr>
      </w:pPr>
    </w:p>
    <w:p w14:paraId="57E5B0D2" w14:textId="5494C7E1" w:rsidR="007B1C0F" w:rsidRPr="00EB6DC7" w:rsidRDefault="007B1C0F" w:rsidP="007B1C0F">
      <w:pPr>
        <w:pStyle w:val="Body1"/>
        <w:spacing w:line="360" w:lineRule="auto"/>
        <w:rPr>
          <w:rFonts w:cs="Arial"/>
          <w:sz w:val="22"/>
          <w:szCs w:val="22"/>
          <w:lang w:val="pt-PT"/>
        </w:rPr>
      </w:pPr>
      <w:r w:rsidRPr="00EB6DC7">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sidRPr="00EB6DC7">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sidRPr="00EB6DC7">
        <w:rPr>
          <w:rFonts w:cs="Arial"/>
          <w:noProof/>
          <w:sz w:val="22"/>
          <w:szCs w:val="22"/>
          <w:highlight w:val="yellow"/>
          <w:lang w:val="pt-PT"/>
        </w:rPr>
        <w:t>«WIZINK_TIN»</w:t>
      </w:r>
      <w:r w:rsidR="00A04892">
        <w:rPr>
          <w:rFonts w:cs="Arial"/>
          <w:sz w:val="22"/>
          <w:szCs w:val="22"/>
          <w:highlight w:val="yellow"/>
          <w:lang w:val="pt-PT"/>
        </w:rPr>
        <w:fldChar w:fldCharType="end"/>
      </w:r>
      <w:r w:rsidR="00A04892" w:rsidRPr="00EB6DC7">
        <w:rPr>
          <w:rFonts w:cs="Arial"/>
          <w:sz w:val="22"/>
          <w:szCs w:val="22"/>
          <w:highlight w:val="yellow"/>
          <w:lang w:val="pt-PT"/>
        </w:rPr>
        <w:t xml:space="preserve"> </w:t>
      </w:r>
      <w:r w:rsidRPr="00EB6DC7">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EB6DC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EB6DC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EB6DC7">
        <w:rPr>
          <w:rFonts w:cs="Arial"/>
          <w:sz w:val="22"/>
          <w:szCs w:val="22"/>
          <w:highlight w:val="yellow"/>
          <w:lang w:val="pt-PT"/>
        </w:rPr>
        <w:t xml:space="preserve"> </w:t>
      </w:r>
      <w:r w:rsidRPr="00EB6DC7">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EB6DC7">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EB6DC7">
        <w:rPr>
          <w:rFonts w:cs="Arial"/>
          <w:noProof/>
          <w:sz w:val="22"/>
          <w:szCs w:val="22"/>
          <w:highlight w:val="yellow"/>
          <w:lang w:val="pt-PT"/>
        </w:rPr>
        <w:t>«WIZINK_TIN»</w:t>
      </w:r>
      <w:r w:rsidR="00A04892">
        <w:rPr>
          <w:rFonts w:cs="Arial"/>
          <w:sz w:val="22"/>
          <w:szCs w:val="22"/>
          <w:highlight w:val="yellow"/>
          <w:lang w:val="es-ES"/>
        </w:rPr>
        <w:fldChar w:fldCharType="end"/>
      </w:r>
      <w:r w:rsidR="00A04892" w:rsidRPr="00EB6DC7">
        <w:rPr>
          <w:rFonts w:cs="Arial"/>
          <w:sz w:val="22"/>
          <w:szCs w:val="22"/>
          <w:highlight w:val="yellow"/>
          <w:lang w:val="pt-PT"/>
        </w:rPr>
        <w:t xml:space="preserve"> </w:t>
      </w:r>
      <w:r w:rsidRPr="00EB6DC7">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EB6DC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EB6DC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EB6DC7">
        <w:rPr>
          <w:rFonts w:cs="Arial"/>
          <w:sz w:val="22"/>
          <w:szCs w:val="22"/>
          <w:highlight w:val="yellow"/>
          <w:lang w:val="pt-PT"/>
        </w:rPr>
        <w:t xml:space="preserve"> </w:t>
      </w:r>
      <w:r w:rsidRPr="00EB6DC7">
        <w:rPr>
          <w:rFonts w:cs="Arial"/>
          <w:sz w:val="22"/>
          <w:szCs w:val="22"/>
          <w:highlight w:val="yellow"/>
          <w:lang w:val="pt-PT"/>
        </w:rPr>
        <w:t>%</w:t>
      </w:r>
      <w:r w:rsidR="00A04892" w:rsidRPr="00EB6DC7">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w:t>
      </w:r>
      <w:r w:rsidRPr="001B0C3B">
        <w:rPr>
          <w:rFonts w:cs="Arial"/>
          <w:sz w:val="22"/>
          <w:szCs w:val="22"/>
          <w:highlight w:val="yellow"/>
          <w:lang w:val="es-ES"/>
        </w:rPr>
        <w:lastRenderedPageBreak/>
        <w:t xml:space="preserve">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33"/>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34"/>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3F09BCB9" w14:textId="5DE71099" w:rsidR="00FE6828" w:rsidRDefault="00FE6828" w:rsidP="006B1F36">
      <w:pPr>
        <w:pStyle w:val="Body1"/>
        <w:spacing w:line="360" w:lineRule="auto"/>
        <w:rPr>
          <w:rFonts w:eastAsia="Calibri" w:cs="Arial"/>
          <w:sz w:val="22"/>
          <w:szCs w:val="22"/>
          <w:lang w:val="es-ES_tradnl" w:eastAsia="en-US"/>
        </w:rPr>
      </w:pPr>
      <w:r w:rsidRPr="00FE6828">
        <w:rPr>
          <w:rFonts w:eastAsia="Calibri" w:cs="Arial"/>
          <w:sz w:val="22"/>
          <w:szCs w:val="22"/>
          <w:highlight w:val="green"/>
          <w:lang w:val="es-ES_tradnl" w:eastAsia="en-US"/>
        </w:rPr>
        <w:t>[FIN]</w:t>
      </w:r>
    </w:p>
    <w:p w14:paraId="43E476F5" w14:textId="7E8BF888" w:rsidR="00CF5A7C" w:rsidRPr="001B0C3B" w:rsidRDefault="00CF5A7C" w:rsidP="006B1F36">
      <w:pPr>
        <w:pStyle w:val="Body1"/>
        <w:spacing w:line="360" w:lineRule="auto"/>
        <w:rPr>
          <w:rFonts w:eastAsia="Calibri" w:cs="Arial"/>
          <w:sz w:val="22"/>
          <w:szCs w:val="22"/>
          <w:lang w:val="es-ES_tradnl" w:eastAsia="en-US"/>
        </w:rPr>
      </w:pPr>
      <w:r w:rsidRPr="00CF5A7C">
        <w:rPr>
          <w:rFonts w:eastAsia="Calibri" w:cs="Arial"/>
          <w:sz w:val="22"/>
          <w:szCs w:val="22"/>
          <w:highlight w:val="green"/>
          <w:lang w:val="es-ES_tradnl" w:eastAsia="en-US"/>
        </w:rPr>
        <w:t>SI TENEMOS REGLAMENTO BLANQUEADO</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1B0C3B">
        <w:rPr>
          <w:rFonts w:eastAsia="Calibri" w:cs="Arial"/>
          <w:sz w:val="22"/>
          <w:szCs w:val="22"/>
          <w:lang w:val="es-ES_tradnl" w:eastAsia="en-US"/>
        </w:rPr>
        <w:lastRenderedPageBreak/>
        <w:t xml:space="preserve">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35"/>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w:t>
      </w:r>
      <w:r w:rsidRPr="001B0C3B">
        <w:rPr>
          <w:rFonts w:cs="Arial"/>
          <w:sz w:val="22"/>
          <w:szCs w:val="22"/>
          <w:lang w:val="es-ES"/>
        </w:rPr>
        <w:lastRenderedPageBreak/>
        <w:t xml:space="preserve">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8"/>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 xml:space="preserve">y que la información </w:t>
      </w:r>
      <w:r w:rsidRPr="001B0C3B">
        <w:rPr>
          <w:rFonts w:eastAsia="Calibri" w:cs="Arial"/>
          <w:sz w:val="22"/>
          <w:szCs w:val="22"/>
          <w:lang w:val="es-ES_tradnl" w:eastAsia="en-US"/>
        </w:rPr>
        <w:lastRenderedPageBreak/>
        <w:t>proporcionada al consumidor cumple estrictamente lo dispuesto en dicha Ley</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41"/>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43"/>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1B0C3B">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Default="007B1C0F" w:rsidP="007B1C0F">
      <w:pPr>
        <w:pStyle w:val="Body1"/>
        <w:spacing w:line="360" w:lineRule="auto"/>
        <w:rPr>
          <w:rFonts w:cs="Arial"/>
          <w:i/>
          <w:iCs/>
          <w:sz w:val="22"/>
          <w:szCs w:val="22"/>
          <w:lang w:val="es-ES_tradnl"/>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45"/>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89FEC79" w14:textId="77777777" w:rsidR="00C64094" w:rsidRPr="00C64094" w:rsidRDefault="00C64094" w:rsidP="00C64094">
      <w:pPr>
        <w:pStyle w:val="Body1"/>
        <w:spacing w:line="360" w:lineRule="auto"/>
        <w:rPr>
          <w:rFonts w:eastAsia="Calibri" w:cs="Arial"/>
          <w:sz w:val="22"/>
          <w:szCs w:val="22"/>
          <w:lang w:val="es-ES" w:eastAsia="en-US"/>
        </w:rPr>
      </w:pPr>
      <w:r w:rsidRPr="00C64094">
        <w:rPr>
          <w:rFonts w:eastAsia="Calibri" w:cs="Arial"/>
          <w:sz w:val="22"/>
          <w:szCs w:val="22"/>
          <w:lang w:val="es-ES" w:eastAsia="en-US"/>
        </w:rPr>
        <w:t>Tampoco puede ser considerado poco transparente un contrato, o la actuación de la entidad, por el hecho de no entregar un cuadro de amortización previo, en palabras de Jesús Sánchez, “ya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cuotas”46.</w:t>
      </w:r>
    </w:p>
    <w:p w14:paraId="209518B7" w14:textId="15992AEB" w:rsidR="00F66881" w:rsidRPr="00C64094" w:rsidRDefault="00C64094" w:rsidP="007B1C0F">
      <w:pPr>
        <w:pStyle w:val="Body1"/>
        <w:spacing w:line="360" w:lineRule="auto"/>
        <w:rPr>
          <w:rFonts w:eastAsia="Calibri" w:cs="Arial"/>
          <w:sz w:val="22"/>
          <w:szCs w:val="22"/>
          <w:lang w:val="es-ES" w:eastAsia="en-US"/>
        </w:rPr>
      </w:pPr>
      <w:r w:rsidRPr="00C64094">
        <w:rPr>
          <w:rFonts w:eastAsia="Calibri" w:cs="Arial"/>
          <w:sz w:val="22"/>
          <w:szCs w:val="22"/>
          <w:lang w:val="es-ES" w:eastAsia="en-US"/>
        </w:rPr>
        <w:t xml:space="preserve">En el mismo sentido se ha pronunciado el profesor M. Marín respecto de la exigencia de facilitar al consumidor posible escenarios o ejemplos para considerarse que la cláusula es transparente: “A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C64094">
        <w:rPr>
          <w:rFonts w:eastAsia="Calibri" w:cs="Arial"/>
          <w:sz w:val="22"/>
          <w:szCs w:val="22"/>
          <w:lang w:val="es-ES" w:eastAsia="en-US"/>
        </w:rPr>
        <w:t>revolving</w:t>
      </w:r>
      <w:proofErr w:type="spellEnd"/>
      <w:r w:rsidRPr="00C64094">
        <w:rPr>
          <w:rFonts w:eastAsia="Calibri" w:cs="Arial"/>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w:t>
      </w:r>
      <w:r w:rsidRPr="00C64094">
        <w:rPr>
          <w:rFonts w:eastAsia="Calibri" w:cs="Arial"/>
          <w:sz w:val="22"/>
          <w:szCs w:val="22"/>
          <w:lang w:val="es-ES" w:eastAsia="en-US"/>
        </w:rPr>
        <w:lastRenderedPageBreak/>
        <w:t>exige que se incluyan ejemplos de aplicación práctica de la cláusula en distintos escenarios (SSTS 334/2020, de 22 de junio; 68/2021, de 9 de febrero); modificando así su inicial doctrina (contenida en la STS 241/2013, de 9 de mayo), que sí parecía requerir esos ejemplos para que la cláusula suelo fuera transparente47”.</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46"/>
      </w:r>
      <w:r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7"/>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8"/>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9"/>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3F4A8621" w14:textId="391B7DD6" w:rsidR="00DF7888" w:rsidRPr="00DF7888" w:rsidRDefault="00DF7888" w:rsidP="007B1C0F">
      <w:pPr>
        <w:pStyle w:val="Body1"/>
        <w:spacing w:line="360" w:lineRule="auto"/>
        <w:rPr>
          <w:rFonts w:eastAsia="Calibri" w:cs="Arial"/>
          <w:sz w:val="22"/>
          <w:szCs w:val="22"/>
          <w:lang w:val="es-ES" w:eastAsia="en-US"/>
        </w:rPr>
      </w:pPr>
      <w:r w:rsidRPr="00DF7888">
        <w:rPr>
          <w:rFonts w:eastAsia="Calibri" w:cs="Arial"/>
          <w:sz w:val="22"/>
          <w:szCs w:val="22"/>
          <w:lang w:val="es-ES" w:eastAsia="en-US"/>
        </w:rPr>
        <w:lastRenderedPageBreak/>
        <w:t>Así, con respecto a la duración del contrato (indefinida),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hipoteca tranquilidad, la propia naturaleza del contrato impide conocer de antemano su duración52. Así también lo ha expresado el profesor M. Marín en su reciente artículo53. En esta misma línea es, por tanto, lógico que tampoco se pueda dar al consumidor, de manera precontractual, un cuadro de amortización dado que la amortización varía en función de las disposiciones del prestatario, y</w:t>
      </w:r>
      <w:r>
        <w:rPr>
          <w:rFonts w:eastAsia="Calibri" w:cs="Arial"/>
          <w:sz w:val="22"/>
          <w:szCs w:val="22"/>
          <w:lang w:val="es-ES" w:eastAsia="en-US"/>
        </w:rPr>
        <w:t xml:space="preserve"> </w:t>
      </w:r>
      <w:r w:rsidRPr="00DF7888">
        <w:rPr>
          <w:rFonts w:eastAsia="Calibri" w:cs="Arial"/>
          <w:sz w:val="22"/>
          <w:szCs w:val="22"/>
          <w:lang w:val="es-ES" w:eastAsia="en-US"/>
        </w:rPr>
        <w:t>lo mismo las modificaciones. Lo que nunca varía es el TIN y la TAE fijada que se explica con claridad.</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50"/>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1B0C3B">
        <w:rPr>
          <w:rStyle w:val="Refdenotaalpie"/>
          <w:rFonts w:eastAsia="Calibri" w:cs="Arial"/>
          <w:sz w:val="22"/>
          <w:szCs w:val="22"/>
          <w:lang w:val="es-ES_tradnl" w:eastAsia="en-US"/>
        </w:rPr>
        <w:footnoteReference w:id="51"/>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52"/>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xml:space="preserve">) la cantidad de dinero </w:t>
      </w:r>
      <w:r w:rsidRPr="001B0C3B">
        <w:rPr>
          <w:rFonts w:eastAsia="Calibri" w:cs="Arial"/>
          <w:sz w:val="22"/>
          <w:szCs w:val="22"/>
          <w:lang w:val="es-ES_tradnl" w:eastAsia="en-US"/>
        </w:rPr>
        <w:lastRenderedPageBreak/>
        <w:t>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w:t>
      </w:r>
      <w:r w:rsidRPr="001B0C3B">
        <w:rPr>
          <w:rFonts w:eastAsia="Calibri" w:cs="Arial"/>
          <w:sz w:val="22"/>
          <w:szCs w:val="22"/>
          <w:lang w:val="es-ES_tradnl" w:eastAsia="en-US"/>
        </w:rPr>
        <w:lastRenderedPageBreak/>
        <w:t xml:space="preserve">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lastRenderedPageBreak/>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Wizink siempre ha actuado y cobrado dicha comisión conforme a la legalidad vigente, y a la doctrina del Tribunal Supremo y las recomendaciones de buenas prácticas del Banco de España. Por poner un ejemplo, tanto los contratos que se dieron de alta a partir de octubre de </w:t>
      </w:r>
      <w:r w:rsidRPr="001B0C3B">
        <w:rPr>
          <w:rFonts w:eastAsia="Calibri" w:cs="Arial"/>
          <w:sz w:val="22"/>
          <w:szCs w:val="22"/>
          <w:lang w:val="es-ES_tradnl" w:eastAsia="en-US"/>
        </w:rPr>
        <w:lastRenderedPageBreak/>
        <w:t>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53"/>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2"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2"/>
      <w:r w:rsidRPr="001B0C3B">
        <w:rPr>
          <w:rFonts w:cs="Arial"/>
          <w:sz w:val="22"/>
          <w:szCs w:val="22"/>
          <w:lang w:val="es-ES_tradnl"/>
        </w:rPr>
        <w:t xml:space="preserve"> para conocer de los litigios relacionados con cláusulas suelo, vencimiento </w:t>
      </w:r>
      <w:r w:rsidRPr="001B0C3B">
        <w:rPr>
          <w:rFonts w:cs="Arial"/>
          <w:sz w:val="22"/>
          <w:szCs w:val="22"/>
          <w:lang w:val="es-ES_tradnl"/>
        </w:rPr>
        <w:lastRenderedPageBreak/>
        <w:t xml:space="preserve">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54"/>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4ECE452D"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5A40B493"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7F5C5473"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noProof/>
          <w:lang w:val="es-ES" w:eastAsia="es-ES"/>
        </w:rPr>
        <w:lastRenderedPageBreak/>
        <w:drawing>
          <wp:inline distT="0" distB="0" distL="0" distR="0" wp14:anchorId="1420B2F2" wp14:editId="457DA86F">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2CD5272" w14:textId="77777777" w:rsidR="00A87E3A" w:rsidRDefault="00A87E3A" w:rsidP="006B1F36">
      <w:pPr>
        <w:widowControl w:val="0"/>
        <w:autoSpaceDE w:val="0"/>
        <w:autoSpaceDN w:val="0"/>
        <w:adjustRightInd w:val="0"/>
        <w:spacing w:after="210" w:line="360" w:lineRule="auto"/>
        <w:rPr>
          <w:rFonts w:cs="Arial"/>
          <w:bCs/>
          <w:sz w:val="22"/>
          <w:szCs w:val="22"/>
          <w:lang w:val="es-ES_tradnl"/>
        </w:rPr>
      </w:pPr>
    </w:p>
    <w:p w14:paraId="1D5B1B1D" w14:textId="24BA86AD"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535EBDD3" w14:textId="77777777" w:rsidR="00D63980" w:rsidRDefault="00D63980" w:rsidP="00D63980">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74A52708"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7ED766DF"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 xml:space="preserve">entre finales de 2016 y principios de 2017, momento en el que diversas asociaciones de consumidores y despachos de abogados habían lanzado una intensísima campaña de publicidad dirigida a la captación de clientes para reclamar los gastos </w:t>
      </w:r>
      <w:r>
        <w:rPr>
          <w:rFonts w:cs="Arial"/>
          <w:b/>
          <w:i/>
          <w:iCs/>
          <w:sz w:val="22"/>
          <w:szCs w:val="22"/>
          <w:u w:val="single"/>
          <w:lang w:val="es-ES_tradnl"/>
        </w:rPr>
        <w:lastRenderedPageBreak/>
        <w:t>de sus hipotecas</w:t>
      </w:r>
      <w:r>
        <w:rPr>
          <w:rFonts w:cs="Arial"/>
          <w:bCs/>
          <w:i/>
          <w:iCs/>
          <w:sz w:val="22"/>
          <w:szCs w:val="22"/>
          <w:lang w:val="es-ES_tradnl"/>
        </w:rPr>
        <w:t>.</w:t>
      </w:r>
    </w:p>
    <w:p w14:paraId="28927AB7"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w:t>
      </w:r>
      <w:proofErr w:type="gramStart"/>
      <w:r>
        <w:rPr>
          <w:rFonts w:cs="Arial"/>
          <w:bCs/>
          <w:i/>
          <w:iCs/>
          <w:sz w:val="22"/>
          <w:szCs w:val="22"/>
          <w:lang w:val="es-ES_tradnl"/>
        </w:rPr>
        <w:t>hasta el punto que</w:t>
      </w:r>
      <w:proofErr w:type="gramEnd"/>
      <w:r>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2"/>
          <w:szCs w:val="22"/>
          <w:lang w:val="es-ES_tradnl"/>
        </w:rPr>
        <w:t>(…).</w:t>
      </w:r>
    </w:p>
    <w:p w14:paraId="167A8225" w14:textId="77777777" w:rsidR="00D63980" w:rsidRDefault="00D63980" w:rsidP="00D63980">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532E955F" w14:textId="77777777" w:rsidR="001C2CE5" w:rsidRDefault="001C2CE5" w:rsidP="001C2CE5">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55"/>
      </w:r>
      <w:r>
        <w:rPr>
          <w:rFonts w:ascii="Arial" w:eastAsia="Arial Unicode MS" w:hAnsi="Arial" w:cs="Arial"/>
          <w:sz w:val="22"/>
          <w:szCs w:val="22"/>
          <w:lang w:val="es-ES_tradnl" w:eastAsia="en-GB"/>
        </w:rPr>
        <w:t>” [El subrayado y la negrita es nuestro].</w:t>
      </w:r>
    </w:p>
    <w:p w14:paraId="3D254D75" w14:textId="77777777" w:rsidR="001C2CE5" w:rsidRPr="00F801FE" w:rsidRDefault="001C2CE5" w:rsidP="001C2CE5">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w:t>
      </w:r>
      <w:r w:rsidRPr="00F801FE">
        <w:rPr>
          <w:rFonts w:ascii="Arial" w:eastAsia="Arial Unicode MS" w:hAnsi="Arial" w:cs="Arial"/>
          <w:i/>
          <w:iCs/>
          <w:sz w:val="22"/>
          <w:szCs w:val="22"/>
          <w:lang w:val="es-ES_tradnl" w:eastAsia="en-GB"/>
        </w:rPr>
        <w:lastRenderedPageBreak/>
        <w:t xml:space="preserve">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56"/>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0E46E14" w14:textId="77777777" w:rsidR="001C2CE5" w:rsidRDefault="001C2CE5" w:rsidP="00D63980">
      <w:pPr>
        <w:widowControl w:val="0"/>
        <w:autoSpaceDE w:val="0"/>
        <w:autoSpaceDN w:val="0"/>
        <w:adjustRightInd w:val="0"/>
        <w:spacing w:after="210" w:line="360" w:lineRule="auto"/>
        <w:ind w:left="567"/>
        <w:rPr>
          <w:rFonts w:cs="Arial"/>
          <w:bCs/>
          <w:sz w:val="22"/>
          <w:szCs w:val="22"/>
          <w:lang w:val="es-ES_tradnl"/>
        </w:rPr>
      </w:pPr>
    </w:p>
    <w:p w14:paraId="7A89CA19" w14:textId="77777777" w:rsidR="00D63980" w:rsidRDefault="00D63980"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62578BAD" w:rsidR="006B1F36" w:rsidRPr="00CF5A7C" w:rsidRDefault="006B1F36" w:rsidP="00CF5A7C">
      <w:pPr>
        <w:pStyle w:val="Prrafodelista"/>
        <w:widowControl w:val="0"/>
        <w:numPr>
          <w:ilvl w:val="0"/>
          <w:numId w:val="28"/>
        </w:numPr>
        <w:spacing w:after="210" w:line="360" w:lineRule="auto"/>
        <w:jc w:val="center"/>
        <w:rPr>
          <w:rFonts w:eastAsia="Times New Roman" w:cs="Arial"/>
          <w:b/>
          <w:caps/>
          <w:kern w:val="28"/>
          <w:sz w:val="22"/>
          <w:szCs w:val="22"/>
          <w:lang w:val="es-ES_tradnl" w:eastAsia="en-US"/>
        </w:rPr>
      </w:pPr>
      <w:r w:rsidRPr="00CF5A7C">
        <w:rPr>
          <w:rFonts w:eastAsia="Times New Roman" w:cs="Arial"/>
          <w:b/>
          <w:caps/>
          <w:kern w:val="28"/>
          <w:sz w:val="22"/>
          <w:szCs w:val="22"/>
          <w:lang w:val="es-ES_tradnl" w:eastAsia="en-US"/>
        </w:rPr>
        <w:t>jurídico-procesales</w:t>
      </w:r>
    </w:p>
    <w:p w14:paraId="2277A090" w14:textId="177FE4DC" w:rsidR="00CF5A7C" w:rsidRPr="00CF5A7C" w:rsidRDefault="00CF5A7C" w:rsidP="00CF5A7C">
      <w:pPr>
        <w:widowControl w:val="0"/>
        <w:spacing w:after="210" w:line="360" w:lineRule="auto"/>
        <w:ind w:left="3600" w:firstLine="720"/>
        <w:rPr>
          <w:rFonts w:eastAsia="Times New Roman" w:cs="Arial"/>
          <w:b/>
          <w:caps/>
          <w:kern w:val="28"/>
          <w:sz w:val="22"/>
          <w:szCs w:val="22"/>
          <w:lang w:val="es-ES_tradnl" w:eastAsia="en-US"/>
        </w:rPr>
      </w:pPr>
      <w:r w:rsidRPr="00CF5A7C">
        <w:rPr>
          <w:rFonts w:eastAsia="Times New Roman" w:cs="Arial"/>
          <w:b/>
          <w:caps/>
          <w:kern w:val="28"/>
          <w:sz w:val="22"/>
          <w:szCs w:val="22"/>
          <w:lang w:val="es-ES_tradnl" w:eastAsia="en-US"/>
        </w:rPr>
        <w:t>-I-</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lastRenderedPageBreak/>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6415C4D4" w14:textId="77777777" w:rsidR="00177E76" w:rsidRDefault="00177E76" w:rsidP="00177E76">
      <w:pPr>
        <w:spacing w:after="210" w:line="360" w:lineRule="auto"/>
        <w:jc w:val="center"/>
        <w:rPr>
          <w:rFonts w:eastAsia="Times New Roman" w:cs="Arial"/>
          <w:b/>
          <w:kern w:val="28"/>
          <w:sz w:val="22"/>
          <w:szCs w:val="22"/>
          <w:lang w:val="es-ES_tradnl" w:eastAsia="en-US"/>
        </w:rPr>
      </w:pPr>
      <w:bookmarkStart w:id="24" w:name="_Hlk166749752"/>
      <w:r>
        <w:rPr>
          <w:rFonts w:eastAsia="Times New Roman" w:cs="Arial"/>
          <w:b/>
          <w:kern w:val="28"/>
          <w:sz w:val="22"/>
          <w:szCs w:val="22"/>
          <w:highlight w:val="magenta"/>
          <w:lang w:val="es-ES_tradnl" w:eastAsia="en-US"/>
        </w:rPr>
        <w:t>EXPLICACIÓN: SI EN NUESTRO CUADRO LO DISPUESTO MENOS LO PAGADO SUPERA LOS 18.000€ NO IMPUGNAMOS LA CUANTÍA [BORRAR]</w:t>
      </w:r>
      <w:bookmarkEnd w:id="24"/>
    </w:p>
    <w:p w14:paraId="53F771FB" w14:textId="77777777" w:rsidR="00177E76" w:rsidRPr="001B0C3B" w:rsidRDefault="00177E76" w:rsidP="006B1F36">
      <w:pPr>
        <w:spacing w:after="210" w:line="360" w:lineRule="auto"/>
        <w:jc w:val="center"/>
        <w:rPr>
          <w:rFonts w:eastAsia="Times New Roman" w:cs="Arial"/>
          <w:b/>
          <w:kern w:val="28"/>
          <w:sz w:val="22"/>
          <w:szCs w:val="22"/>
          <w:lang w:val="es-ES_tradnl" w:eastAsia="en-US"/>
        </w:rPr>
      </w:pP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Cuantía</w:t>
      </w:r>
    </w:p>
    <w:p w14:paraId="43418F7B" w14:textId="77777777" w:rsidR="00177E76" w:rsidRDefault="00177E76" w:rsidP="00177E76">
      <w:pPr>
        <w:spacing w:after="210" w:line="360" w:lineRule="auto"/>
        <w:jc w:val="center"/>
        <w:rPr>
          <w:rFonts w:eastAsia="Times New Roman" w:cs="Arial"/>
          <w:b/>
          <w:caps/>
          <w:kern w:val="28"/>
          <w:sz w:val="22"/>
          <w:szCs w:val="22"/>
          <w:lang w:val="es-ES_tradnl" w:eastAsia="en-US"/>
        </w:rPr>
      </w:pPr>
      <w:bookmarkStart w:id="25" w:name="_Hlk166749758"/>
      <w:r>
        <w:rPr>
          <w:rFonts w:eastAsia="Times New Roman" w:cs="Arial"/>
          <w:b/>
          <w:kern w:val="28"/>
          <w:sz w:val="22"/>
          <w:szCs w:val="22"/>
          <w:highlight w:val="magenta"/>
          <w:lang w:val="es-ES_tradnl" w:eastAsia="en-US"/>
        </w:rPr>
        <w:t>EXPLICACIÓN: LA CUANTÍA ES LO DISPUESTO MENOS LO PAGADO SIN PRESCRIPCIÓN [BORRAR]</w:t>
      </w:r>
      <w:bookmarkEnd w:id="25"/>
    </w:p>
    <w:p w14:paraId="2728464E" w14:textId="77777777" w:rsidR="00177E76" w:rsidRPr="001B0C3B" w:rsidRDefault="00177E76" w:rsidP="006B1F36">
      <w:pPr>
        <w:spacing w:after="210" w:line="360" w:lineRule="auto"/>
        <w:jc w:val="center"/>
        <w:rPr>
          <w:rFonts w:eastAsia="Times New Roman" w:cs="Arial"/>
          <w:b/>
          <w:caps/>
          <w:kern w:val="28"/>
          <w:sz w:val="22"/>
          <w:szCs w:val="22"/>
          <w:lang w:val="es-ES_tradnl" w:eastAsia="en-US"/>
        </w:rPr>
      </w:pPr>
    </w:p>
    <w:p w14:paraId="34DCD0EF" w14:textId="77777777" w:rsidR="006B1F36" w:rsidRDefault="006B1F36" w:rsidP="006B1F36">
      <w:pPr>
        <w:spacing w:after="210" w:line="360" w:lineRule="auto"/>
        <w:rPr>
          <w:rFonts w:eastAsia="Times New Roman" w:cs="Arial"/>
          <w:bC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38D71F88" w14:textId="1390D0B2" w:rsidR="00766D97" w:rsidRPr="00766D97" w:rsidRDefault="00766D97" w:rsidP="006B1F36">
      <w:pPr>
        <w:spacing w:after="210" w:line="360" w:lineRule="auto"/>
        <w:rPr>
          <w:rFonts w:cs="Arial"/>
          <w:sz w:val="22"/>
          <w:szCs w:val="22"/>
          <w:lang w:val="es-ES_tradnl"/>
        </w:rPr>
      </w:pPr>
      <w:r w:rsidRPr="00766D97">
        <w:rPr>
          <w:rFonts w:cs="Arial"/>
          <w:sz w:val="22"/>
          <w:szCs w:val="22"/>
          <w:highlight w:val="green"/>
          <w:lang w:val="es-ES_tradnl"/>
        </w:rPr>
        <w:t>[Si es indeterminada y el cuadro está por debajo de 18k o se fija una cuantía superior a lo que aparece en el cuadro]</w:t>
      </w:r>
      <w:r w:rsidRPr="00766D97">
        <w:rPr>
          <w:rFonts w:cs="Arial"/>
          <w:sz w:val="22"/>
          <w:szCs w:val="22"/>
          <w:lang w:val="es-ES_tradnl"/>
        </w:rPr>
        <w:t xml:space="preserve"> Disconformes con lo manifestado sobre la cuantía, </w:t>
      </w:r>
      <w:r w:rsidRPr="00766D97">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sidRPr="00766D97">
        <w:rPr>
          <w:rFonts w:cs="Arial"/>
          <w:sz w:val="22"/>
          <w:szCs w:val="22"/>
          <w:lang w:val="es-ES_tradnl"/>
        </w:rPr>
        <w:t xml:space="preserve"> </w:t>
      </w:r>
      <w:r w:rsidRPr="00766D97">
        <w:rPr>
          <w:rFonts w:cs="Arial"/>
          <w:sz w:val="22"/>
          <w:szCs w:val="22"/>
          <w:highlight w:val="cyan"/>
          <w:lang w:val="es-ES_tradnl"/>
        </w:rPr>
        <w:t>[SI SE HA RECURRIDO EL DECRETO DE ADMISION-COMPROBAR]</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lastRenderedPageBreak/>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11611F29" w14:textId="77777777" w:rsidR="00177E76" w:rsidRDefault="00177E76" w:rsidP="00177E76">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55F52868" w14:textId="78A2A6A3" w:rsidR="00177E76" w:rsidRDefault="00177E76" w:rsidP="00177E76">
      <w:pPr>
        <w:spacing w:after="210" w:line="360" w:lineRule="auto"/>
        <w:rPr>
          <w:rFonts w:cs="Arial"/>
          <w:sz w:val="22"/>
          <w:szCs w:val="22"/>
          <w:lang w:val="es-ES_tradnl"/>
        </w:rPr>
      </w:pPr>
      <w:r>
        <w:rPr>
          <w:rFonts w:cs="Arial"/>
          <w:sz w:val="22"/>
          <w:szCs w:val="22"/>
          <w:lang w:val="es-ES_tradnl"/>
        </w:rPr>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80A1FF4" w14:textId="1A01FBA9" w:rsidR="00926F2E" w:rsidRPr="001B0C3B" w:rsidRDefault="00177E76" w:rsidP="006B1F36">
      <w:pPr>
        <w:spacing w:after="210" w:line="360" w:lineRule="auto"/>
        <w:rPr>
          <w:rFonts w:eastAsia="Times New Roman" w:cs="Arial"/>
          <w:kern w:val="28"/>
          <w:sz w:val="22"/>
          <w:szCs w:val="22"/>
          <w:lang w:val="es-ES_tradnl" w:eastAsia="en-US"/>
        </w:rPr>
      </w:pPr>
      <w:r>
        <w:rPr>
          <w:rFonts w:cs="Arial"/>
          <w:sz w:val="22"/>
          <w:szCs w:val="22"/>
          <w:lang w:val="es-ES_tradnl"/>
        </w:rPr>
        <w:fldChar w:fldCharType="begin"/>
      </w:r>
      <w:r>
        <w:rPr>
          <w:rFonts w:cs="Arial"/>
          <w:sz w:val="22"/>
          <w:szCs w:val="22"/>
          <w:lang w:val="es-ES_tradnl"/>
        </w:rPr>
        <w:instrText>persovalores_personalizable184</w:instrText>
      </w:r>
      <w:r>
        <w:rPr>
          <w:rFonts w:cs="Arial"/>
          <w:sz w:val="22"/>
          <w:szCs w:val="22"/>
          <w:lang w:val="es-ES_tradnl"/>
        </w:rPr>
        <w:fldChar w:fldCharType="separate"/>
      </w:r>
      <w:r>
        <w:rPr>
          <w:rFonts w:cs="Arial"/>
          <w:noProof/>
          <w:sz w:val="22"/>
          <w:szCs w:val="22"/>
          <w:lang w:val="es-ES_tradnl"/>
        </w:rPr>
        <w:t>«WIZINK_CUANTÍA»</w:t>
      </w:r>
      <w:r>
        <w:rPr>
          <w:rFonts w:cs="Arial"/>
          <w:sz w:val="22"/>
          <w:szCs w:val="22"/>
          <w:lang w:val="es-ES_tradnl"/>
        </w:rPr>
        <w:fldChar w:fldCharType="end"/>
      </w:r>
      <w:r w:rsidR="00926F2E" w:rsidRPr="000E06A9">
        <w:rPr>
          <w:rFonts w:cs="Arial"/>
          <w:sz w:val="22"/>
          <w:szCs w:val="22"/>
          <w:lang w:val="es-ES_tradnl"/>
        </w:rPr>
        <w:t xml:space="preserve">En este sentido, resulta preciso aclarar al Ilustre Juzgado que las cantidades que aparecen en el </w:t>
      </w:r>
      <w:r w:rsidR="00926F2E" w:rsidRPr="000E06A9">
        <w:rPr>
          <w:rFonts w:cs="Arial"/>
          <w:b/>
          <w:color w:val="00B050"/>
          <w:sz w:val="22"/>
          <w:szCs w:val="22"/>
          <w:highlight w:val="yellow"/>
          <w:lang w:val="es-ES"/>
        </w:rPr>
        <w:t>Documento 14 Contestación</w:t>
      </w:r>
      <w:r w:rsidR="00926F2E" w:rsidRPr="000E06A9">
        <w:rPr>
          <w:rFonts w:cs="Arial"/>
          <w:color w:val="00B050"/>
          <w:sz w:val="22"/>
          <w:szCs w:val="22"/>
          <w:lang w:val="es-ES_tradnl"/>
        </w:rPr>
        <w:t xml:space="preserve"> </w:t>
      </w:r>
      <w:r w:rsidR="00926F2E" w:rsidRPr="000E06A9">
        <w:rPr>
          <w:rFonts w:cs="Arial"/>
          <w:sz w:val="22"/>
          <w:szCs w:val="22"/>
          <w:lang w:val="es-ES_tradnl"/>
        </w:rPr>
        <w:t xml:space="preserve">-y que, como decimos, constituyen el interés económico del pleito- a partir de la interposición de la demanda, </w:t>
      </w:r>
      <w:r w:rsidR="00926F2E" w:rsidRPr="000E06A9">
        <w:rPr>
          <w:rFonts w:cs="Arial"/>
          <w:b/>
          <w:bCs/>
          <w:sz w:val="22"/>
          <w:szCs w:val="22"/>
          <w:u w:val="single"/>
          <w:lang w:val="es-ES_tradnl"/>
        </w:rPr>
        <w:t>devienen invariables</w:t>
      </w:r>
      <w:r w:rsidR="00926F2E" w:rsidRPr="000E06A9">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00926F2E" w:rsidRPr="000E06A9">
        <w:rPr>
          <w:rFonts w:cs="Arial"/>
          <w:b/>
          <w:bCs/>
          <w:sz w:val="22"/>
          <w:szCs w:val="22"/>
          <w:u w:val="single"/>
          <w:lang w:val="es-ES_tradnl"/>
        </w:rPr>
        <w:t>el contrato de tarjeta de crédito litigioso queda en suspenso así como las cantidades que se deriven de su uso.</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aras de economía procesal, nos remitimos a lo ya indicado en los hechos del presente </w:t>
      </w:r>
      <w:r w:rsidRPr="001B0C3B">
        <w:rPr>
          <w:rFonts w:cs="Arial"/>
          <w:bCs/>
          <w:sz w:val="22"/>
          <w:szCs w:val="22"/>
          <w:lang w:val="es-ES_tradnl"/>
        </w:rPr>
        <w:lastRenderedPageBreak/>
        <w:t>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604FDB2" w:rsidR="00EC1B3C" w:rsidRPr="001B0C3B" w:rsidRDefault="00EC1B3C" w:rsidP="00D63980">
      <w:pPr>
        <w:widowControl w:val="0"/>
        <w:spacing w:after="210" w:line="360" w:lineRule="auto"/>
        <w:jc w:val="center"/>
        <w:rPr>
          <w:rFonts w:eastAsia="Calibri" w:cs="Arial"/>
          <w:b/>
          <w:bCs/>
          <w:sz w:val="22"/>
          <w:szCs w:val="22"/>
          <w:lang w:val="es-ES_tradnl" w:eastAsia="en-US"/>
        </w:rPr>
      </w:pPr>
      <w:r w:rsidRPr="00EC1B3C">
        <w:rPr>
          <w:rFonts w:eastAsia="Calibri" w:cs="Arial"/>
          <w:b/>
          <w:bCs/>
          <w:sz w:val="22"/>
          <w:szCs w:val="22"/>
          <w:highlight w:val="green"/>
          <w:lang w:val="es-ES_tradnl" w:eastAsia="en-US"/>
        </w:rPr>
        <w:t>[OJO, ESTA ALEGACIÓN</w:t>
      </w:r>
      <w:r w:rsidR="00D63980">
        <w:rPr>
          <w:rFonts w:eastAsia="Calibri" w:cs="Arial"/>
          <w:b/>
          <w:bCs/>
          <w:sz w:val="22"/>
          <w:szCs w:val="22"/>
          <w:highlight w:val="green"/>
          <w:lang w:val="es-ES_tradnl" w:eastAsia="en-US"/>
        </w:rPr>
        <w:t xml:space="preserve"> SE DEJA SI SE LE HA COBRADO Y SI NO TAMBIÉN</w:t>
      </w:r>
      <w:r w:rsidRPr="00EC1B3C">
        <w:rPr>
          <w:rFonts w:eastAsia="Calibri" w:cs="Arial"/>
          <w:b/>
          <w:bCs/>
          <w:sz w:val="22"/>
          <w:szCs w:val="22"/>
          <w:highlight w:val="green"/>
          <w:lang w:val="es-ES_tradnl" w:eastAsia="en-US"/>
        </w:rPr>
        <w:t>]</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7"/>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lastRenderedPageBreak/>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8"/>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6"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9"/>
      </w:r>
      <w:r w:rsidRPr="001B0C3B">
        <w:rPr>
          <w:rFonts w:eastAsia="Book Antiqua" w:cs="Arial"/>
          <w:spacing w:val="-1"/>
          <w:sz w:val="22"/>
          <w:szCs w:val="22"/>
          <w:lang w:val="es-ES_tradnl"/>
        </w:rPr>
        <w:t xml:space="preserve">: </w:t>
      </w:r>
      <w:bookmarkEnd w:id="26"/>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lastRenderedPageBreak/>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60"/>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61"/>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w:t>
      </w:r>
      <w:r w:rsidRPr="001B0C3B">
        <w:rPr>
          <w:rFonts w:cs="Arial"/>
          <w:bCs/>
          <w:sz w:val="22"/>
          <w:szCs w:val="22"/>
          <w:lang w:val="es-ES_tradnl"/>
        </w:rPr>
        <w:lastRenderedPageBreak/>
        <w:t xml:space="preserve">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62"/>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63"/>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64"/>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w:t>
      </w:r>
      <w:r w:rsidRPr="001B0C3B">
        <w:rPr>
          <w:rFonts w:cs="Arial"/>
          <w:bCs/>
          <w:sz w:val="22"/>
          <w:szCs w:val="22"/>
          <w:lang w:val="es-ES_tradnl"/>
        </w:rPr>
        <w:lastRenderedPageBreak/>
        <w:t xml:space="preserve">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7"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7"/>
      <w:r w:rsidRPr="001B0C3B">
        <w:rPr>
          <w:rFonts w:cs="Arial"/>
          <w:bCs/>
          <w:sz w:val="22"/>
          <w:szCs w:val="22"/>
          <w:lang w:val="es-ES_tradnl"/>
        </w:rPr>
        <w:t>.</w:t>
      </w:r>
    </w:p>
    <w:p w14:paraId="3F2E8179" w14:textId="77777777" w:rsidR="00D77F6E"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w:t>
      </w:r>
      <w:r w:rsidRPr="001B0C3B">
        <w:rPr>
          <w:rFonts w:cs="Arial"/>
          <w:sz w:val="22"/>
          <w:szCs w:val="22"/>
          <w:lang w:val="es-ES_tradnl"/>
        </w:rPr>
        <w:lastRenderedPageBreak/>
        <w:t xml:space="preserve">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6C765CA1" w14:textId="49A5C5F6" w:rsidR="00CF5A7C" w:rsidRDefault="00CF5A7C" w:rsidP="00D77F6E">
      <w:pPr>
        <w:pStyle w:val="Prrafodelista"/>
        <w:widowControl w:val="0"/>
        <w:autoSpaceDE w:val="0"/>
        <w:autoSpaceDN w:val="0"/>
        <w:adjustRightInd w:val="0"/>
        <w:spacing w:after="210" w:line="360" w:lineRule="auto"/>
        <w:ind w:left="0"/>
        <w:rPr>
          <w:rFonts w:cs="Arial"/>
          <w:sz w:val="22"/>
          <w:szCs w:val="22"/>
          <w:lang w:val="es-ES_tradnl"/>
        </w:rPr>
      </w:pPr>
      <w:r>
        <w:rPr>
          <w:rFonts w:cs="Arial"/>
          <w:sz w:val="22"/>
          <w:szCs w:val="22"/>
          <w:lang w:val="es-ES_tradnl"/>
        </w:rPr>
        <w:t xml:space="preserve">Como ya hemos desarrollado anteriormente, esta misma tesis ha sido recientemente avalada por la </w:t>
      </w:r>
      <w:r>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w:t>
      </w:r>
      <w:r>
        <w:rPr>
          <w:rFonts w:cs="Arial"/>
          <w:b/>
          <w:sz w:val="22"/>
          <w:szCs w:val="22"/>
          <w:lang w:val="es-ES_tradnl"/>
        </w:rPr>
        <w:t xml:space="preserve">en la que se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 en un asunto de transparencia de cláusulas análogas a la que nos ocupa.</w:t>
      </w:r>
    </w:p>
    <w:p w14:paraId="0DB32D42" w14:textId="77777777" w:rsidR="00CF5A7C" w:rsidRPr="001B0C3B" w:rsidRDefault="00CF5A7C" w:rsidP="00D77F6E">
      <w:pPr>
        <w:pStyle w:val="Prrafodelista"/>
        <w:widowControl w:val="0"/>
        <w:autoSpaceDE w:val="0"/>
        <w:autoSpaceDN w:val="0"/>
        <w:adjustRightInd w:val="0"/>
        <w:spacing w:after="210" w:line="360" w:lineRule="auto"/>
        <w:ind w:left="0"/>
        <w:rPr>
          <w:rFonts w:cs="Arial"/>
          <w:sz w:val="22"/>
          <w:szCs w:val="22"/>
          <w:lang w:val="es-ES_tradnl"/>
        </w:rPr>
      </w:pP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693168FC" w14:textId="77777777" w:rsidR="00CF5A7C" w:rsidRPr="001B0C3B" w:rsidRDefault="00CF5A7C" w:rsidP="007B1C0F">
      <w:pPr>
        <w:spacing w:line="360" w:lineRule="auto"/>
        <w:rPr>
          <w:rFonts w:eastAsia="Times New Roman" w:cs="Arial"/>
          <w:sz w:val="22"/>
          <w:szCs w:val="22"/>
          <w:lang w:val="es-ES"/>
        </w:rPr>
      </w:pPr>
    </w:p>
    <w:p w14:paraId="32E3B07A" w14:textId="6E64C271" w:rsidR="007B1C0F" w:rsidRPr="001B0C3B" w:rsidRDefault="00CF5A7C" w:rsidP="007B1C0F">
      <w:pPr>
        <w:spacing w:line="360" w:lineRule="auto"/>
        <w:rPr>
          <w:rFonts w:eastAsia="Times New Roman" w:cs="Arial"/>
          <w:sz w:val="22"/>
          <w:szCs w:val="22"/>
          <w:lang w:val="es-ES"/>
        </w:rPr>
      </w:pPr>
      <w:r w:rsidRPr="00CF5A7C">
        <w:rPr>
          <w:rFonts w:eastAsia="Times New Roman" w:cs="Arial"/>
          <w:sz w:val="22"/>
          <w:szCs w:val="22"/>
          <w:highlight w:val="green"/>
          <w:lang w:val="es-ES"/>
        </w:rPr>
        <w:t>DEMANDA POSTERIOR A 15/02/2023</w:t>
      </w: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1DB55FC" w14:textId="77777777" w:rsidR="00CF5A7C" w:rsidRDefault="00CF5A7C" w:rsidP="007B1C0F">
      <w:pPr>
        <w:spacing w:line="360" w:lineRule="auto"/>
        <w:rPr>
          <w:rFonts w:eastAsia="Times New Roman" w:cs="Arial"/>
          <w:sz w:val="22"/>
          <w:szCs w:val="22"/>
          <w:lang w:val="es-ES"/>
        </w:rPr>
      </w:pPr>
    </w:p>
    <w:p w14:paraId="7E56070A" w14:textId="12D567AD" w:rsidR="00CF5A7C" w:rsidRDefault="00CF5A7C" w:rsidP="007B1C0F">
      <w:pPr>
        <w:spacing w:line="360" w:lineRule="auto"/>
        <w:rPr>
          <w:rFonts w:eastAsia="Times New Roman" w:cs="Arial"/>
          <w:sz w:val="22"/>
          <w:szCs w:val="22"/>
          <w:lang w:val="es-ES"/>
        </w:rPr>
      </w:pPr>
      <w:r w:rsidRPr="00CF5A7C">
        <w:rPr>
          <w:rFonts w:eastAsia="Times New Roman" w:cs="Arial"/>
          <w:sz w:val="22"/>
          <w:szCs w:val="22"/>
          <w:highlight w:val="green"/>
          <w:lang w:val="es-ES"/>
        </w:rPr>
        <w:t>DEMANDA ANTERIOR A 15/02/2023</w:t>
      </w:r>
    </w:p>
    <w:p w14:paraId="3AD9EFE7" w14:textId="467E8235"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xml:space="preserve">, decide no imponer las costas a la parte vencida precisamente porque interpuso la demanda con anterioridad a la doctrina sentada por el Tribunal Supremo, lo que viene a redundar en la procedencia de la imposición de costas </w:t>
      </w:r>
      <w:r w:rsidRPr="001B0C3B">
        <w:rPr>
          <w:rFonts w:eastAsia="Times New Roman" w:cs="Arial"/>
          <w:sz w:val="22"/>
          <w:szCs w:val="22"/>
          <w:lang w:val="es-ES"/>
        </w:rPr>
        <w:lastRenderedPageBreak/>
        <w:t>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 xml:space="preserve">puesto que se trata de una cuestión sobre </w:t>
      </w:r>
      <w:r w:rsidRPr="001B0C3B">
        <w:rPr>
          <w:rFonts w:eastAsia="Times New Roman" w:cs="Arial"/>
          <w:b/>
          <w:bCs/>
          <w:i/>
          <w:iCs/>
          <w:sz w:val="22"/>
          <w:szCs w:val="22"/>
          <w:u w:val="single"/>
          <w:lang w:val="es-ES"/>
        </w:rPr>
        <w:lastRenderedPageBreak/>
        <w:t>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 xml:space="preserve">la Sala estima oportuno no </w:t>
      </w:r>
      <w:r w:rsidRPr="001B0C3B">
        <w:rPr>
          <w:rFonts w:eastAsia="Times New Roman" w:cs="Arial"/>
          <w:b/>
          <w:bCs/>
          <w:i/>
          <w:iCs/>
          <w:sz w:val="22"/>
          <w:szCs w:val="22"/>
          <w:u w:val="single"/>
          <w:lang w:val="es-ES"/>
        </w:rPr>
        <w:lastRenderedPageBreak/>
        <w:t>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38D28FA2" w14:textId="77777777" w:rsidR="00D63980" w:rsidRDefault="00D63980" w:rsidP="00D63980">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38DA983" w14:textId="132A375D" w:rsidR="00D63980" w:rsidRPr="001B0C3B" w:rsidRDefault="00D63980" w:rsidP="001E13CE">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4AAAF56" w14:textId="77777777" w:rsidR="00D63980" w:rsidRDefault="00D63980" w:rsidP="00D63980">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13155148" w14:textId="77777777" w:rsidR="00D63980" w:rsidRDefault="00D63980" w:rsidP="00D63980">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7"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33DC053C" w14:textId="77777777" w:rsidR="00D63980" w:rsidRDefault="00D63980" w:rsidP="00D63980">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8"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24F93EE0" w14:textId="77777777" w:rsidR="00D63980" w:rsidRDefault="00D63980" w:rsidP="00D63980">
      <w:pPr>
        <w:spacing w:after="210" w:line="360" w:lineRule="auto"/>
        <w:rPr>
          <w:rFonts w:cs="Arial"/>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6158606" w14:textId="77777777" w:rsidR="00D63980" w:rsidRDefault="00D63980" w:rsidP="00D63980">
      <w:pPr>
        <w:spacing w:after="210" w:line="360" w:lineRule="auto"/>
        <w:rPr>
          <w:rFonts w:cs="Arial"/>
          <w:b/>
          <w:sz w:val="22"/>
          <w:szCs w:val="22"/>
          <w:lang w:val="es-ES"/>
        </w:rPr>
      </w:pPr>
    </w:p>
    <w:p w14:paraId="364313E7" w14:textId="77777777" w:rsidR="00D63980" w:rsidRDefault="00D63980" w:rsidP="00D63980">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7727B882" w14:textId="77777777" w:rsidR="00D63980" w:rsidRPr="001B0C3B" w:rsidRDefault="00D63980"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lastRenderedPageBreak/>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6758DE">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6BD26" w14:textId="77777777" w:rsidR="00762C46" w:rsidRDefault="00762C46">
      <w:pPr>
        <w:spacing w:line="240" w:lineRule="auto"/>
      </w:pPr>
      <w:r>
        <w:separator/>
      </w:r>
    </w:p>
  </w:endnote>
  <w:endnote w:type="continuationSeparator" w:id="0">
    <w:p w14:paraId="117E21F7" w14:textId="77777777" w:rsidR="00762C46" w:rsidRDefault="00762C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30353" w14:textId="77777777" w:rsidR="00762C46" w:rsidRPr="00586325" w:rsidRDefault="00762C46" w:rsidP="00586325">
      <w:pPr>
        <w:pStyle w:val="Piedepgina"/>
      </w:pPr>
      <w:r>
        <w:continuationSeparator/>
      </w:r>
    </w:p>
  </w:footnote>
  <w:footnote w:type="continuationSeparator" w:id="0">
    <w:p w14:paraId="60120FB5" w14:textId="77777777" w:rsidR="00762C46" w:rsidRDefault="00762C46"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7D988770"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7">
    <w:p w14:paraId="5F90C1FB"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8">
    <w:p w14:paraId="4F6EA269" w14:textId="77777777" w:rsidR="006B1F36" w:rsidRDefault="006B1F36" w:rsidP="0068752B">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9">
    <w:p w14:paraId="62596305" w14:textId="77777777" w:rsidR="006B1F36" w:rsidRDefault="006B1F36" w:rsidP="0068752B">
      <w:pPr>
        <w:pStyle w:val="Textonotapie"/>
      </w:pPr>
    </w:p>
  </w:footnote>
  <w:footnote w:id="10">
    <w:p w14:paraId="1A389E98" w14:textId="77777777" w:rsidR="006B1F36" w:rsidRPr="00F81424" w:rsidRDefault="006B1F36" w:rsidP="0068752B">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1">
    <w:p w14:paraId="2E42DCB1"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2">
    <w:p w14:paraId="56194FE3"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3">
    <w:p w14:paraId="241A8C49" w14:textId="77777777" w:rsidR="006B1F36" w:rsidRDefault="006B1F36" w:rsidP="0068752B">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4">
    <w:p w14:paraId="298497AD"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15">
    <w:p w14:paraId="5EBB8271"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16">
    <w:p w14:paraId="5A880489" w14:textId="77777777" w:rsidR="006B1F36" w:rsidRDefault="006B1F36" w:rsidP="0068752B">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17">
    <w:p w14:paraId="2F22F3A8"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18">
    <w:p w14:paraId="6AEA3F7B"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19">
    <w:p w14:paraId="37924E84"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0">
    <w:p w14:paraId="02DAE91C"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1">
    <w:p w14:paraId="232D91C5" w14:textId="77777777" w:rsidR="006B1F36" w:rsidRDefault="006B1F36" w:rsidP="0068752B">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2">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23">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24">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25">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26">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7">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8">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9">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0">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1">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2">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33">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4">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5">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6">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7">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8">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9">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0">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1">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2">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3">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4">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5">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6">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7">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8">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9">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0">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1">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2">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1"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3">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4">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5">
    <w:p w14:paraId="5B194337" w14:textId="77777777" w:rsidR="001C2CE5" w:rsidRPr="00F801FE" w:rsidRDefault="001C2CE5" w:rsidP="001C2CE5">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3"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3"/>
      <w:r w:rsidRPr="004D4E72">
        <w:rPr>
          <w:lang w:val="es-ES_tradnl"/>
        </w:rPr>
        <w:t>.</w:t>
      </w:r>
    </w:p>
  </w:footnote>
  <w:footnote w:id="56">
    <w:p w14:paraId="73347A48" w14:textId="77777777" w:rsidR="001C2CE5" w:rsidRPr="00F801FE" w:rsidRDefault="001C2CE5" w:rsidP="001C2CE5">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57">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58">
    <w:p w14:paraId="01E307AC" w14:textId="77777777" w:rsidR="006B1F36" w:rsidRPr="005115E4" w:rsidRDefault="006B1F36" w:rsidP="000131F5">
      <w:pPr>
        <w:pStyle w:val="Textonotapie"/>
        <w:rPr>
          <w:rFonts w:cs="Arial"/>
          <w:lang w:val="es-ES"/>
        </w:rPr>
      </w:pPr>
    </w:p>
  </w:footnote>
  <w:footnote w:id="59">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60">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61">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62">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3">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4">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99926A1"/>
    <w:multiLevelType w:val="hybridMultilevel"/>
    <w:tmpl w:val="32F09194"/>
    <w:lvl w:ilvl="0" w:tplc="7858369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2"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3"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5"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1"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2"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3"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4"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5"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7"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7"/>
  </w:num>
  <w:num w:numId="3" w16cid:durableId="594050692">
    <w:abstractNumId w:val="16"/>
  </w:num>
  <w:num w:numId="4" w16cid:durableId="1225221816">
    <w:abstractNumId w:val="4"/>
  </w:num>
  <w:num w:numId="5" w16cid:durableId="780799701">
    <w:abstractNumId w:val="11"/>
  </w:num>
  <w:num w:numId="6" w16cid:durableId="1191258655">
    <w:abstractNumId w:val="5"/>
  </w:num>
  <w:num w:numId="7" w16cid:durableId="1627588201">
    <w:abstractNumId w:val="20"/>
  </w:num>
  <w:num w:numId="8" w16cid:durableId="392780825">
    <w:abstractNumId w:val="23"/>
  </w:num>
  <w:num w:numId="9" w16cid:durableId="229274290">
    <w:abstractNumId w:val="21"/>
  </w:num>
  <w:num w:numId="10" w16cid:durableId="433793008">
    <w:abstractNumId w:val="12"/>
  </w:num>
  <w:num w:numId="11" w16cid:durableId="2144272663">
    <w:abstractNumId w:val="15"/>
  </w:num>
  <w:num w:numId="12" w16cid:durableId="1868449832">
    <w:abstractNumId w:val="3"/>
  </w:num>
  <w:num w:numId="13" w16cid:durableId="1054886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4"/>
  </w:num>
  <w:num w:numId="15" w16cid:durableId="691028241">
    <w:abstractNumId w:val="9"/>
  </w:num>
  <w:num w:numId="16" w16cid:durableId="1448743745">
    <w:abstractNumId w:val="17"/>
  </w:num>
  <w:num w:numId="17" w16cid:durableId="1362320289">
    <w:abstractNumId w:val="25"/>
  </w:num>
  <w:num w:numId="18" w16cid:durableId="1669555988">
    <w:abstractNumId w:val="10"/>
  </w:num>
  <w:num w:numId="19" w16cid:durableId="251205173">
    <w:abstractNumId w:val="0"/>
  </w:num>
  <w:num w:numId="20" w16cid:durableId="1835494020">
    <w:abstractNumId w:val="18"/>
  </w:num>
  <w:num w:numId="21" w16cid:durableId="1933736534">
    <w:abstractNumId w:val="22"/>
  </w:num>
  <w:num w:numId="22" w16cid:durableId="830877730">
    <w:abstractNumId w:val="28"/>
  </w:num>
  <w:num w:numId="23" w16cid:durableId="947587477">
    <w:abstractNumId w:val="8"/>
  </w:num>
  <w:num w:numId="24" w16cid:durableId="1611812359">
    <w:abstractNumId w:val="27"/>
  </w:num>
  <w:num w:numId="25" w16cid:durableId="1053234551">
    <w:abstractNumId w:val="1"/>
  </w:num>
  <w:num w:numId="26" w16cid:durableId="1920551528">
    <w:abstractNumId w:val="19"/>
  </w:num>
  <w:num w:numId="27" w16cid:durableId="17513715">
    <w:abstractNumId w:val="26"/>
  </w:num>
  <w:num w:numId="28" w16cid:durableId="2019188917">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77E76"/>
    <w:rsid w:val="001913C1"/>
    <w:rsid w:val="00192615"/>
    <w:rsid w:val="00197F35"/>
    <w:rsid w:val="001B0C3B"/>
    <w:rsid w:val="001B4F9F"/>
    <w:rsid w:val="001B55B3"/>
    <w:rsid w:val="001C1464"/>
    <w:rsid w:val="001C2119"/>
    <w:rsid w:val="001C2CE5"/>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5F7A08"/>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758DE"/>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5B76"/>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55860"/>
    <w:rsid w:val="007603D0"/>
    <w:rsid w:val="00762C46"/>
    <w:rsid w:val="007657F5"/>
    <w:rsid w:val="00766D97"/>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C54E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26F2E"/>
    <w:rsid w:val="00935644"/>
    <w:rsid w:val="00937317"/>
    <w:rsid w:val="00941141"/>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2223"/>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87E3A"/>
    <w:rsid w:val="00A90D11"/>
    <w:rsid w:val="00A94A74"/>
    <w:rsid w:val="00A95F5D"/>
    <w:rsid w:val="00A96B75"/>
    <w:rsid w:val="00A971A4"/>
    <w:rsid w:val="00AA1481"/>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64094"/>
    <w:rsid w:val="00C70795"/>
    <w:rsid w:val="00C77C6E"/>
    <w:rsid w:val="00C8006E"/>
    <w:rsid w:val="00C866A1"/>
    <w:rsid w:val="00C92F9F"/>
    <w:rsid w:val="00C958F2"/>
    <w:rsid w:val="00C96286"/>
    <w:rsid w:val="00CA58A5"/>
    <w:rsid w:val="00CB027C"/>
    <w:rsid w:val="00CB12EF"/>
    <w:rsid w:val="00CB2A0D"/>
    <w:rsid w:val="00CB42A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5A7C"/>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3980"/>
    <w:rsid w:val="00D643CB"/>
    <w:rsid w:val="00D67411"/>
    <w:rsid w:val="00D70493"/>
    <w:rsid w:val="00D77C94"/>
    <w:rsid w:val="00D77F6E"/>
    <w:rsid w:val="00D87AF6"/>
    <w:rsid w:val="00D92122"/>
    <w:rsid w:val="00D92A91"/>
    <w:rsid w:val="00D96BDE"/>
    <w:rsid w:val="00DA1094"/>
    <w:rsid w:val="00DA1658"/>
    <w:rsid w:val="00DA5302"/>
    <w:rsid w:val="00DA7A00"/>
    <w:rsid w:val="00DB1CD6"/>
    <w:rsid w:val="00DB3D56"/>
    <w:rsid w:val="00DB4683"/>
    <w:rsid w:val="00DB60B0"/>
    <w:rsid w:val="00DC11C1"/>
    <w:rsid w:val="00DD18FA"/>
    <w:rsid w:val="00DE0AE8"/>
    <w:rsid w:val="00DE129D"/>
    <w:rsid w:val="00DE3288"/>
    <w:rsid w:val="00DE3A4D"/>
    <w:rsid w:val="00DE62C1"/>
    <w:rsid w:val="00DE6AE3"/>
    <w:rsid w:val="00DF0E09"/>
    <w:rsid w:val="00DF675C"/>
    <w:rsid w:val="00DF7888"/>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6DC7"/>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034F"/>
    <w:rsid w:val="00F3382D"/>
    <w:rsid w:val="00F35B13"/>
    <w:rsid w:val="00F445F1"/>
    <w:rsid w:val="00F51543"/>
    <w:rsid w:val="00F539D5"/>
    <w:rsid w:val="00F62290"/>
    <w:rsid w:val="00F6340A"/>
    <w:rsid w:val="00F63D71"/>
    <w:rsid w:val="00F63FF4"/>
    <w:rsid w:val="00F6670A"/>
    <w:rsid w:val="00F66853"/>
    <w:rsid w:val="00F66881"/>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D557A"/>
    <w:rsid w:val="00FE1786"/>
    <w:rsid w:val="00FE374F"/>
    <w:rsid w:val="00FE4D95"/>
    <w:rsid w:val="00FE5DA8"/>
    <w:rsid w:val="00FE682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D63980"/>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202987962">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21679897">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552235085">
      <w:bodyDiv w:val="1"/>
      <w:marLeft w:val="0"/>
      <w:marRight w:val="0"/>
      <w:marTop w:val="0"/>
      <w:marBottom w:val="0"/>
      <w:divBdr>
        <w:top w:val="none" w:sz="0" w:space="0" w:color="auto"/>
        <w:left w:val="none" w:sz="0" w:space="0" w:color="auto"/>
        <w:bottom w:val="none" w:sz="0" w:space="0" w:color="auto"/>
        <w:right w:val="none" w:sz="0" w:space="0" w:color="auto"/>
      </w:divBdr>
    </w:div>
    <w:div w:id="727458721">
      <w:bodyDiv w:val="1"/>
      <w:marLeft w:val="0"/>
      <w:marRight w:val="0"/>
      <w:marTop w:val="0"/>
      <w:marBottom w:val="0"/>
      <w:divBdr>
        <w:top w:val="none" w:sz="0" w:space="0" w:color="auto"/>
        <w:left w:val="none" w:sz="0" w:space="0" w:color="auto"/>
        <w:bottom w:val="none" w:sz="0" w:space="0" w:color="auto"/>
        <w:right w:val="none" w:sz="0" w:space="0" w:color="auto"/>
      </w:divBdr>
    </w:div>
    <w:div w:id="862398869">
      <w:bodyDiv w:val="1"/>
      <w:marLeft w:val="0"/>
      <w:marRight w:val="0"/>
      <w:marTop w:val="0"/>
      <w:marBottom w:val="0"/>
      <w:divBdr>
        <w:top w:val="none" w:sz="0" w:space="0" w:color="auto"/>
        <w:left w:val="none" w:sz="0" w:space="0" w:color="auto"/>
        <w:bottom w:val="none" w:sz="0" w:space="0" w:color="auto"/>
        <w:right w:val="none" w:sz="0" w:space="0" w:color="auto"/>
      </w:divBdr>
    </w:div>
    <w:div w:id="910119316">
      <w:bodyDiv w:val="1"/>
      <w:marLeft w:val="0"/>
      <w:marRight w:val="0"/>
      <w:marTop w:val="0"/>
      <w:marBottom w:val="0"/>
      <w:divBdr>
        <w:top w:val="none" w:sz="0" w:space="0" w:color="auto"/>
        <w:left w:val="none" w:sz="0" w:space="0" w:color="auto"/>
        <w:bottom w:val="none" w:sz="0" w:space="0" w:color="auto"/>
        <w:right w:val="none" w:sz="0" w:space="0" w:color="auto"/>
      </w:divBdr>
    </w:div>
    <w:div w:id="973099712">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3546383">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099251603">
      <w:bodyDiv w:val="1"/>
      <w:marLeft w:val="0"/>
      <w:marRight w:val="0"/>
      <w:marTop w:val="0"/>
      <w:marBottom w:val="0"/>
      <w:divBdr>
        <w:top w:val="none" w:sz="0" w:space="0" w:color="auto"/>
        <w:left w:val="none" w:sz="0" w:space="0" w:color="auto"/>
        <w:bottom w:val="none" w:sz="0" w:space="0" w:color="auto"/>
        <w:right w:val="none" w:sz="0" w:space="0" w:color="auto"/>
      </w:divBdr>
    </w:div>
    <w:div w:id="1216772266">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38993348">
      <w:bodyDiv w:val="1"/>
      <w:marLeft w:val="0"/>
      <w:marRight w:val="0"/>
      <w:marTop w:val="0"/>
      <w:marBottom w:val="0"/>
      <w:divBdr>
        <w:top w:val="none" w:sz="0" w:space="0" w:color="auto"/>
        <w:left w:val="none" w:sz="0" w:space="0" w:color="auto"/>
        <w:bottom w:val="none" w:sz="0" w:space="0" w:color="auto"/>
        <w:right w:val="none" w:sz="0" w:space="0" w:color="auto"/>
      </w:divBdr>
    </w:div>
    <w:div w:id="1693072110">
      <w:bodyDiv w:val="1"/>
      <w:marLeft w:val="0"/>
      <w:marRight w:val="0"/>
      <w:marTop w:val="0"/>
      <w:marBottom w:val="0"/>
      <w:divBdr>
        <w:top w:val="none" w:sz="0" w:space="0" w:color="auto"/>
        <w:left w:val="none" w:sz="0" w:space="0" w:color="auto"/>
        <w:bottom w:val="none" w:sz="0" w:space="0" w:color="auto"/>
        <w:right w:val="none" w:sz="0" w:space="0" w:color="auto"/>
      </w:divBdr>
    </w:div>
    <w:div w:id="1873421751">
      <w:bodyDiv w:val="1"/>
      <w:marLeft w:val="0"/>
      <w:marRight w:val="0"/>
      <w:marTop w:val="0"/>
      <w:marBottom w:val="0"/>
      <w:divBdr>
        <w:top w:val="none" w:sz="0" w:space="0" w:color="auto"/>
        <w:left w:val="none" w:sz="0" w:space="0" w:color="auto"/>
        <w:bottom w:val="none" w:sz="0" w:space="0" w:color="auto"/>
        <w:right w:val="none" w:sz="0" w:space="0" w:color="auto"/>
      </w:divBdr>
    </w:div>
    <w:div w:id="1904440848">
      <w:bodyDiv w:val="1"/>
      <w:marLeft w:val="0"/>
      <w:marRight w:val="0"/>
      <w:marTop w:val="0"/>
      <w:marBottom w:val="0"/>
      <w:divBdr>
        <w:top w:val="none" w:sz="0" w:space="0" w:color="auto"/>
        <w:left w:val="none" w:sz="0" w:space="0" w:color="auto"/>
        <w:bottom w:val="none" w:sz="0" w:space="0" w:color="auto"/>
        <w:right w:val="none" w:sz="0" w:space="0" w:color="auto"/>
      </w:divBdr>
    </w:div>
    <w:div w:id="212029821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Template>
  <TotalTime>85</TotalTime>
  <Pages>55</Pages>
  <Words>19413</Words>
  <Characters>106775</Characters>
  <Application>Microsoft Office Word</Application>
  <DocSecurity>0</DocSecurity>
  <Lines>889</Lines>
  <Paragraphs>251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LABORAL AVALENTIA ABOGADOS</cp:lastModifiedBy>
  <cp:revision>23</cp:revision>
  <dcterms:created xsi:type="dcterms:W3CDTF">2024-03-18T08:21:00Z</dcterms:created>
  <dcterms:modified xsi:type="dcterms:W3CDTF">2024-07-24T13:40:00Z</dcterms:modified>
</cp:coreProperties>
</file>