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891E70" w14:textId="77777777" w:rsidR="00114286" w:rsidRPr="00865FB3" w:rsidRDefault="00114286" w:rsidP="00865FB3">
      <w:pPr>
        <w:pStyle w:val="Ttulo"/>
        <w:keepNext w:val="0"/>
        <w:spacing w:line="360" w:lineRule="auto"/>
        <w:ind w:left="709" w:hanging="709"/>
        <w:rPr>
          <w:rFonts w:ascii="Arial" w:hAnsi="Arial" w:cs="Arial"/>
          <w:sz w:val="22"/>
          <w:szCs w:val="22"/>
          <w:u w:val="single"/>
        </w:rPr>
      </w:pPr>
    </w:p>
    <w:p w14:paraId="156185D5" w14:textId="477F6106" w:rsidR="005938EC" w:rsidRPr="00865FB3" w:rsidRDefault="005938EC" w:rsidP="00865FB3">
      <w:pPr>
        <w:pStyle w:val="Ttulo"/>
        <w:keepNext w:val="0"/>
        <w:spacing w:line="360" w:lineRule="auto"/>
        <w:ind w:left="709" w:hanging="709"/>
        <w:rPr>
          <w:rFonts w:ascii="Arial" w:hAnsi="Arial" w:cs="Arial"/>
          <w:sz w:val="22"/>
          <w:szCs w:val="22"/>
          <w:u w:val="single"/>
        </w:rPr>
      </w:pPr>
      <w:r w:rsidRPr="00865FB3">
        <w:rPr>
          <w:rFonts w:ascii="Arial" w:hAnsi="Arial" w:cs="Arial"/>
          <w:sz w:val="22"/>
          <w:szCs w:val="22"/>
          <w:highlight w:val="yellow"/>
          <w:u w:val="single"/>
        </w:rPr>
        <w:t xml:space="preserve">al </w:t>
      </w:r>
      <w:r w:rsidR="00E2089E">
        <w:rPr>
          <w:rFonts w:ascii="Arial" w:hAnsi="Arial" w:cs="Arial"/>
          <w:sz w:val="22"/>
          <w:szCs w:val="22"/>
          <w:highlight w:val="yellow"/>
          <w:u w:val="single"/>
        </w:rPr>
        <w:fldChar w:fldCharType="begin"/>
      </w:r>
      <w:r w:rsidR="00E2089E">
        <w:rPr>
          <w:rFonts w:ascii="Arial" w:hAnsi="Arial" w:cs="Arial"/>
          <w:sz w:val="22"/>
          <w:szCs w:val="22"/>
          <w:highlight w:val="yellow"/>
          <w:u w:val="single"/>
        </w:rPr>
        <w:instrText>juzgado_juzgado__1</w:instrText>
      </w:r>
      <w:r w:rsidR="00E2089E">
        <w:rPr>
          <w:rFonts w:ascii="Arial" w:hAnsi="Arial" w:cs="Arial"/>
          <w:sz w:val="22"/>
          <w:szCs w:val="22"/>
          <w:highlight w:val="yellow"/>
          <w:u w:val="single"/>
        </w:rPr>
        <w:fldChar w:fldCharType="separate"/>
      </w:r>
      <w:r w:rsidR="00E2089E">
        <w:rPr>
          <w:rFonts w:ascii="Arial" w:hAnsi="Arial" w:cs="Arial"/>
          <w:noProof/>
          <w:sz w:val="22"/>
          <w:szCs w:val="22"/>
          <w:highlight w:val="yellow"/>
          <w:u w:val="single"/>
        </w:rPr>
        <w:t>«Juzgados_Nombre»</w:t>
      </w:r>
      <w:r w:rsidR="00E2089E">
        <w:rPr>
          <w:rFonts w:ascii="Arial" w:hAnsi="Arial" w:cs="Arial"/>
          <w:sz w:val="22"/>
          <w:szCs w:val="22"/>
          <w:highlight w:val="yellow"/>
          <w:u w:val="single"/>
        </w:rPr>
        <w:fldChar w:fldCharType="end"/>
      </w:r>
      <w:r w:rsidR="00E2089E">
        <w:rPr>
          <w:rFonts w:ascii="Arial" w:hAnsi="Arial" w:cs="Arial"/>
          <w:sz w:val="22"/>
          <w:szCs w:val="22"/>
          <w:highlight w:val="yellow"/>
          <w:u w:val="single"/>
        </w:rPr>
        <w:t xml:space="preserve"> </w:t>
      </w:r>
      <w:r w:rsidR="00CA79CD" w:rsidRPr="00865FB3">
        <w:rPr>
          <w:rFonts w:ascii="Arial" w:hAnsi="Arial" w:cs="Arial"/>
          <w:sz w:val="22"/>
          <w:szCs w:val="22"/>
          <w:highlight w:val="yellow"/>
          <w:u w:val="single"/>
        </w:rPr>
        <w:t xml:space="preserve">para ante la audiencia provincial de </w:t>
      </w:r>
      <w:r w:rsidR="00E2089E">
        <w:rPr>
          <w:rFonts w:ascii="Arial" w:hAnsi="Arial" w:cs="Arial"/>
          <w:sz w:val="22"/>
          <w:szCs w:val="22"/>
          <w:highlight w:val="yellow"/>
          <w:u w:val="single"/>
        </w:rPr>
        <w:fldChar w:fldCharType="begin"/>
      </w:r>
      <w:r w:rsidR="00E2089E">
        <w:rPr>
          <w:rFonts w:ascii="Arial" w:hAnsi="Arial" w:cs="Arial"/>
          <w:sz w:val="22"/>
          <w:szCs w:val="22"/>
          <w:highlight w:val="yellow"/>
          <w:u w:val="single"/>
        </w:rPr>
        <w:instrText>juzgado_provincia__1</w:instrText>
      </w:r>
      <w:r w:rsidR="00E2089E">
        <w:rPr>
          <w:rFonts w:ascii="Arial" w:hAnsi="Arial" w:cs="Arial"/>
          <w:sz w:val="22"/>
          <w:szCs w:val="22"/>
          <w:highlight w:val="yellow"/>
          <w:u w:val="single"/>
        </w:rPr>
        <w:fldChar w:fldCharType="separate"/>
      </w:r>
      <w:r w:rsidR="00E2089E">
        <w:rPr>
          <w:rFonts w:ascii="Arial" w:hAnsi="Arial" w:cs="Arial"/>
          <w:noProof/>
          <w:sz w:val="22"/>
          <w:szCs w:val="22"/>
          <w:highlight w:val="yellow"/>
          <w:u w:val="single"/>
        </w:rPr>
        <w:t>«Juzgados_Provincia»</w:t>
      </w:r>
      <w:r w:rsidR="00E2089E">
        <w:rPr>
          <w:rFonts w:ascii="Arial" w:hAnsi="Arial" w:cs="Arial"/>
          <w:sz w:val="22"/>
          <w:szCs w:val="22"/>
          <w:highlight w:val="yellow"/>
          <w:u w:val="single"/>
        </w:rPr>
        <w:fldChar w:fldCharType="end"/>
      </w:r>
    </w:p>
    <w:p w14:paraId="5957F95F" w14:textId="77777777" w:rsidR="00E50CF1" w:rsidRPr="00865FB3" w:rsidRDefault="00E50CF1" w:rsidP="00865FB3">
      <w:pPr>
        <w:spacing w:after="240" w:line="360" w:lineRule="auto"/>
        <w:contextualSpacing/>
        <w:rPr>
          <w:rFonts w:ascii="Arial" w:hAnsi="Arial" w:cs="Arial"/>
          <w:sz w:val="22"/>
          <w:szCs w:val="22"/>
        </w:rPr>
      </w:pPr>
    </w:p>
    <w:p w14:paraId="1F0685CF" w14:textId="77777777" w:rsidR="005938EC" w:rsidRPr="00865FB3" w:rsidRDefault="00E577E1" w:rsidP="00865FB3">
      <w:pPr>
        <w:spacing w:after="240" w:line="360" w:lineRule="auto"/>
        <w:rPr>
          <w:rFonts w:ascii="Arial" w:hAnsi="Arial" w:cs="Arial"/>
          <w:sz w:val="22"/>
          <w:szCs w:val="22"/>
        </w:rPr>
      </w:pPr>
      <w:r w:rsidRPr="00865FB3">
        <w:rPr>
          <w:rFonts w:ascii="Arial" w:hAnsi="Arial" w:cs="Arial"/>
          <w:b/>
          <w:sz w:val="22"/>
          <w:szCs w:val="22"/>
        </w:rPr>
        <w:t>María Jesús Gómez Molins</w:t>
      </w:r>
      <w:r w:rsidR="005938EC" w:rsidRPr="00865FB3">
        <w:rPr>
          <w:rFonts w:ascii="Arial" w:hAnsi="Arial" w:cs="Arial"/>
          <w:sz w:val="22"/>
          <w:szCs w:val="22"/>
        </w:rPr>
        <w:t>, Procurador</w:t>
      </w:r>
      <w:r w:rsidRPr="00865FB3">
        <w:rPr>
          <w:rFonts w:ascii="Arial" w:hAnsi="Arial" w:cs="Arial"/>
          <w:sz w:val="22"/>
          <w:szCs w:val="22"/>
        </w:rPr>
        <w:t>a</w:t>
      </w:r>
      <w:r w:rsidR="005938EC" w:rsidRPr="00865FB3">
        <w:rPr>
          <w:rFonts w:ascii="Arial" w:hAnsi="Arial" w:cs="Arial"/>
          <w:sz w:val="22"/>
          <w:szCs w:val="22"/>
        </w:rPr>
        <w:t xml:space="preserve"> de los Tribunales y de </w:t>
      </w:r>
      <w:r w:rsidRPr="00865FB3">
        <w:rPr>
          <w:rFonts w:ascii="Arial" w:hAnsi="Arial" w:cs="Arial"/>
          <w:b/>
          <w:sz w:val="22"/>
          <w:szCs w:val="22"/>
        </w:rPr>
        <w:t>Wizink Bank</w:t>
      </w:r>
      <w:r w:rsidR="005938EC" w:rsidRPr="00865FB3">
        <w:rPr>
          <w:rFonts w:ascii="Arial" w:hAnsi="Arial" w:cs="Arial"/>
          <w:b/>
          <w:sz w:val="22"/>
          <w:szCs w:val="22"/>
        </w:rPr>
        <w:t xml:space="preserve">, S. A. </w:t>
      </w:r>
      <w:r w:rsidR="005938EC" w:rsidRPr="00865FB3">
        <w:rPr>
          <w:rFonts w:ascii="Arial" w:hAnsi="Arial" w:cs="Arial"/>
          <w:sz w:val="22"/>
          <w:szCs w:val="22"/>
        </w:rPr>
        <w:t>(“</w:t>
      </w:r>
      <w:r w:rsidRPr="00865FB3">
        <w:rPr>
          <w:rFonts w:ascii="Arial" w:hAnsi="Arial" w:cs="Arial"/>
          <w:b/>
          <w:sz w:val="22"/>
          <w:szCs w:val="22"/>
        </w:rPr>
        <w:t>Wizink</w:t>
      </w:r>
      <w:r w:rsidR="005938EC" w:rsidRPr="00865FB3">
        <w:rPr>
          <w:rFonts w:ascii="Arial" w:hAnsi="Arial" w:cs="Arial"/>
          <w:sz w:val="22"/>
          <w:szCs w:val="22"/>
        </w:rPr>
        <w:t>”), según tengo acreditado en los autos al margen referenciados</w:t>
      </w:r>
      <w:r w:rsidR="00114286" w:rsidRPr="00865FB3">
        <w:rPr>
          <w:rFonts w:ascii="Arial" w:hAnsi="Arial" w:cs="Arial"/>
          <w:sz w:val="22"/>
          <w:szCs w:val="22"/>
        </w:rPr>
        <w:t>,</w:t>
      </w:r>
      <w:r w:rsidR="005938EC" w:rsidRPr="00865FB3">
        <w:rPr>
          <w:rFonts w:ascii="Arial" w:hAnsi="Arial" w:cs="Arial"/>
          <w:sz w:val="22"/>
          <w:szCs w:val="22"/>
        </w:rPr>
        <w:t xml:space="preserve"> como mejor proceda en Derecho, </w:t>
      </w:r>
      <w:r w:rsidR="005938EC" w:rsidRPr="00865FB3">
        <w:rPr>
          <w:rFonts w:ascii="Arial" w:hAnsi="Arial" w:cs="Arial"/>
          <w:b/>
          <w:sz w:val="22"/>
          <w:szCs w:val="22"/>
        </w:rPr>
        <w:t>DIGO</w:t>
      </w:r>
      <w:r w:rsidR="005938EC" w:rsidRPr="00865FB3">
        <w:rPr>
          <w:rFonts w:ascii="Arial" w:hAnsi="Arial" w:cs="Arial"/>
          <w:sz w:val="22"/>
          <w:szCs w:val="22"/>
        </w:rPr>
        <w:t>:</w:t>
      </w:r>
    </w:p>
    <w:p w14:paraId="59DF1A56" w14:textId="58702B68" w:rsidR="00E561B5" w:rsidRPr="00865FB3" w:rsidRDefault="005938EC" w:rsidP="00865FB3">
      <w:pPr>
        <w:spacing w:after="240" w:line="360" w:lineRule="auto"/>
        <w:rPr>
          <w:rFonts w:ascii="Arial" w:hAnsi="Arial" w:cs="Arial"/>
          <w:sz w:val="22"/>
          <w:szCs w:val="22"/>
        </w:rPr>
      </w:pPr>
      <w:r w:rsidRPr="00865FB3">
        <w:rPr>
          <w:rFonts w:ascii="Arial" w:hAnsi="Arial" w:cs="Arial"/>
          <w:b/>
          <w:sz w:val="22"/>
          <w:szCs w:val="22"/>
        </w:rPr>
        <w:t>1.</w:t>
      </w:r>
      <w:r w:rsidRPr="00865FB3">
        <w:rPr>
          <w:rFonts w:ascii="Arial" w:hAnsi="Arial" w:cs="Arial"/>
          <w:sz w:val="22"/>
          <w:szCs w:val="22"/>
        </w:rPr>
        <w:t xml:space="preserve"> </w:t>
      </w:r>
      <w:r w:rsidR="00016F26" w:rsidRPr="00865FB3">
        <w:rPr>
          <w:rFonts w:ascii="Arial" w:hAnsi="Arial" w:cs="Arial"/>
          <w:sz w:val="22"/>
          <w:szCs w:val="22"/>
          <w:highlight w:val="yellow"/>
        </w:rPr>
        <w:t xml:space="preserve">En fecha </w:t>
      </w:r>
      <w:r w:rsidR="00377B6E" w:rsidRPr="00865FB3">
        <w:rPr>
          <w:rFonts w:ascii="Arial" w:hAnsi="Arial" w:cs="Arial"/>
          <w:sz w:val="22"/>
          <w:szCs w:val="22"/>
          <w:highlight w:val="yellow"/>
        </w:rPr>
        <w:t>20</w:t>
      </w:r>
      <w:r w:rsidR="00FB0BA5" w:rsidRPr="00865FB3">
        <w:rPr>
          <w:rFonts w:ascii="Arial" w:hAnsi="Arial" w:cs="Arial"/>
          <w:sz w:val="22"/>
          <w:szCs w:val="22"/>
          <w:highlight w:val="yellow"/>
        </w:rPr>
        <w:t xml:space="preserve"> de enero</w:t>
      </w:r>
      <w:r w:rsidR="00016F26" w:rsidRPr="00865FB3">
        <w:rPr>
          <w:rFonts w:ascii="Arial" w:hAnsi="Arial" w:cs="Arial"/>
          <w:sz w:val="22"/>
          <w:szCs w:val="22"/>
          <w:highlight w:val="yellow"/>
        </w:rPr>
        <w:t>, h</w:t>
      </w:r>
      <w:r w:rsidR="009C1653" w:rsidRPr="00865FB3">
        <w:rPr>
          <w:rFonts w:ascii="Arial" w:hAnsi="Arial" w:cs="Arial"/>
          <w:sz w:val="22"/>
          <w:szCs w:val="22"/>
          <w:highlight w:val="yellow"/>
        </w:rPr>
        <w:t>a sido notificada</w:t>
      </w:r>
      <w:r w:rsidRPr="00865FB3">
        <w:rPr>
          <w:rFonts w:ascii="Arial" w:hAnsi="Arial" w:cs="Arial"/>
          <w:sz w:val="22"/>
          <w:szCs w:val="22"/>
          <w:highlight w:val="yellow"/>
        </w:rPr>
        <w:t xml:space="preserve"> a esta parte </w:t>
      </w:r>
      <w:r w:rsidR="00224B14" w:rsidRPr="00865FB3">
        <w:rPr>
          <w:rFonts w:ascii="Arial" w:hAnsi="Arial" w:cs="Arial"/>
          <w:sz w:val="22"/>
          <w:szCs w:val="22"/>
          <w:highlight w:val="yellow"/>
        </w:rPr>
        <w:t xml:space="preserve">la Sentencia núm. </w:t>
      </w:r>
      <w:r w:rsidR="00FB0BA5" w:rsidRPr="00865FB3">
        <w:rPr>
          <w:rFonts w:ascii="Arial" w:hAnsi="Arial" w:cs="Arial"/>
          <w:sz w:val="22"/>
          <w:szCs w:val="22"/>
          <w:highlight w:val="yellow"/>
        </w:rPr>
        <w:t>11/2022</w:t>
      </w:r>
      <w:r w:rsidR="00743C04" w:rsidRPr="00865FB3">
        <w:rPr>
          <w:rFonts w:ascii="Arial" w:hAnsi="Arial" w:cs="Arial"/>
          <w:sz w:val="22"/>
          <w:szCs w:val="22"/>
          <w:highlight w:val="yellow"/>
        </w:rPr>
        <w:t xml:space="preserve">, de </w:t>
      </w:r>
      <w:r w:rsidR="00390FFB" w:rsidRPr="00865FB3">
        <w:rPr>
          <w:rFonts w:ascii="Arial" w:hAnsi="Arial" w:cs="Arial"/>
          <w:sz w:val="22"/>
          <w:szCs w:val="22"/>
          <w:highlight w:val="yellow"/>
        </w:rPr>
        <w:t>18 de enero</w:t>
      </w:r>
      <w:r w:rsidR="00743C04" w:rsidRPr="00865FB3">
        <w:rPr>
          <w:rFonts w:ascii="Arial" w:hAnsi="Arial" w:cs="Arial"/>
          <w:sz w:val="22"/>
          <w:szCs w:val="22"/>
          <w:highlight w:val="yellow"/>
        </w:rPr>
        <w:t xml:space="preserve">, del Juzgado de Primera Instancia núm. 5 de </w:t>
      </w:r>
      <w:r w:rsidR="00390FFB" w:rsidRPr="00865FB3">
        <w:rPr>
          <w:rFonts w:ascii="Arial" w:hAnsi="Arial" w:cs="Arial"/>
          <w:sz w:val="22"/>
          <w:szCs w:val="22"/>
          <w:highlight w:val="yellow"/>
        </w:rPr>
        <w:t>Pamplona</w:t>
      </w:r>
      <w:r w:rsidR="00743C04" w:rsidRPr="00865FB3">
        <w:rPr>
          <w:rFonts w:ascii="Arial" w:hAnsi="Arial" w:cs="Arial"/>
          <w:sz w:val="22"/>
          <w:szCs w:val="22"/>
          <w:highlight w:val="yellow"/>
        </w:rPr>
        <w:t xml:space="preserve"> </w:t>
      </w:r>
      <w:r w:rsidR="00743C04" w:rsidRPr="00865FB3">
        <w:rPr>
          <w:rFonts w:ascii="Arial" w:hAnsi="Arial" w:cs="Arial"/>
          <w:sz w:val="22"/>
          <w:szCs w:val="22"/>
          <w:highlight w:val="yellow"/>
          <w:lang w:val="es-ES_tradnl"/>
        </w:rPr>
        <w:t>(la “</w:t>
      </w:r>
      <w:r w:rsidR="00743C04" w:rsidRPr="00865FB3">
        <w:rPr>
          <w:rFonts w:ascii="Arial" w:hAnsi="Arial" w:cs="Arial"/>
          <w:b/>
          <w:sz w:val="22"/>
          <w:szCs w:val="22"/>
          <w:highlight w:val="yellow"/>
          <w:lang w:val="es-ES_tradnl"/>
        </w:rPr>
        <w:t>Sentencia</w:t>
      </w:r>
      <w:r w:rsidR="00743C04" w:rsidRPr="00865FB3">
        <w:rPr>
          <w:rFonts w:ascii="Arial" w:hAnsi="Arial" w:cs="Arial"/>
          <w:sz w:val="22"/>
          <w:szCs w:val="22"/>
          <w:highlight w:val="yellow"/>
          <w:lang w:val="es-ES_tradnl"/>
        </w:rPr>
        <w:t>” o la “</w:t>
      </w:r>
      <w:r w:rsidR="00743C04" w:rsidRPr="00865FB3">
        <w:rPr>
          <w:rFonts w:ascii="Arial" w:hAnsi="Arial" w:cs="Arial"/>
          <w:b/>
          <w:sz w:val="22"/>
          <w:szCs w:val="22"/>
          <w:highlight w:val="yellow"/>
          <w:lang w:val="es-ES_tradnl"/>
        </w:rPr>
        <w:t>Sentencia recurrida</w:t>
      </w:r>
      <w:r w:rsidR="00743C04" w:rsidRPr="00865FB3">
        <w:rPr>
          <w:rFonts w:ascii="Arial" w:hAnsi="Arial" w:cs="Arial"/>
          <w:sz w:val="22"/>
          <w:szCs w:val="22"/>
          <w:highlight w:val="yellow"/>
          <w:lang w:val="es-ES_tradnl"/>
        </w:rPr>
        <w:t>”)</w:t>
      </w:r>
      <w:r w:rsidR="006448EA" w:rsidRPr="00865FB3">
        <w:rPr>
          <w:rFonts w:ascii="Arial" w:hAnsi="Arial" w:cs="Arial"/>
          <w:sz w:val="22"/>
          <w:szCs w:val="22"/>
          <w:highlight w:val="yellow"/>
          <w:lang w:val="es-ES_tradnl"/>
        </w:rPr>
        <w:t xml:space="preserve"> que estima </w:t>
      </w:r>
      <w:r w:rsidR="000C3DF3" w:rsidRPr="00865FB3">
        <w:rPr>
          <w:rFonts w:ascii="Arial" w:hAnsi="Arial" w:cs="Arial"/>
          <w:sz w:val="22"/>
          <w:szCs w:val="22"/>
          <w:highlight w:val="yellow"/>
          <w:lang w:val="es-ES_tradnl"/>
        </w:rPr>
        <w:t>la demanda presentada por D</w:t>
      </w:r>
      <w:r w:rsidR="00390FFB" w:rsidRPr="00865FB3">
        <w:rPr>
          <w:rFonts w:ascii="Arial" w:hAnsi="Arial" w:cs="Arial"/>
          <w:sz w:val="22"/>
          <w:szCs w:val="22"/>
          <w:highlight w:val="yellow"/>
          <w:lang w:val="es-ES_tradnl"/>
        </w:rPr>
        <w:t>ª</w:t>
      </w:r>
      <w:r w:rsidR="000C3DF3" w:rsidRPr="00865FB3">
        <w:rPr>
          <w:rFonts w:ascii="Arial" w:hAnsi="Arial" w:cs="Arial"/>
          <w:sz w:val="22"/>
          <w:szCs w:val="22"/>
          <w:highlight w:val="yellow"/>
          <w:lang w:val="es-ES_tradnl"/>
        </w:rPr>
        <w:t xml:space="preserve">. </w:t>
      </w:r>
      <w:r w:rsidR="000C3BC5" w:rsidRPr="00865FB3">
        <w:rPr>
          <w:rFonts w:ascii="Arial" w:hAnsi="Arial" w:cs="Arial"/>
          <w:sz w:val="22"/>
          <w:szCs w:val="22"/>
          <w:highlight w:val="yellow"/>
          <w:lang w:val="es-ES_tradnl"/>
        </w:rPr>
        <w:t>Dolores Valencia Jiménez</w:t>
      </w:r>
      <w:r w:rsidR="000C3DF3" w:rsidRPr="00865FB3">
        <w:rPr>
          <w:rFonts w:ascii="Arial" w:hAnsi="Arial" w:cs="Arial"/>
          <w:sz w:val="22"/>
          <w:szCs w:val="22"/>
          <w:highlight w:val="yellow"/>
          <w:lang w:val="es-ES_tradnl"/>
        </w:rPr>
        <w:t xml:space="preserve"> (</w:t>
      </w:r>
      <w:r w:rsidR="000C3BC5" w:rsidRPr="00865FB3">
        <w:rPr>
          <w:rFonts w:ascii="Arial" w:hAnsi="Arial" w:cs="Arial"/>
          <w:sz w:val="22"/>
          <w:szCs w:val="22"/>
          <w:highlight w:val="yellow"/>
          <w:lang w:val="es-ES_tradnl"/>
        </w:rPr>
        <w:t>la</w:t>
      </w:r>
      <w:r w:rsidR="000C3DF3" w:rsidRPr="00865FB3">
        <w:rPr>
          <w:rFonts w:ascii="Arial" w:hAnsi="Arial" w:cs="Arial"/>
          <w:sz w:val="22"/>
          <w:szCs w:val="22"/>
          <w:highlight w:val="yellow"/>
          <w:lang w:val="es-ES_tradnl"/>
        </w:rPr>
        <w:t xml:space="preserve"> “</w:t>
      </w:r>
      <w:r w:rsidR="000C3DF3" w:rsidRPr="00865FB3">
        <w:rPr>
          <w:rFonts w:ascii="Arial" w:hAnsi="Arial" w:cs="Arial"/>
          <w:b/>
          <w:bCs/>
          <w:sz w:val="22"/>
          <w:szCs w:val="22"/>
          <w:highlight w:val="yellow"/>
          <w:lang w:val="es-ES_tradnl"/>
        </w:rPr>
        <w:t>recurrid</w:t>
      </w:r>
      <w:r w:rsidR="000C3BC5" w:rsidRPr="00865FB3">
        <w:rPr>
          <w:rFonts w:ascii="Arial" w:hAnsi="Arial" w:cs="Arial"/>
          <w:b/>
          <w:bCs/>
          <w:sz w:val="22"/>
          <w:szCs w:val="22"/>
          <w:highlight w:val="yellow"/>
          <w:lang w:val="es-ES_tradnl"/>
        </w:rPr>
        <w:t>a</w:t>
      </w:r>
      <w:r w:rsidR="000C3DF3" w:rsidRPr="00865FB3">
        <w:rPr>
          <w:rFonts w:ascii="Arial" w:hAnsi="Arial" w:cs="Arial"/>
          <w:sz w:val="22"/>
          <w:szCs w:val="22"/>
          <w:highlight w:val="yellow"/>
          <w:lang w:val="es-ES_tradnl"/>
        </w:rPr>
        <w:t>” o la “</w:t>
      </w:r>
      <w:r w:rsidR="000C3DF3" w:rsidRPr="00865FB3">
        <w:rPr>
          <w:rFonts w:ascii="Arial" w:hAnsi="Arial" w:cs="Arial"/>
          <w:b/>
          <w:bCs/>
          <w:sz w:val="22"/>
          <w:szCs w:val="22"/>
          <w:highlight w:val="yellow"/>
          <w:lang w:val="es-ES_tradnl"/>
        </w:rPr>
        <w:t>Parte actora</w:t>
      </w:r>
      <w:r w:rsidR="000C3DF3" w:rsidRPr="00865FB3">
        <w:rPr>
          <w:rFonts w:ascii="Arial" w:hAnsi="Arial" w:cs="Arial"/>
          <w:sz w:val="22"/>
          <w:szCs w:val="22"/>
          <w:highlight w:val="yellow"/>
          <w:lang w:val="es-ES_tradnl"/>
        </w:rPr>
        <w:t>”) contra Wizink</w:t>
      </w:r>
      <w:r w:rsidR="00E561B5" w:rsidRPr="00865FB3">
        <w:rPr>
          <w:rFonts w:ascii="Arial" w:hAnsi="Arial" w:cs="Arial"/>
          <w:sz w:val="22"/>
          <w:szCs w:val="22"/>
          <w:highlight w:val="yellow"/>
          <w:lang w:val="es-ES_tradnl"/>
        </w:rPr>
        <w:t xml:space="preserve">, declarando la nulidad </w:t>
      </w:r>
      <w:r w:rsidR="00E561B5" w:rsidRPr="00865FB3">
        <w:rPr>
          <w:rFonts w:ascii="Arial" w:hAnsi="Arial" w:cs="Arial"/>
          <w:sz w:val="22"/>
          <w:szCs w:val="22"/>
          <w:highlight w:val="yellow"/>
        </w:rPr>
        <w:t xml:space="preserve">del contrato de tarjeta de crédito litigioso </w:t>
      </w:r>
      <w:r w:rsidR="00860862" w:rsidRPr="00865FB3">
        <w:rPr>
          <w:rFonts w:ascii="Arial" w:hAnsi="Arial" w:cs="Arial"/>
          <w:sz w:val="22"/>
          <w:szCs w:val="22"/>
          <w:highlight w:val="yellow"/>
        </w:rPr>
        <w:t>al establecer un</w:t>
      </w:r>
      <w:r w:rsidR="00377B6E" w:rsidRPr="00865FB3">
        <w:rPr>
          <w:rFonts w:ascii="Arial" w:hAnsi="Arial" w:cs="Arial"/>
          <w:sz w:val="22"/>
          <w:szCs w:val="22"/>
          <w:highlight w:val="yellow"/>
        </w:rPr>
        <w:t>os</w:t>
      </w:r>
      <w:r w:rsidR="00860862" w:rsidRPr="00865FB3">
        <w:rPr>
          <w:rFonts w:ascii="Arial" w:hAnsi="Arial" w:cs="Arial"/>
          <w:sz w:val="22"/>
          <w:szCs w:val="22"/>
          <w:highlight w:val="yellow"/>
        </w:rPr>
        <w:t xml:space="preserve"> intereses </w:t>
      </w:r>
      <w:r w:rsidR="00B43503" w:rsidRPr="00865FB3">
        <w:rPr>
          <w:rFonts w:ascii="Arial" w:hAnsi="Arial" w:cs="Arial"/>
          <w:sz w:val="22"/>
          <w:szCs w:val="22"/>
          <w:highlight w:val="yellow"/>
        </w:rPr>
        <w:t>remuneratorios</w:t>
      </w:r>
      <w:r w:rsidR="00860862" w:rsidRPr="00865FB3">
        <w:rPr>
          <w:rFonts w:ascii="Arial" w:hAnsi="Arial" w:cs="Arial"/>
          <w:sz w:val="22"/>
          <w:szCs w:val="22"/>
          <w:highlight w:val="yellow"/>
        </w:rPr>
        <w:t xml:space="preserve"> usurario</w:t>
      </w:r>
      <w:r w:rsidR="00B43503" w:rsidRPr="00865FB3">
        <w:rPr>
          <w:rFonts w:ascii="Arial" w:hAnsi="Arial" w:cs="Arial"/>
          <w:sz w:val="22"/>
          <w:szCs w:val="22"/>
          <w:highlight w:val="yellow"/>
        </w:rPr>
        <w:t>s</w:t>
      </w:r>
      <w:r w:rsidR="00860862" w:rsidRPr="00865FB3">
        <w:rPr>
          <w:rFonts w:ascii="Arial" w:hAnsi="Arial" w:cs="Arial"/>
          <w:sz w:val="22"/>
          <w:szCs w:val="22"/>
          <w:highlight w:val="yellow"/>
        </w:rPr>
        <w:t xml:space="preserve">, </w:t>
      </w:r>
      <w:r w:rsidR="00B43503" w:rsidRPr="00865FB3">
        <w:rPr>
          <w:rFonts w:ascii="Arial" w:hAnsi="Arial" w:cs="Arial"/>
          <w:sz w:val="22"/>
          <w:szCs w:val="22"/>
          <w:highlight w:val="yellow"/>
        </w:rPr>
        <w:t xml:space="preserve">condenando a Wizink a reliquidar la deuda, debiendo restituir la Parte </w:t>
      </w:r>
      <w:r w:rsidR="00AD61C7" w:rsidRPr="00865FB3">
        <w:rPr>
          <w:rFonts w:ascii="Arial" w:hAnsi="Arial" w:cs="Arial"/>
          <w:sz w:val="22"/>
          <w:szCs w:val="22"/>
          <w:highlight w:val="yellow"/>
        </w:rPr>
        <w:t>a</w:t>
      </w:r>
      <w:r w:rsidR="00B43503" w:rsidRPr="00865FB3">
        <w:rPr>
          <w:rFonts w:ascii="Arial" w:hAnsi="Arial" w:cs="Arial"/>
          <w:sz w:val="22"/>
          <w:szCs w:val="22"/>
          <w:highlight w:val="yellow"/>
        </w:rPr>
        <w:t>ctora  Wizink, únicamente el capital prestado menos todas las cantidades ya abonadas por todos los conceptos por la actora desde la suscripción de la tarjeta, que a fecha 20 de junio de 2021 suponían la cantidad de 356,09 euros</w:t>
      </w:r>
      <w:r w:rsidR="00273D19" w:rsidRPr="00865FB3">
        <w:rPr>
          <w:rFonts w:ascii="Arial" w:hAnsi="Arial" w:cs="Arial"/>
          <w:sz w:val="22"/>
          <w:szCs w:val="22"/>
          <w:highlight w:val="yellow"/>
        </w:rPr>
        <w:t>,</w:t>
      </w:r>
      <w:r w:rsidR="00B43503" w:rsidRPr="00865FB3">
        <w:rPr>
          <w:rFonts w:ascii="Arial" w:hAnsi="Arial" w:cs="Arial"/>
          <w:sz w:val="22"/>
          <w:szCs w:val="22"/>
          <w:highlight w:val="yellow"/>
        </w:rPr>
        <w:t xml:space="preserve"> </w:t>
      </w:r>
      <w:r w:rsidR="00E561B5" w:rsidRPr="00865FB3">
        <w:rPr>
          <w:rFonts w:ascii="Arial" w:hAnsi="Arial" w:cs="Arial"/>
          <w:sz w:val="22"/>
          <w:szCs w:val="22"/>
          <w:highlight w:val="yellow"/>
        </w:rPr>
        <w:t>y condenando a Wizink al pago de las costas causadas.</w:t>
      </w:r>
    </w:p>
    <w:p w14:paraId="60A4CCA1" w14:textId="60C41313" w:rsidR="005938EC" w:rsidRPr="00865FB3" w:rsidRDefault="005938EC" w:rsidP="00865FB3">
      <w:pPr>
        <w:spacing w:after="240" w:line="360" w:lineRule="auto"/>
        <w:rPr>
          <w:rFonts w:ascii="Arial" w:hAnsi="Arial" w:cs="Arial"/>
          <w:sz w:val="22"/>
          <w:szCs w:val="22"/>
        </w:rPr>
      </w:pPr>
      <w:r w:rsidRPr="00865FB3">
        <w:rPr>
          <w:rFonts w:ascii="Arial" w:hAnsi="Arial" w:cs="Arial"/>
          <w:b/>
          <w:sz w:val="22"/>
          <w:szCs w:val="22"/>
        </w:rPr>
        <w:t>2.</w:t>
      </w:r>
      <w:r w:rsidRPr="00865FB3">
        <w:rPr>
          <w:rFonts w:ascii="Arial" w:hAnsi="Arial" w:cs="Arial"/>
          <w:sz w:val="22"/>
          <w:szCs w:val="22"/>
        </w:rPr>
        <w:t xml:space="preserve"> </w:t>
      </w:r>
      <w:r w:rsidRPr="00865FB3">
        <w:rPr>
          <w:rFonts w:ascii="Arial" w:hAnsi="Arial" w:cs="Arial"/>
          <w:sz w:val="22"/>
          <w:szCs w:val="22"/>
          <w:lang w:eastAsia="ar-SA"/>
        </w:rPr>
        <w:t xml:space="preserve">Por medio del presente escrito y en la indicada representación, comparezco y formulo, </w:t>
      </w:r>
      <w:r w:rsidR="00AD02E8" w:rsidRPr="00865FB3">
        <w:rPr>
          <w:rFonts w:ascii="Arial" w:hAnsi="Arial" w:cs="Arial"/>
          <w:sz w:val="22"/>
          <w:szCs w:val="22"/>
          <w:lang w:eastAsia="ar-SA"/>
        </w:rPr>
        <w:t>en virtud de</w:t>
      </w:r>
      <w:r w:rsidR="00276DC3" w:rsidRPr="00865FB3">
        <w:rPr>
          <w:rFonts w:ascii="Arial" w:hAnsi="Arial" w:cs="Arial"/>
          <w:sz w:val="22"/>
          <w:szCs w:val="22"/>
          <w:lang w:eastAsia="ar-SA"/>
        </w:rPr>
        <w:t xml:space="preserve"> los</w:t>
      </w:r>
      <w:r w:rsidR="00AD02E8" w:rsidRPr="00865FB3">
        <w:rPr>
          <w:rFonts w:ascii="Arial" w:hAnsi="Arial" w:cs="Arial"/>
          <w:sz w:val="22"/>
          <w:szCs w:val="22"/>
          <w:lang w:eastAsia="ar-SA"/>
        </w:rPr>
        <w:t xml:space="preserve"> artículo</w:t>
      </w:r>
      <w:r w:rsidR="00276DC3" w:rsidRPr="00865FB3">
        <w:rPr>
          <w:rFonts w:ascii="Arial" w:hAnsi="Arial" w:cs="Arial"/>
          <w:sz w:val="22"/>
          <w:szCs w:val="22"/>
          <w:lang w:eastAsia="ar-SA"/>
        </w:rPr>
        <w:t>s</w:t>
      </w:r>
      <w:r w:rsidR="00AD02E8" w:rsidRPr="00865FB3">
        <w:rPr>
          <w:rFonts w:ascii="Arial" w:hAnsi="Arial" w:cs="Arial"/>
          <w:sz w:val="22"/>
          <w:szCs w:val="22"/>
          <w:lang w:eastAsia="ar-SA"/>
        </w:rPr>
        <w:t xml:space="preserve"> 458 </w:t>
      </w:r>
      <w:r w:rsidR="00276DC3" w:rsidRPr="00865FB3">
        <w:rPr>
          <w:rFonts w:ascii="Arial" w:hAnsi="Arial" w:cs="Arial"/>
          <w:sz w:val="22"/>
          <w:szCs w:val="22"/>
          <w:lang w:eastAsia="ar-SA"/>
        </w:rPr>
        <w:t xml:space="preserve">y siguientes </w:t>
      </w:r>
      <w:r w:rsidR="00AD02E8" w:rsidRPr="00865FB3">
        <w:rPr>
          <w:rFonts w:ascii="Arial" w:hAnsi="Arial" w:cs="Arial"/>
          <w:sz w:val="22"/>
          <w:szCs w:val="22"/>
          <w:lang w:eastAsia="ar-SA"/>
        </w:rPr>
        <w:t>de la Ley de Enjuiciamiento Civil (“</w:t>
      </w:r>
      <w:r w:rsidR="00AD02E8" w:rsidRPr="00865FB3">
        <w:rPr>
          <w:rFonts w:ascii="Arial" w:hAnsi="Arial" w:cs="Arial"/>
          <w:b/>
          <w:bCs/>
          <w:sz w:val="22"/>
          <w:szCs w:val="22"/>
          <w:lang w:eastAsia="ar-SA"/>
        </w:rPr>
        <w:t>LEC</w:t>
      </w:r>
      <w:r w:rsidR="00AD02E8" w:rsidRPr="00865FB3">
        <w:rPr>
          <w:rFonts w:ascii="Arial" w:hAnsi="Arial" w:cs="Arial"/>
          <w:sz w:val="22"/>
          <w:szCs w:val="22"/>
          <w:lang w:eastAsia="ar-SA"/>
        </w:rPr>
        <w:t xml:space="preserve">”) </w:t>
      </w:r>
      <w:r w:rsidR="00AB79AD" w:rsidRPr="00865FB3">
        <w:rPr>
          <w:rFonts w:ascii="Arial" w:hAnsi="Arial" w:cs="Arial"/>
          <w:sz w:val="22"/>
          <w:szCs w:val="22"/>
          <w:lang w:eastAsia="ar-SA"/>
        </w:rPr>
        <w:t xml:space="preserve">y </w:t>
      </w:r>
      <w:r w:rsidRPr="00865FB3">
        <w:rPr>
          <w:rFonts w:ascii="Arial" w:hAnsi="Arial" w:cs="Arial"/>
          <w:sz w:val="22"/>
          <w:szCs w:val="22"/>
          <w:lang w:eastAsia="ar-SA"/>
        </w:rPr>
        <w:t>dentro del plazo conferido</w:t>
      </w:r>
      <w:r w:rsidR="00276DC3" w:rsidRPr="00865FB3">
        <w:rPr>
          <w:rFonts w:ascii="Arial" w:hAnsi="Arial" w:cs="Arial"/>
          <w:sz w:val="22"/>
          <w:szCs w:val="22"/>
          <w:lang w:eastAsia="ar-SA"/>
        </w:rPr>
        <w:t xml:space="preserve"> al efecto</w:t>
      </w:r>
      <w:r w:rsidRPr="00865FB3">
        <w:rPr>
          <w:rFonts w:ascii="Arial" w:hAnsi="Arial" w:cs="Arial"/>
          <w:sz w:val="22"/>
          <w:szCs w:val="22"/>
          <w:lang w:eastAsia="ar-SA"/>
        </w:rPr>
        <w:t xml:space="preserve">, </w:t>
      </w:r>
      <w:r w:rsidR="00716925" w:rsidRPr="00865FB3">
        <w:rPr>
          <w:rFonts w:ascii="Arial" w:hAnsi="Arial" w:cs="Arial"/>
          <w:b/>
          <w:bCs/>
          <w:sz w:val="22"/>
          <w:szCs w:val="22"/>
          <w:u w:val="single"/>
          <w:lang w:eastAsia="ar-SA"/>
        </w:rPr>
        <w:t>RECURSO DE APELACIÓN</w:t>
      </w:r>
      <w:r w:rsidR="00D765F1" w:rsidRPr="00865FB3">
        <w:rPr>
          <w:rFonts w:ascii="Arial" w:hAnsi="Arial" w:cs="Arial"/>
          <w:b/>
          <w:bCs/>
          <w:sz w:val="22"/>
          <w:szCs w:val="22"/>
          <w:u w:val="single"/>
          <w:lang w:eastAsia="ar-SA"/>
        </w:rPr>
        <w:t xml:space="preserve"> </w:t>
      </w:r>
      <w:r w:rsidR="00F06EDC" w:rsidRPr="00865FB3">
        <w:rPr>
          <w:rFonts w:ascii="Arial" w:hAnsi="Arial" w:cs="Arial"/>
          <w:b/>
          <w:bCs/>
          <w:sz w:val="22"/>
          <w:szCs w:val="22"/>
          <w:u w:val="single"/>
          <w:lang w:eastAsia="ar-SA"/>
        </w:rPr>
        <w:t>CONTRA</w:t>
      </w:r>
      <w:r w:rsidR="00866232" w:rsidRPr="00865FB3">
        <w:rPr>
          <w:rFonts w:ascii="Arial" w:hAnsi="Arial" w:cs="Arial"/>
          <w:b/>
          <w:bCs/>
          <w:sz w:val="22"/>
          <w:szCs w:val="22"/>
          <w:u w:val="single"/>
          <w:lang w:eastAsia="ar-SA"/>
        </w:rPr>
        <w:t xml:space="preserve"> LA SENTENCIA RECURRIDA</w:t>
      </w:r>
      <w:r w:rsidRPr="00865FB3">
        <w:rPr>
          <w:rFonts w:ascii="Arial" w:hAnsi="Arial" w:cs="Arial"/>
          <w:sz w:val="22"/>
          <w:szCs w:val="22"/>
          <w:lang w:eastAsia="ar-SA"/>
        </w:rPr>
        <w:t xml:space="preserve">, </w:t>
      </w:r>
      <w:r w:rsidR="00CA79CD" w:rsidRPr="00865FB3">
        <w:rPr>
          <w:rFonts w:ascii="Arial" w:hAnsi="Arial" w:cs="Arial"/>
          <w:sz w:val="22"/>
          <w:szCs w:val="22"/>
          <w:lang w:eastAsia="ar-SA"/>
        </w:rPr>
        <w:t xml:space="preserve">con base en </w:t>
      </w:r>
      <w:r w:rsidR="00807A19" w:rsidRPr="00865FB3">
        <w:rPr>
          <w:rFonts w:ascii="Arial" w:hAnsi="Arial" w:cs="Arial"/>
          <w:sz w:val="22"/>
          <w:szCs w:val="22"/>
          <w:lang w:eastAsia="ar-SA"/>
        </w:rPr>
        <w:t xml:space="preserve">los </w:t>
      </w:r>
      <w:r w:rsidR="00CA79CD" w:rsidRPr="00865FB3">
        <w:rPr>
          <w:rFonts w:ascii="Arial" w:hAnsi="Arial" w:cs="Arial"/>
          <w:sz w:val="22"/>
          <w:szCs w:val="22"/>
          <w:lang w:eastAsia="ar-SA"/>
        </w:rPr>
        <w:t>siguiente</w:t>
      </w:r>
      <w:r w:rsidR="00BC4158" w:rsidRPr="00865FB3">
        <w:rPr>
          <w:rFonts w:ascii="Arial" w:hAnsi="Arial" w:cs="Arial"/>
          <w:sz w:val="22"/>
          <w:szCs w:val="22"/>
          <w:lang w:eastAsia="ar-SA"/>
        </w:rPr>
        <w:t>s</w:t>
      </w:r>
    </w:p>
    <w:p w14:paraId="085DB841" w14:textId="5D1C9A57" w:rsidR="00E50CF1" w:rsidRPr="00865FB3" w:rsidRDefault="00807A19" w:rsidP="00865FB3">
      <w:pPr>
        <w:widowControl w:val="0"/>
        <w:tabs>
          <w:tab w:val="left" w:pos="567"/>
          <w:tab w:val="left" w:pos="1134"/>
        </w:tabs>
        <w:suppressAutoHyphens/>
        <w:spacing w:after="240" w:line="360" w:lineRule="auto"/>
        <w:jc w:val="center"/>
        <w:rPr>
          <w:rFonts w:ascii="Arial" w:hAnsi="Arial" w:cs="Arial"/>
          <w:b/>
          <w:sz w:val="22"/>
          <w:szCs w:val="22"/>
          <w:u w:val="single"/>
          <w:lang w:eastAsia="ar-SA"/>
        </w:rPr>
      </w:pPr>
      <w:r w:rsidRPr="00865FB3">
        <w:rPr>
          <w:rFonts w:ascii="Arial" w:hAnsi="Arial" w:cs="Arial"/>
          <w:b/>
          <w:sz w:val="22"/>
          <w:szCs w:val="22"/>
          <w:u w:val="single"/>
          <w:lang w:eastAsia="ar-SA"/>
        </w:rPr>
        <w:t>MOTIVOS</w:t>
      </w:r>
    </w:p>
    <w:p w14:paraId="5B5A4ACA" w14:textId="672CF35B" w:rsidR="008D4D5A" w:rsidRPr="00865FB3" w:rsidRDefault="008D4D5A" w:rsidP="00865FB3">
      <w:pPr>
        <w:pStyle w:val="Prrafodelista"/>
        <w:widowControl w:val="0"/>
        <w:spacing w:after="240" w:line="360" w:lineRule="auto"/>
        <w:ind w:left="0"/>
        <w:rPr>
          <w:rFonts w:ascii="Arial" w:eastAsiaTheme="majorEastAsia" w:hAnsi="Arial" w:cs="Arial"/>
          <w:b/>
          <w:bCs/>
          <w:caps/>
          <w:sz w:val="22"/>
          <w:szCs w:val="22"/>
          <w:lang w:val="es-ES_tradnl"/>
        </w:rPr>
      </w:pPr>
      <w:r w:rsidRPr="00865FB3">
        <w:rPr>
          <w:rFonts w:ascii="Arial" w:eastAsiaTheme="majorEastAsia" w:hAnsi="Arial" w:cs="Arial"/>
          <w:b/>
          <w:bCs/>
          <w:caps/>
          <w:sz w:val="22"/>
          <w:szCs w:val="22"/>
          <w:u w:val="single"/>
          <w:lang w:val="es-ES_tradnl"/>
        </w:rPr>
        <w:t>pREVI</w:t>
      </w:r>
      <w:r w:rsidR="00807A19" w:rsidRPr="00865FB3">
        <w:rPr>
          <w:rFonts w:ascii="Arial" w:eastAsiaTheme="majorEastAsia" w:hAnsi="Arial" w:cs="Arial"/>
          <w:b/>
          <w:bCs/>
          <w:caps/>
          <w:sz w:val="22"/>
          <w:szCs w:val="22"/>
          <w:u w:val="single"/>
          <w:lang w:val="es-ES_tradnl"/>
        </w:rPr>
        <w:t>O</w:t>
      </w:r>
      <w:r w:rsidRPr="00865FB3">
        <w:rPr>
          <w:rFonts w:ascii="Arial" w:eastAsiaTheme="majorEastAsia" w:hAnsi="Arial" w:cs="Arial"/>
          <w:b/>
          <w:bCs/>
          <w:caps/>
          <w:sz w:val="22"/>
          <w:szCs w:val="22"/>
          <w:lang w:val="es-ES_tradnl"/>
        </w:rPr>
        <w:t>.</w:t>
      </w:r>
      <w:r w:rsidR="00A24B2C">
        <w:rPr>
          <w:rFonts w:ascii="Arial" w:eastAsiaTheme="majorEastAsia" w:hAnsi="Arial" w:cs="Arial"/>
          <w:b/>
          <w:bCs/>
          <w:caps/>
          <w:sz w:val="22"/>
          <w:szCs w:val="22"/>
          <w:lang w:val="es-ES_tradnl"/>
        </w:rPr>
        <w:t xml:space="preserve"> –</w:t>
      </w:r>
      <w:r w:rsidRPr="00865FB3">
        <w:rPr>
          <w:rFonts w:ascii="Arial" w:eastAsiaTheme="majorEastAsia" w:hAnsi="Arial" w:cs="Arial"/>
          <w:b/>
          <w:bCs/>
          <w:caps/>
          <w:sz w:val="22"/>
          <w:szCs w:val="22"/>
          <w:lang w:val="es-ES_tradnl"/>
        </w:rPr>
        <w:t xml:space="preserve"> SOBRE LA SENTENCIA </w:t>
      </w:r>
      <w:r w:rsidR="00807A19" w:rsidRPr="00865FB3">
        <w:rPr>
          <w:rFonts w:ascii="Arial" w:eastAsiaTheme="majorEastAsia" w:hAnsi="Arial" w:cs="Arial"/>
          <w:b/>
          <w:bCs/>
          <w:caps/>
          <w:sz w:val="22"/>
          <w:szCs w:val="22"/>
          <w:lang w:val="es-ES_tradnl"/>
        </w:rPr>
        <w:t>recurrIDA</w:t>
      </w:r>
    </w:p>
    <w:p w14:paraId="1F8A129A" w14:textId="22C9E21B" w:rsidR="008D4D5A" w:rsidRPr="00865FB3" w:rsidRDefault="00D53B8B" w:rsidP="00865FB3">
      <w:pPr>
        <w:pStyle w:val="Prrafodelista"/>
        <w:widowControl w:val="0"/>
        <w:numPr>
          <w:ilvl w:val="0"/>
          <w:numId w:val="6"/>
        </w:numPr>
        <w:spacing w:after="240" w:line="360" w:lineRule="auto"/>
        <w:ind w:left="0" w:hanging="851"/>
        <w:rPr>
          <w:rFonts w:ascii="Arial" w:eastAsiaTheme="majorEastAsia" w:hAnsi="Arial" w:cs="Arial"/>
          <w:b/>
          <w:bCs/>
          <w:caps/>
          <w:sz w:val="22"/>
          <w:szCs w:val="22"/>
          <w:u w:val="single"/>
          <w:lang w:val="es-ES_tradnl"/>
        </w:rPr>
      </w:pPr>
      <w:r w:rsidRPr="00865FB3">
        <w:rPr>
          <w:rFonts w:ascii="Arial" w:hAnsi="Arial" w:cs="Arial"/>
          <w:sz w:val="22"/>
          <w:szCs w:val="22"/>
          <w:lang w:val="es-ES_tradnl" w:eastAsia="ar-SA"/>
        </w:rPr>
        <w:t>E</w:t>
      </w:r>
      <w:r w:rsidR="00130899" w:rsidRPr="00865FB3">
        <w:rPr>
          <w:rFonts w:ascii="Arial" w:hAnsi="Arial" w:cs="Arial"/>
          <w:sz w:val="22"/>
          <w:szCs w:val="22"/>
          <w:lang w:val="es-ES_tradnl" w:eastAsia="ar-SA"/>
        </w:rPr>
        <w:t xml:space="preserve">sta parte </w:t>
      </w:r>
      <w:r w:rsidR="00594CAF" w:rsidRPr="00865FB3">
        <w:rPr>
          <w:rFonts w:ascii="Arial" w:hAnsi="Arial" w:cs="Arial"/>
          <w:sz w:val="22"/>
          <w:szCs w:val="22"/>
          <w:lang w:val="es-ES_tradnl" w:eastAsia="ar-SA"/>
        </w:rPr>
        <w:t>detallará</w:t>
      </w:r>
      <w:r w:rsidR="00C831EE" w:rsidRPr="00865FB3">
        <w:rPr>
          <w:rFonts w:ascii="Arial" w:hAnsi="Arial" w:cs="Arial"/>
          <w:sz w:val="22"/>
          <w:szCs w:val="22"/>
          <w:lang w:val="es-ES_tradnl" w:eastAsia="ar-SA"/>
        </w:rPr>
        <w:t xml:space="preserve"> </w:t>
      </w:r>
      <w:r w:rsidRPr="00865FB3">
        <w:rPr>
          <w:rFonts w:ascii="Arial" w:hAnsi="Arial" w:cs="Arial"/>
          <w:sz w:val="22"/>
          <w:szCs w:val="22"/>
          <w:lang w:val="es-ES_tradnl" w:eastAsia="ar-SA"/>
        </w:rPr>
        <w:t xml:space="preserve">a continuación </w:t>
      </w:r>
      <w:r w:rsidR="00154E78" w:rsidRPr="00865FB3">
        <w:rPr>
          <w:rFonts w:ascii="Arial" w:hAnsi="Arial" w:cs="Arial"/>
          <w:sz w:val="22"/>
          <w:szCs w:val="22"/>
          <w:lang w:val="es-ES_tradnl" w:eastAsia="ar-SA"/>
        </w:rPr>
        <w:t xml:space="preserve">el motivo en el que basa el presente recurso de apelación, que no es otro que el pronunciamiento de la Sentencia en lo relativo a la fijación del </w:t>
      </w:r>
      <w:proofErr w:type="spellStart"/>
      <w:r w:rsidR="00154E78" w:rsidRPr="00865FB3">
        <w:rPr>
          <w:rFonts w:ascii="Arial" w:hAnsi="Arial" w:cs="Arial"/>
          <w:i/>
          <w:iCs/>
          <w:sz w:val="22"/>
          <w:szCs w:val="22"/>
          <w:lang w:val="es-ES_tradnl" w:eastAsia="ar-SA"/>
        </w:rPr>
        <w:t>dies</w:t>
      </w:r>
      <w:proofErr w:type="spellEnd"/>
      <w:r w:rsidR="00154E78" w:rsidRPr="00865FB3">
        <w:rPr>
          <w:rFonts w:ascii="Arial" w:hAnsi="Arial" w:cs="Arial"/>
          <w:i/>
          <w:iCs/>
          <w:sz w:val="22"/>
          <w:szCs w:val="22"/>
          <w:lang w:val="es-ES_tradnl" w:eastAsia="ar-SA"/>
        </w:rPr>
        <w:t xml:space="preserve"> a quo</w:t>
      </w:r>
      <w:r w:rsidR="00594CAF" w:rsidRPr="00865FB3">
        <w:rPr>
          <w:rFonts w:ascii="Arial" w:hAnsi="Arial" w:cs="Arial"/>
          <w:i/>
          <w:iCs/>
          <w:sz w:val="22"/>
          <w:szCs w:val="22"/>
          <w:lang w:val="es-ES_tradnl" w:eastAsia="ar-SA"/>
        </w:rPr>
        <w:t xml:space="preserve"> </w:t>
      </w:r>
      <w:r w:rsidR="00594CAF" w:rsidRPr="00865FB3">
        <w:rPr>
          <w:rFonts w:ascii="Arial" w:hAnsi="Arial" w:cs="Arial"/>
          <w:sz w:val="22"/>
          <w:szCs w:val="22"/>
          <w:lang w:val="es-ES_tradnl" w:eastAsia="ar-SA"/>
        </w:rPr>
        <w:t>de la acción restitutoria</w:t>
      </w:r>
      <w:r w:rsidR="00154E78" w:rsidRPr="00865FB3">
        <w:rPr>
          <w:rFonts w:ascii="Arial" w:hAnsi="Arial" w:cs="Arial"/>
          <w:sz w:val="22"/>
          <w:szCs w:val="22"/>
          <w:lang w:val="es-ES_tradnl" w:eastAsia="ar-SA"/>
        </w:rPr>
        <w:t>.</w:t>
      </w:r>
    </w:p>
    <w:p w14:paraId="79F087EB" w14:textId="3CCFFEC2" w:rsidR="00FE1119" w:rsidRPr="00865FB3" w:rsidRDefault="00D53B8B" w:rsidP="00865FB3">
      <w:pPr>
        <w:pStyle w:val="Prrafodelista"/>
        <w:widowControl w:val="0"/>
        <w:numPr>
          <w:ilvl w:val="0"/>
          <w:numId w:val="6"/>
        </w:numPr>
        <w:spacing w:after="240" w:line="360" w:lineRule="auto"/>
        <w:ind w:left="0" w:hanging="851"/>
        <w:rPr>
          <w:rFonts w:ascii="Arial" w:eastAsiaTheme="majorEastAsia" w:hAnsi="Arial" w:cs="Arial"/>
          <w:b/>
          <w:bCs/>
          <w:caps/>
          <w:sz w:val="22"/>
          <w:szCs w:val="22"/>
          <w:highlight w:val="yellow"/>
          <w:u w:val="single"/>
          <w:lang w:val="es-ES_tradnl"/>
        </w:rPr>
      </w:pPr>
      <w:r w:rsidRPr="00865FB3">
        <w:rPr>
          <w:rFonts w:ascii="Arial" w:hAnsi="Arial" w:cs="Arial"/>
          <w:sz w:val="22"/>
          <w:szCs w:val="22"/>
          <w:lang w:val="es-ES_tradnl" w:eastAsia="ar-SA"/>
        </w:rPr>
        <w:t>En primer lugar,</w:t>
      </w:r>
      <w:r w:rsidR="00E87BE7" w:rsidRPr="00865FB3">
        <w:rPr>
          <w:rFonts w:ascii="Arial" w:hAnsi="Arial" w:cs="Arial"/>
          <w:sz w:val="22"/>
          <w:szCs w:val="22"/>
          <w:lang w:val="es-ES_tradnl" w:eastAsia="ar-SA"/>
        </w:rPr>
        <w:t xml:space="preserve"> </w:t>
      </w:r>
      <w:r w:rsidR="00DB6D86" w:rsidRPr="00865FB3">
        <w:rPr>
          <w:rFonts w:ascii="Arial" w:hAnsi="Arial" w:cs="Arial"/>
          <w:sz w:val="22"/>
          <w:szCs w:val="22"/>
          <w:lang w:val="es-ES_tradnl" w:eastAsia="ar-SA"/>
        </w:rPr>
        <w:t xml:space="preserve">la Sentencia estima </w:t>
      </w:r>
      <w:r w:rsidR="00A560DA" w:rsidRPr="00865FB3">
        <w:rPr>
          <w:rFonts w:ascii="Arial" w:hAnsi="Arial" w:cs="Arial"/>
          <w:sz w:val="22"/>
          <w:szCs w:val="22"/>
          <w:lang w:val="es-ES_tradnl" w:eastAsia="ar-SA"/>
        </w:rPr>
        <w:t xml:space="preserve">que el contrato de Tarjeta suscrito entre la parte actora </w:t>
      </w:r>
      <w:r w:rsidR="00E2089E">
        <w:rPr>
          <w:rFonts w:ascii="Arial" w:hAnsi="Arial" w:cs="Arial"/>
          <w:sz w:val="22"/>
          <w:szCs w:val="22"/>
          <w:highlight w:val="yellow"/>
          <w:lang w:val="es-ES_tradnl" w:eastAsia="ar-SA"/>
        </w:rPr>
        <w:fldChar w:fldCharType="begin"/>
      </w:r>
      <w:r w:rsidR="00E2089E">
        <w:rPr>
          <w:rFonts w:ascii="Arial" w:hAnsi="Arial" w:cs="Arial"/>
          <w:sz w:val="22"/>
          <w:szCs w:val="22"/>
          <w:highlight w:val="yellow"/>
          <w:lang w:val="es-ES_tradnl" w:eastAsia="ar-SA"/>
        </w:rPr>
        <w:instrText>persovalores_personalizable1375</w:instrText>
      </w:r>
      <w:r w:rsidR="00E2089E">
        <w:rPr>
          <w:rFonts w:ascii="Arial" w:hAnsi="Arial" w:cs="Arial"/>
          <w:sz w:val="22"/>
          <w:szCs w:val="22"/>
          <w:highlight w:val="yellow"/>
          <w:lang w:val="es-ES_tradnl" w:eastAsia="ar-SA"/>
        </w:rPr>
        <w:fldChar w:fldCharType="separate"/>
      </w:r>
      <w:r w:rsidR="00E2089E">
        <w:rPr>
          <w:rFonts w:ascii="Arial" w:hAnsi="Arial" w:cs="Arial"/>
          <w:noProof/>
          <w:sz w:val="22"/>
          <w:szCs w:val="22"/>
          <w:highlight w:val="yellow"/>
          <w:lang w:val="es-ES_tradnl" w:eastAsia="ar-SA"/>
        </w:rPr>
        <w:t>«RECURSOS_APELACION_Fecha_contrato»</w:t>
      </w:r>
      <w:r w:rsidR="00E2089E">
        <w:rPr>
          <w:rFonts w:ascii="Arial" w:hAnsi="Arial" w:cs="Arial"/>
          <w:sz w:val="22"/>
          <w:szCs w:val="22"/>
          <w:highlight w:val="yellow"/>
          <w:lang w:val="es-ES_tradnl" w:eastAsia="ar-SA"/>
        </w:rPr>
        <w:fldChar w:fldCharType="end"/>
      </w:r>
      <w:r w:rsidR="00E2089E">
        <w:rPr>
          <w:rFonts w:ascii="Arial" w:hAnsi="Arial" w:cs="Arial"/>
          <w:sz w:val="22"/>
          <w:szCs w:val="22"/>
          <w:lang w:val="es-ES_tradnl" w:eastAsia="ar-SA"/>
        </w:rPr>
        <w:t xml:space="preserve"> </w:t>
      </w:r>
      <w:r w:rsidR="00252581" w:rsidRPr="00865FB3">
        <w:rPr>
          <w:rFonts w:ascii="Arial" w:hAnsi="Arial" w:cs="Arial"/>
          <w:sz w:val="22"/>
          <w:szCs w:val="22"/>
          <w:lang w:val="es-ES_tradnl" w:eastAsia="ar-SA"/>
        </w:rPr>
        <w:t>(la “</w:t>
      </w:r>
      <w:r w:rsidR="00252581" w:rsidRPr="00865FB3">
        <w:rPr>
          <w:rFonts w:ascii="Arial" w:hAnsi="Arial" w:cs="Arial"/>
          <w:b/>
          <w:bCs/>
          <w:sz w:val="22"/>
          <w:szCs w:val="22"/>
          <w:lang w:val="es-ES_tradnl" w:eastAsia="ar-SA"/>
        </w:rPr>
        <w:t>Tarjeta</w:t>
      </w:r>
      <w:r w:rsidR="00252581" w:rsidRPr="00865FB3">
        <w:rPr>
          <w:rFonts w:ascii="Arial" w:hAnsi="Arial" w:cs="Arial"/>
          <w:sz w:val="22"/>
          <w:szCs w:val="22"/>
          <w:lang w:val="es-ES_tradnl" w:eastAsia="ar-SA"/>
        </w:rPr>
        <w:t xml:space="preserve">”) </w:t>
      </w:r>
      <w:r w:rsidR="00224756" w:rsidRPr="00865FB3">
        <w:rPr>
          <w:rFonts w:ascii="Arial" w:hAnsi="Arial" w:cs="Arial"/>
          <w:sz w:val="22"/>
          <w:szCs w:val="22"/>
          <w:lang w:val="es-ES_tradnl" w:eastAsia="ar-SA"/>
        </w:rPr>
        <w:t>es usurario en lo relativo al interés remuneratorio</w:t>
      </w:r>
      <w:r w:rsidR="0027094E" w:rsidRPr="00865FB3">
        <w:rPr>
          <w:rFonts w:ascii="Arial" w:hAnsi="Arial" w:cs="Arial"/>
          <w:sz w:val="22"/>
          <w:szCs w:val="22"/>
          <w:lang w:val="es-ES_tradnl" w:eastAsia="ar-SA"/>
        </w:rPr>
        <w:t xml:space="preserve"> conforme a la</w:t>
      </w:r>
      <w:r w:rsidR="00B06B5F" w:rsidRPr="00865FB3">
        <w:rPr>
          <w:rFonts w:ascii="Arial" w:hAnsi="Arial" w:cs="Arial"/>
          <w:sz w:val="22"/>
          <w:szCs w:val="22"/>
          <w:lang w:val="es-ES_tradnl" w:eastAsia="ar-SA"/>
        </w:rPr>
        <w:t xml:space="preserve"> Ley de Represión de la Usura (“</w:t>
      </w:r>
      <w:r w:rsidR="00B06B5F" w:rsidRPr="00865FB3">
        <w:rPr>
          <w:rFonts w:ascii="Arial" w:hAnsi="Arial" w:cs="Arial"/>
          <w:b/>
          <w:sz w:val="22"/>
          <w:szCs w:val="22"/>
          <w:lang w:val="es-ES_tradnl" w:eastAsia="ar-SA"/>
        </w:rPr>
        <w:t>LRU</w:t>
      </w:r>
      <w:r w:rsidR="00B06B5F" w:rsidRPr="00865FB3">
        <w:rPr>
          <w:rFonts w:ascii="Arial" w:hAnsi="Arial" w:cs="Arial"/>
          <w:sz w:val="22"/>
          <w:szCs w:val="22"/>
          <w:lang w:val="es-ES_tradnl" w:eastAsia="ar-SA"/>
        </w:rPr>
        <w:t>”)</w:t>
      </w:r>
      <w:r w:rsidR="00252581" w:rsidRPr="00865FB3">
        <w:rPr>
          <w:rFonts w:ascii="Arial" w:hAnsi="Arial" w:cs="Arial"/>
          <w:sz w:val="22"/>
          <w:szCs w:val="22"/>
          <w:lang w:val="es-ES_tradnl" w:eastAsia="ar-SA"/>
        </w:rPr>
        <w:t>,</w:t>
      </w:r>
      <w:r w:rsidR="00224756" w:rsidRPr="00865FB3">
        <w:rPr>
          <w:rFonts w:ascii="Arial" w:hAnsi="Arial" w:cs="Arial"/>
          <w:sz w:val="22"/>
          <w:szCs w:val="22"/>
          <w:lang w:val="es-ES_tradnl" w:eastAsia="ar-SA"/>
        </w:rPr>
        <w:t xml:space="preserve"> así como apunta (de manera acertada) </w:t>
      </w:r>
      <w:r w:rsidR="00DB6D86" w:rsidRPr="00865FB3">
        <w:rPr>
          <w:rFonts w:ascii="Arial" w:hAnsi="Arial" w:cs="Arial"/>
          <w:sz w:val="22"/>
          <w:szCs w:val="22"/>
          <w:lang w:val="es-ES_tradnl" w:eastAsia="ar-SA"/>
        </w:rPr>
        <w:t xml:space="preserve">que </w:t>
      </w:r>
      <w:bookmarkStart w:id="0" w:name="_Hlk161936696"/>
      <w:r w:rsidR="00DB6D86" w:rsidRPr="00865FB3">
        <w:rPr>
          <w:rFonts w:ascii="Arial" w:hAnsi="Arial" w:cs="Arial"/>
          <w:sz w:val="22"/>
          <w:szCs w:val="22"/>
          <w:lang w:val="es-ES_tradnl" w:eastAsia="ar-SA"/>
        </w:rPr>
        <w:t xml:space="preserve">la acción restitutoria </w:t>
      </w:r>
      <w:r w:rsidR="003E1B04" w:rsidRPr="00865FB3">
        <w:rPr>
          <w:rFonts w:ascii="Arial" w:hAnsi="Arial" w:cs="Arial"/>
          <w:sz w:val="22"/>
          <w:szCs w:val="22"/>
          <w:lang w:val="es-ES_tradnl" w:eastAsia="ar-SA"/>
        </w:rPr>
        <w:t xml:space="preserve">derivada de la </w:t>
      </w:r>
      <w:r w:rsidR="00542E4B" w:rsidRPr="00865FB3">
        <w:rPr>
          <w:rFonts w:ascii="Arial" w:hAnsi="Arial" w:cs="Arial"/>
          <w:sz w:val="22"/>
          <w:szCs w:val="22"/>
          <w:lang w:val="es-ES_tradnl" w:eastAsia="ar-SA"/>
        </w:rPr>
        <w:t xml:space="preserve">declaración </w:t>
      </w:r>
      <w:r w:rsidR="003E1B04" w:rsidRPr="00865FB3">
        <w:rPr>
          <w:rFonts w:ascii="Arial" w:hAnsi="Arial" w:cs="Arial"/>
          <w:sz w:val="22"/>
          <w:szCs w:val="22"/>
          <w:lang w:val="es-ES_tradnl" w:eastAsia="ar-SA"/>
        </w:rPr>
        <w:t xml:space="preserve">de </w:t>
      </w:r>
      <w:r w:rsidR="00542E4B" w:rsidRPr="00865FB3">
        <w:rPr>
          <w:rFonts w:ascii="Arial" w:hAnsi="Arial" w:cs="Arial"/>
          <w:sz w:val="22"/>
          <w:szCs w:val="22"/>
          <w:lang w:val="es-ES_tradnl" w:eastAsia="ar-SA"/>
        </w:rPr>
        <w:t xml:space="preserve">nulidad </w:t>
      </w:r>
      <w:r w:rsidR="003E1B04" w:rsidRPr="00865FB3">
        <w:rPr>
          <w:rFonts w:ascii="Arial" w:hAnsi="Arial" w:cs="Arial"/>
          <w:sz w:val="22"/>
          <w:szCs w:val="22"/>
          <w:lang w:val="es-ES_tradnl" w:eastAsia="ar-SA"/>
        </w:rPr>
        <w:t xml:space="preserve">por usura </w:t>
      </w:r>
      <w:r w:rsidR="00DB6D86" w:rsidRPr="00865FB3">
        <w:rPr>
          <w:rFonts w:ascii="Arial" w:hAnsi="Arial" w:cs="Arial"/>
          <w:sz w:val="22"/>
          <w:szCs w:val="22"/>
          <w:lang w:val="es-ES_tradnl" w:eastAsia="ar-SA"/>
        </w:rPr>
        <w:t xml:space="preserve">sí </w:t>
      </w:r>
      <w:r w:rsidR="00645062" w:rsidRPr="00865FB3">
        <w:rPr>
          <w:rFonts w:ascii="Arial" w:hAnsi="Arial" w:cs="Arial"/>
          <w:sz w:val="22"/>
          <w:szCs w:val="22"/>
          <w:lang w:val="es-ES_tradnl" w:eastAsia="ar-SA"/>
        </w:rPr>
        <w:t>está sujeta a plazo de prescripción</w:t>
      </w:r>
      <w:r w:rsidR="003E1B04" w:rsidRPr="00865FB3">
        <w:rPr>
          <w:rFonts w:ascii="Arial" w:hAnsi="Arial" w:cs="Arial"/>
          <w:sz w:val="22"/>
          <w:szCs w:val="22"/>
          <w:lang w:val="es-ES_tradnl" w:eastAsia="ar-SA"/>
        </w:rPr>
        <w:t xml:space="preserve">. Considera sin embargo, </w:t>
      </w:r>
      <w:r w:rsidR="00DB6D86" w:rsidRPr="00865FB3">
        <w:rPr>
          <w:rFonts w:ascii="Arial" w:hAnsi="Arial" w:cs="Arial"/>
          <w:sz w:val="22"/>
          <w:szCs w:val="22"/>
          <w:lang w:val="es-ES_tradnl" w:eastAsia="ar-SA"/>
        </w:rPr>
        <w:t xml:space="preserve">que </w:t>
      </w:r>
      <w:r w:rsidR="00FE1119" w:rsidRPr="00865FB3">
        <w:rPr>
          <w:rFonts w:ascii="Arial" w:hAnsi="Arial" w:cs="Arial"/>
          <w:sz w:val="22"/>
          <w:szCs w:val="22"/>
        </w:rPr>
        <w:t>“</w:t>
      </w:r>
      <w:r w:rsidR="00FE1119" w:rsidRPr="00865FB3">
        <w:rPr>
          <w:rFonts w:ascii="Arial" w:hAnsi="Arial" w:cs="Arial"/>
          <w:i/>
          <w:iCs/>
          <w:sz w:val="22"/>
          <w:szCs w:val="22"/>
          <w:highlight w:val="yellow"/>
        </w:rPr>
        <w:t xml:space="preserve">aquí no cabe aplicar dicho </w:t>
      </w:r>
      <w:r w:rsidR="00FE1119" w:rsidRPr="00865FB3">
        <w:rPr>
          <w:rFonts w:ascii="Arial" w:hAnsi="Arial" w:cs="Arial"/>
          <w:i/>
          <w:iCs/>
          <w:sz w:val="22"/>
          <w:szCs w:val="22"/>
          <w:highlight w:val="yellow"/>
        </w:rPr>
        <w:lastRenderedPageBreak/>
        <w:t>límite temporal, pues los efectos de la declaración de nulidad por usura se aplican automáticamente por disposición legal, sin necesidad de ejercitar acción alguna de reclamación de reintegro de cantidades</w:t>
      </w:r>
      <w:r w:rsidR="00FE1119" w:rsidRPr="00865FB3">
        <w:rPr>
          <w:rFonts w:ascii="Arial" w:hAnsi="Arial" w:cs="Arial"/>
          <w:sz w:val="22"/>
          <w:szCs w:val="22"/>
        </w:rPr>
        <w:t>”</w:t>
      </w:r>
      <w:r w:rsidR="001347D4" w:rsidRPr="00865FB3">
        <w:rPr>
          <w:rFonts w:ascii="Arial" w:hAnsi="Arial" w:cs="Arial"/>
          <w:sz w:val="22"/>
          <w:szCs w:val="22"/>
        </w:rPr>
        <w:t xml:space="preserve"> Subsidiariamente indica la Sentencia que</w:t>
      </w:r>
      <w:r w:rsidR="00BF258B" w:rsidRPr="00865FB3">
        <w:rPr>
          <w:rFonts w:ascii="Arial" w:hAnsi="Arial" w:cs="Arial"/>
          <w:sz w:val="22"/>
          <w:szCs w:val="22"/>
        </w:rPr>
        <w:t>,</w:t>
      </w:r>
      <w:r w:rsidR="001347D4" w:rsidRPr="00865FB3">
        <w:rPr>
          <w:rFonts w:ascii="Arial" w:hAnsi="Arial" w:cs="Arial"/>
          <w:sz w:val="22"/>
          <w:szCs w:val="22"/>
        </w:rPr>
        <w:t xml:space="preserve"> </w:t>
      </w:r>
      <w:r w:rsidR="00BF258B" w:rsidRPr="00865FB3">
        <w:rPr>
          <w:rFonts w:ascii="Arial" w:hAnsi="Arial" w:cs="Arial"/>
          <w:i/>
          <w:iCs/>
          <w:sz w:val="22"/>
          <w:szCs w:val="22"/>
        </w:rPr>
        <w:t>“</w:t>
      </w:r>
      <w:r w:rsidR="00BF258B" w:rsidRPr="00865FB3">
        <w:rPr>
          <w:rFonts w:ascii="Arial" w:hAnsi="Arial" w:cs="Arial"/>
          <w:i/>
          <w:iCs/>
          <w:sz w:val="22"/>
          <w:szCs w:val="22"/>
          <w:highlight w:val="yellow"/>
        </w:rPr>
        <w:t xml:space="preserve">aunque pudiera entenderse que se trata de una acción acumulada a la declaración de nulidad, el </w:t>
      </w:r>
      <w:proofErr w:type="spellStart"/>
      <w:r w:rsidR="00BF258B" w:rsidRPr="00865FB3">
        <w:rPr>
          <w:rFonts w:ascii="Arial" w:hAnsi="Arial" w:cs="Arial"/>
          <w:i/>
          <w:iCs/>
          <w:sz w:val="22"/>
          <w:szCs w:val="22"/>
          <w:highlight w:val="yellow"/>
        </w:rPr>
        <w:t>dies</w:t>
      </w:r>
      <w:proofErr w:type="spellEnd"/>
      <w:r w:rsidR="00BF258B" w:rsidRPr="00865FB3">
        <w:rPr>
          <w:rFonts w:ascii="Arial" w:hAnsi="Arial" w:cs="Arial"/>
          <w:i/>
          <w:iCs/>
          <w:sz w:val="22"/>
          <w:szCs w:val="22"/>
          <w:highlight w:val="yellow"/>
        </w:rPr>
        <w:t xml:space="preserve"> a quo del plazo de prescripción viene determinado por lo dispuesto en el art. 1969 del CC, que establece que “el tiempo para la prescripción de toda clase de acciones, cuando no haya disposición especial que otra cosa determine, se contará desde el día en que pudieron ejercitarse”. Por lo tanto, el plazo para le prescripción solo podría computarse desde que se declara la nulidad, pues la acción de restitución requeriría en todo caso la previa declaración de nulidad del contrato</w:t>
      </w:r>
      <w:r w:rsidR="00BF258B" w:rsidRPr="00865FB3">
        <w:rPr>
          <w:rFonts w:ascii="Arial" w:hAnsi="Arial" w:cs="Arial"/>
          <w:sz w:val="22"/>
          <w:szCs w:val="22"/>
          <w:highlight w:val="yellow"/>
        </w:rPr>
        <w:t>”.</w:t>
      </w:r>
    </w:p>
    <w:p w14:paraId="664A836D" w14:textId="6DB3311C" w:rsidR="004218CD" w:rsidRPr="00865FB3" w:rsidRDefault="004218CD" w:rsidP="00865FB3">
      <w:pPr>
        <w:pStyle w:val="Prrafodelista"/>
        <w:widowControl w:val="0"/>
        <w:numPr>
          <w:ilvl w:val="0"/>
          <w:numId w:val="6"/>
        </w:numPr>
        <w:spacing w:after="240" w:line="360" w:lineRule="auto"/>
        <w:ind w:left="0" w:hanging="851"/>
        <w:rPr>
          <w:rFonts w:ascii="Arial" w:eastAsiaTheme="majorEastAsia" w:hAnsi="Arial" w:cs="Arial"/>
          <w:b/>
          <w:bCs/>
          <w:caps/>
          <w:sz w:val="22"/>
          <w:szCs w:val="22"/>
          <w:u w:val="single"/>
          <w:lang w:val="es-ES_tradnl"/>
        </w:rPr>
      </w:pPr>
      <w:r w:rsidRPr="00865FB3">
        <w:rPr>
          <w:rFonts w:ascii="Arial" w:hAnsi="Arial" w:cs="Arial"/>
          <w:sz w:val="22"/>
          <w:szCs w:val="22"/>
          <w:lang w:val="es-ES_tradnl"/>
        </w:rPr>
        <w:t xml:space="preserve">Así, esta parte recure en apelación el pronunciamiento de la Sentencia en el que se considera que </w:t>
      </w:r>
      <w:r w:rsidRPr="00865FB3">
        <w:rPr>
          <w:rFonts w:ascii="Arial" w:hAnsi="Arial" w:cs="Arial"/>
          <w:sz w:val="22"/>
          <w:szCs w:val="22"/>
        </w:rPr>
        <w:t xml:space="preserve">el día inicial del cómputo del plazo </w:t>
      </w:r>
      <w:r w:rsidR="00542E4B" w:rsidRPr="00865FB3">
        <w:rPr>
          <w:rFonts w:ascii="Arial" w:hAnsi="Arial" w:cs="Arial"/>
          <w:sz w:val="22"/>
          <w:szCs w:val="22"/>
        </w:rPr>
        <w:t xml:space="preserve">de prescripción </w:t>
      </w:r>
      <w:r w:rsidR="004C4FA3" w:rsidRPr="00865FB3">
        <w:rPr>
          <w:rFonts w:ascii="Arial" w:hAnsi="Arial" w:cs="Arial"/>
          <w:sz w:val="22"/>
          <w:szCs w:val="22"/>
        </w:rPr>
        <w:t xml:space="preserve">para la acción de restitución </w:t>
      </w:r>
      <w:r w:rsidR="00246B44" w:rsidRPr="00865FB3">
        <w:rPr>
          <w:rFonts w:ascii="Arial" w:hAnsi="Arial" w:cs="Arial"/>
          <w:sz w:val="22"/>
          <w:szCs w:val="22"/>
        </w:rPr>
        <w:t>se fije</w:t>
      </w:r>
      <w:r w:rsidRPr="00865FB3">
        <w:rPr>
          <w:rFonts w:ascii="Arial" w:hAnsi="Arial" w:cs="Arial"/>
          <w:sz w:val="22"/>
          <w:szCs w:val="22"/>
        </w:rPr>
        <w:t xml:space="preserve"> </w:t>
      </w:r>
      <w:r w:rsidR="00246B44" w:rsidRPr="00865FB3">
        <w:rPr>
          <w:rFonts w:ascii="Arial" w:hAnsi="Arial" w:cs="Arial"/>
          <w:sz w:val="22"/>
          <w:szCs w:val="22"/>
        </w:rPr>
        <w:t xml:space="preserve">tras </w:t>
      </w:r>
      <w:r w:rsidRPr="00865FB3">
        <w:rPr>
          <w:rFonts w:ascii="Arial" w:hAnsi="Arial" w:cs="Arial"/>
          <w:sz w:val="22"/>
          <w:szCs w:val="22"/>
        </w:rPr>
        <w:t>la declaración de nulidad por usura</w:t>
      </w:r>
      <w:r w:rsidR="004C4FA3" w:rsidRPr="00865FB3">
        <w:rPr>
          <w:rFonts w:ascii="Arial" w:hAnsi="Arial" w:cs="Arial"/>
          <w:sz w:val="22"/>
          <w:szCs w:val="22"/>
        </w:rPr>
        <w:t>.</w:t>
      </w:r>
      <w:r w:rsidR="00071C96" w:rsidRPr="00865FB3">
        <w:rPr>
          <w:rFonts w:ascii="Arial" w:hAnsi="Arial" w:cs="Arial"/>
          <w:sz w:val="22"/>
          <w:szCs w:val="22"/>
        </w:rPr>
        <w:t xml:space="preserve"> </w:t>
      </w:r>
      <w:r w:rsidR="00542E4B" w:rsidRPr="00865FB3">
        <w:rPr>
          <w:rFonts w:ascii="Arial" w:hAnsi="Arial" w:cs="Arial"/>
          <w:sz w:val="22"/>
          <w:szCs w:val="22"/>
        </w:rPr>
        <w:t>Como se verá a continuación, este pronunciamiento es contrario a la jurisprudencia de la Sala Primera del Tribunal Supremo, recientemente aclarada en su Auto de 22</w:t>
      </w:r>
      <w:r w:rsidR="00B35B1C" w:rsidRPr="00865FB3">
        <w:rPr>
          <w:rFonts w:ascii="Arial" w:hAnsi="Arial" w:cs="Arial"/>
          <w:sz w:val="22"/>
          <w:szCs w:val="22"/>
        </w:rPr>
        <w:t xml:space="preserve"> de julio de 2021.</w:t>
      </w:r>
    </w:p>
    <w:p w14:paraId="6794210F" w14:textId="77777777" w:rsidR="009F5AD9" w:rsidRPr="00865FB3" w:rsidRDefault="00577C0B" w:rsidP="00865FB3">
      <w:pPr>
        <w:widowControl w:val="0"/>
        <w:tabs>
          <w:tab w:val="left" w:pos="708"/>
        </w:tabs>
        <w:spacing w:after="240" w:line="360" w:lineRule="auto"/>
        <w:outlineLvl w:val="0"/>
        <w:rPr>
          <w:rFonts w:ascii="Arial" w:eastAsiaTheme="majorEastAsia" w:hAnsi="Arial" w:cs="Arial"/>
          <w:b/>
          <w:bCs/>
          <w:caps/>
          <w:sz w:val="22"/>
          <w:szCs w:val="22"/>
          <w:lang w:val="es-ES_tradnl"/>
        </w:rPr>
      </w:pPr>
      <w:bookmarkStart w:id="1" w:name="_Hlk161937132"/>
      <w:bookmarkEnd w:id="0"/>
      <w:r w:rsidRPr="00865FB3">
        <w:rPr>
          <w:rFonts w:ascii="Arial" w:eastAsiaTheme="majorEastAsia" w:hAnsi="Arial" w:cs="Arial"/>
          <w:b/>
          <w:bCs/>
          <w:caps/>
          <w:sz w:val="22"/>
          <w:szCs w:val="22"/>
          <w:u w:val="single"/>
          <w:lang w:val="es-ES_tradnl"/>
        </w:rPr>
        <w:t>PRIMERA</w:t>
      </w:r>
      <w:r w:rsidRPr="00865FB3">
        <w:rPr>
          <w:rFonts w:ascii="Arial" w:eastAsiaTheme="majorEastAsia" w:hAnsi="Arial" w:cs="Arial"/>
          <w:b/>
          <w:bCs/>
          <w:caps/>
          <w:sz w:val="22"/>
          <w:szCs w:val="22"/>
          <w:lang w:val="es-ES_tradnl"/>
        </w:rPr>
        <w:t xml:space="preserve">. </w:t>
      </w:r>
      <w:bookmarkStart w:id="2" w:name="_Hlk153786402"/>
      <w:r w:rsidR="009F5AD9" w:rsidRPr="00865FB3">
        <w:rPr>
          <w:rFonts w:ascii="Arial" w:eastAsiaTheme="majorEastAsia" w:hAnsi="Arial" w:cs="Arial"/>
          <w:b/>
          <w:bCs/>
          <w:caps/>
          <w:sz w:val="22"/>
          <w:szCs w:val="22"/>
          <w:lang w:val="es-ES_tradnl"/>
        </w:rPr>
        <w:t>–</w:t>
      </w:r>
      <w:r w:rsidR="00A116DB" w:rsidRPr="00865FB3">
        <w:rPr>
          <w:rFonts w:ascii="Arial" w:eastAsiaTheme="majorEastAsia" w:hAnsi="Arial" w:cs="Arial"/>
          <w:b/>
          <w:bCs/>
          <w:caps/>
          <w:sz w:val="22"/>
          <w:szCs w:val="22"/>
          <w:lang w:val="es-ES_tradnl"/>
        </w:rPr>
        <w:t xml:space="preserve"> </w:t>
      </w:r>
      <w:r w:rsidR="009F5AD9" w:rsidRPr="00865FB3">
        <w:rPr>
          <w:rFonts w:ascii="Arial" w:eastAsiaTheme="majorEastAsia" w:hAnsi="Arial" w:cs="Arial"/>
          <w:b/>
          <w:bCs/>
          <w:caps/>
          <w:sz w:val="22"/>
          <w:szCs w:val="22"/>
          <w:lang w:val="es-ES_tradnl"/>
        </w:rPr>
        <w:t xml:space="preserve">no puede admitirse lA FIJACIÓN Del </w:t>
      </w:r>
      <w:r w:rsidR="009F5AD9" w:rsidRPr="00865FB3">
        <w:rPr>
          <w:rFonts w:ascii="Arial" w:eastAsiaTheme="majorEastAsia" w:hAnsi="Arial" w:cs="Arial"/>
          <w:b/>
          <w:bCs/>
          <w:i/>
          <w:caps/>
          <w:sz w:val="22"/>
          <w:szCs w:val="22"/>
          <w:lang w:val="es-ES_tradnl"/>
        </w:rPr>
        <w:t>DIES A QUO</w:t>
      </w:r>
      <w:r w:rsidR="009F5AD9" w:rsidRPr="00865FB3">
        <w:rPr>
          <w:rFonts w:ascii="Arial" w:eastAsiaTheme="majorEastAsia" w:hAnsi="Arial" w:cs="Arial"/>
          <w:b/>
          <w:bCs/>
          <w:caps/>
          <w:sz w:val="22"/>
          <w:szCs w:val="22"/>
          <w:lang w:val="es-ES_tradnl"/>
        </w:rPr>
        <w:t xml:space="preserve"> DEL PLAZO DE PRESCRIPCIÓN DE LA ACCIÓN RESTITUTORIA EN EL MOMENTO DE la declaración de LA usura</w:t>
      </w:r>
    </w:p>
    <w:p w14:paraId="74477AA9" w14:textId="7D018371" w:rsidR="004B371E" w:rsidRPr="00865FB3" w:rsidRDefault="00513182" w:rsidP="00865FB3">
      <w:pPr>
        <w:pStyle w:val="Prrafodelista"/>
        <w:widowControl w:val="0"/>
        <w:numPr>
          <w:ilvl w:val="0"/>
          <w:numId w:val="6"/>
        </w:numPr>
        <w:spacing w:after="240" w:line="360" w:lineRule="auto"/>
        <w:ind w:left="0" w:hanging="851"/>
        <w:rPr>
          <w:rFonts w:ascii="Arial" w:hAnsi="Arial" w:cs="Arial"/>
          <w:sz w:val="22"/>
          <w:szCs w:val="22"/>
          <w:lang w:val="es-ES_tradnl" w:eastAsia="ar-SA"/>
        </w:rPr>
      </w:pPr>
      <w:r w:rsidRPr="00865FB3">
        <w:rPr>
          <w:rFonts w:ascii="Arial" w:eastAsia="Calibri" w:hAnsi="Arial" w:cs="Arial"/>
          <w:sz w:val="22"/>
          <w:szCs w:val="22"/>
        </w:rPr>
        <w:t>En</w:t>
      </w:r>
      <w:r w:rsidR="004B371E" w:rsidRPr="00865FB3">
        <w:rPr>
          <w:rFonts w:ascii="Arial" w:eastAsia="Calibri" w:hAnsi="Arial" w:cs="Arial"/>
          <w:sz w:val="22"/>
          <w:szCs w:val="22"/>
        </w:rPr>
        <w:t xml:space="preserve"> la presente Alegación argumentamos porque no se puede aceptar que </w:t>
      </w:r>
      <w:r w:rsidR="004B371E" w:rsidRPr="00865FB3">
        <w:rPr>
          <w:rFonts w:ascii="Arial" w:hAnsi="Arial" w:cs="Arial"/>
          <w:sz w:val="22"/>
          <w:szCs w:val="22"/>
          <w:lang w:val="es-ES_tradnl" w:eastAsia="ar-SA"/>
        </w:rPr>
        <w:t xml:space="preserve">el </w:t>
      </w:r>
      <w:proofErr w:type="spellStart"/>
      <w:r w:rsidR="004B371E" w:rsidRPr="00865FB3">
        <w:rPr>
          <w:rFonts w:ascii="Arial" w:hAnsi="Arial" w:cs="Arial"/>
          <w:i/>
          <w:iCs/>
          <w:sz w:val="22"/>
          <w:szCs w:val="22"/>
          <w:lang w:val="es-ES_tradnl" w:eastAsia="ar-SA"/>
        </w:rPr>
        <w:t>dies</w:t>
      </w:r>
      <w:proofErr w:type="spellEnd"/>
      <w:r w:rsidR="004B371E" w:rsidRPr="00865FB3">
        <w:rPr>
          <w:rFonts w:ascii="Arial" w:hAnsi="Arial" w:cs="Arial"/>
          <w:i/>
          <w:iCs/>
          <w:sz w:val="22"/>
          <w:szCs w:val="22"/>
          <w:lang w:val="es-ES_tradnl" w:eastAsia="ar-SA"/>
        </w:rPr>
        <w:t xml:space="preserve"> a quo</w:t>
      </w:r>
      <w:r w:rsidR="004B371E" w:rsidRPr="00865FB3">
        <w:rPr>
          <w:rFonts w:ascii="Arial" w:hAnsi="Arial" w:cs="Arial"/>
          <w:sz w:val="22"/>
          <w:szCs w:val="22"/>
          <w:lang w:val="es-ES_tradnl" w:eastAsia="ar-SA"/>
        </w:rPr>
        <w:t xml:space="preserve"> de la acción de restitución comien</w:t>
      </w:r>
      <w:r w:rsidRPr="00865FB3">
        <w:rPr>
          <w:rFonts w:ascii="Arial" w:hAnsi="Arial" w:cs="Arial"/>
          <w:sz w:val="22"/>
          <w:szCs w:val="22"/>
          <w:lang w:val="es-ES_tradnl" w:eastAsia="ar-SA"/>
        </w:rPr>
        <w:t>ce</w:t>
      </w:r>
      <w:r w:rsidR="004B371E" w:rsidRPr="00865FB3">
        <w:rPr>
          <w:rFonts w:ascii="Arial" w:hAnsi="Arial" w:cs="Arial"/>
          <w:sz w:val="22"/>
          <w:szCs w:val="22"/>
          <w:lang w:val="es-ES_tradnl" w:eastAsia="ar-SA"/>
        </w:rPr>
        <w:t xml:space="preserve"> desde la declara</w:t>
      </w:r>
      <w:r w:rsidR="00FF7D3C" w:rsidRPr="00865FB3">
        <w:rPr>
          <w:rFonts w:ascii="Arial" w:hAnsi="Arial" w:cs="Arial"/>
          <w:sz w:val="22"/>
          <w:szCs w:val="22"/>
          <w:lang w:val="es-ES_tradnl" w:eastAsia="ar-SA"/>
        </w:rPr>
        <w:t>ción</w:t>
      </w:r>
      <w:r w:rsidR="004B371E" w:rsidRPr="00865FB3">
        <w:rPr>
          <w:rFonts w:ascii="Arial" w:hAnsi="Arial" w:cs="Arial"/>
          <w:sz w:val="22"/>
          <w:szCs w:val="22"/>
          <w:lang w:val="es-ES_tradnl" w:eastAsia="ar-SA"/>
        </w:rPr>
        <w:t xml:space="preserve"> de nulidad</w:t>
      </w:r>
      <w:r w:rsidRPr="00865FB3">
        <w:rPr>
          <w:rFonts w:ascii="Arial" w:hAnsi="Arial" w:cs="Arial"/>
          <w:sz w:val="22"/>
          <w:szCs w:val="22"/>
          <w:lang w:val="es-ES_tradnl" w:eastAsia="ar-SA"/>
        </w:rPr>
        <w:t xml:space="preserve"> por usura</w:t>
      </w:r>
      <w:r w:rsidR="004B371E" w:rsidRPr="00865FB3">
        <w:rPr>
          <w:rFonts w:ascii="Arial" w:hAnsi="Arial" w:cs="Arial"/>
          <w:sz w:val="22"/>
          <w:szCs w:val="22"/>
          <w:lang w:val="es-ES_tradnl" w:eastAsia="ar-SA"/>
        </w:rPr>
        <w:t>.</w:t>
      </w:r>
    </w:p>
    <w:p w14:paraId="2D542532" w14:textId="0E6FF88F" w:rsidR="00800506" w:rsidRPr="00865FB3" w:rsidRDefault="0027094E" w:rsidP="00865FB3">
      <w:pPr>
        <w:pStyle w:val="Prrafodelista"/>
        <w:widowControl w:val="0"/>
        <w:numPr>
          <w:ilvl w:val="0"/>
          <w:numId w:val="5"/>
        </w:numPr>
        <w:spacing w:after="240" w:line="360" w:lineRule="auto"/>
        <w:ind w:left="0" w:hanging="851"/>
        <w:rPr>
          <w:rFonts w:ascii="Arial" w:hAnsi="Arial" w:cs="Arial"/>
          <w:sz w:val="22"/>
          <w:szCs w:val="22"/>
          <w:lang w:val="es-ES_tradnl" w:eastAsia="ar-SA"/>
        </w:rPr>
      </w:pPr>
      <w:r w:rsidRPr="00865FB3">
        <w:rPr>
          <w:rFonts w:ascii="Arial" w:hAnsi="Arial" w:cs="Arial"/>
          <w:bCs/>
          <w:sz w:val="22"/>
          <w:szCs w:val="22"/>
          <w:lang w:val="es-ES_tradnl" w:eastAsia="ar-SA"/>
        </w:rPr>
        <w:t>En primer lugar, c</w:t>
      </w:r>
      <w:r w:rsidR="00800506" w:rsidRPr="00865FB3">
        <w:rPr>
          <w:rFonts w:ascii="Arial" w:hAnsi="Arial" w:cs="Arial"/>
          <w:bCs/>
          <w:sz w:val="22"/>
          <w:szCs w:val="22"/>
          <w:lang w:val="es-ES_tradnl" w:eastAsia="ar-SA"/>
        </w:rPr>
        <w:t xml:space="preserve">onviene </w:t>
      </w:r>
      <w:r w:rsidR="00FF7D3C" w:rsidRPr="00865FB3">
        <w:rPr>
          <w:rFonts w:ascii="Arial" w:hAnsi="Arial" w:cs="Arial"/>
          <w:bCs/>
          <w:sz w:val="22"/>
          <w:szCs w:val="22"/>
          <w:lang w:val="es-ES_tradnl" w:eastAsia="ar-SA"/>
        </w:rPr>
        <w:t xml:space="preserve">brevemente recordar </w:t>
      </w:r>
      <w:r w:rsidR="00FF7D3C" w:rsidRPr="00865FB3">
        <w:rPr>
          <w:rFonts w:ascii="Arial" w:hAnsi="Arial" w:cs="Arial"/>
          <w:b/>
          <w:sz w:val="22"/>
          <w:szCs w:val="22"/>
          <w:lang w:val="es-ES_tradnl" w:eastAsia="ar-SA"/>
        </w:rPr>
        <w:t>l</w:t>
      </w:r>
      <w:r w:rsidR="009F5AD9" w:rsidRPr="00865FB3">
        <w:rPr>
          <w:rFonts w:ascii="Arial" w:hAnsi="Arial" w:cs="Arial"/>
          <w:b/>
          <w:sz w:val="22"/>
          <w:szCs w:val="22"/>
          <w:lang w:val="es-ES_tradnl" w:eastAsia="ar-SA"/>
        </w:rPr>
        <w:t>a jurisprudencia del Tribunal Supremo y del T</w:t>
      </w:r>
      <w:r w:rsidR="00513182" w:rsidRPr="00865FB3">
        <w:rPr>
          <w:rFonts w:ascii="Arial" w:hAnsi="Arial" w:cs="Arial"/>
          <w:b/>
          <w:sz w:val="22"/>
          <w:szCs w:val="22"/>
          <w:lang w:val="es-ES_tradnl" w:eastAsia="ar-SA"/>
        </w:rPr>
        <w:t xml:space="preserve">ribunal de Justicia de la Unión Europea </w:t>
      </w:r>
      <w:r w:rsidR="00513182" w:rsidRPr="00865FB3">
        <w:rPr>
          <w:rFonts w:ascii="Arial" w:hAnsi="Arial" w:cs="Arial"/>
          <w:sz w:val="22"/>
          <w:szCs w:val="22"/>
          <w:lang w:val="es-ES_tradnl" w:eastAsia="ar-SA"/>
        </w:rPr>
        <w:t>(“</w:t>
      </w:r>
      <w:r w:rsidR="00513182" w:rsidRPr="00865FB3">
        <w:rPr>
          <w:rFonts w:ascii="Arial" w:hAnsi="Arial" w:cs="Arial"/>
          <w:b/>
          <w:sz w:val="22"/>
          <w:szCs w:val="22"/>
          <w:lang w:val="es-ES_tradnl" w:eastAsia="ar-SA"/>
        </w:rPr>
        <w:t>T</w:t>
      </w:r>
      <w:r w:rsidR="009F5AD9" w:rsidRPr="00865FB3">
        <w:rPr>
          <w:rFonts w:ascii="Arial" w:hAnsi="Arial" w:cs="Arial"/>
          <w:b/>
          <w:sz w:val="22"/>
          <w:szCs w:val="22"/>
          <w:lang w:val="es-ES_tradnl" w:eastAsia="ar-SA"/>
        </w:rPr>
        <w:t>JUE</w:t>
      </w:r>
      <w:r w:rsidR="00513182" w:rsidRPr="00865FB3">
        <w:rPr>
          <w:rFonts w:ascii="Arial" w:hAnsi="Arial" w:cs="Arial"/>
          <w:sz w:val="22"/>
          <w:szCs w:val="22"/>
          <w:lang w:val="es-ES_tradnl" w:eastAsia="ar-SA"/>
        </w:rPr>
        <w:t>”)</w:t>
      </w:r>
      <w:r w:rsidRPr="00865FB3">
        <w:rPr>
          <w:rFonts w:ascii="Arial" w:hAnsi="Arial" w:cs="Arial"/>
          <w:sz w:val="22"/>
          <w:szCs w:val="22"/>
          <w:lang w:val="es-ES_tradnl" w:eastAsia="ar-SA"/>
        </w:rPr>
        <w:t>, que</w:t>
      </w:r>
      <w:r w:rsidR="009F5AD9" w:rsidRPr="00865FB3">
        <w:rPr>
          <w:rFonts w:ascii="Arial" w:hAnsi="Arial" w:cs="Arial"/>
          <w:b/>
          <w:sz w:val="22"/>
          <w:szCs w:val="22"/>
          <w:lang w:val="es-ES_tradnl" w:eastAsia="ar-SA"/>
        </w:rPr>
        <w:t xml:space="preserve"> </w:t>
      </w:r>
      <w:r w:rsidR="00700A9B" w:rsidRPr="00865FB3">
        <w:rPr>
          <w:rFonts w:ascii="Arial" w:hAnsi="Arial" w:cs="Arial"/>
          <w:bCs/>
          <w:sz w:val="22"/>
          <w:szCs w:val="22"/>
          <w:lang w:val="es-ES_tradnl" w:eastAsia="ar-SA"/>
        </w:rPr>
        <w:t xml:space="preserve">en su análisis </w:t>
      </w:r>
      <w:r w:rsidR="009F1A14" w:rsidRPr="00865FB3">
        <w:rPr>
          <w:rFonts w:ascii="Arial" w:hAnsi="Arial" w:cs="Arial"/>
          <w:bCs/>
          <w:sz w:val="22"/>
          <w:szCs w:val="22"/>
          <w:lang w:val="es-ES_tradnl" w:eastAsia="ar-SA"/>
        </w:rPr>
        <w:t xml:space="preserve">general </w:t>
      </w:r>
      <w:r w:rsidR="00700A9B" w:rsidRPr="00865FB3">
        <w:rPr>
          <w:rFonts w:ascii="Arial" w:hAnsi="Arial" w:cs="Arial"/>
          <w:bCs/>
          <w:sz w:val="22"/>
          <w:szCs w:val="22"/>
          <w:lang w:val="es-ES_tradnl" w:eastAsia="ar-SA"/>
        </w:rPr>
        <w:t xml:space="preserve">sobre la prescripción de la acción restitutoria </w:t>
      </w:r>
      <w:r w:rsidR="009F1A14" w:rsidRPr="00865FB3">
        <w:rPr>
          <w:rFonts w:ascii="Arial" w:hAnsi="Arial" w:cs="Arial"/>
          <w:bCs/>
          <w:sz w:val="22"/>
          <w:szCs w:val="22"/>
          <w:lang w:val="es-ES_tradnl" w:eastAsia="ar-SA"/>
        </w:rPr>
        <w:t xml:space="preserve">en el que </w:t>
      </w:r>
      <w:r w:rsidR="009F1A14" w:rsidRPr="00865FB3">
        <w:rPr>
          <w:rFonts w:ascii="Arial" w:hAnsi="Arial" w:cs="Arial"/>
          <w:sz w:val="22"/>
          <w:szCs w:val="22"/>
          <w:lang w:val="es-ES_tradnl" w:eastAsia="ar-SA"/>
        </w:rPr>
        <w:t xml:space="preserve">ha convenido que, </w:t>
      </w:r>
      <w:r w:rsidR="00800506" w:rsidRPr="00865FB3">
        <w:rPr>
          <w:rFonts w:ascii="Arial" w:hAnsi="Arial" w:cs="Arial"/>
          <w:sz w:val="22"/>
          <w:szCs w:val="22"/>
          <w:lang w:val="es-ES_tradnl" w:eastAsia="ar-SA"/>
        </w:rPr>
        <w:t>mientras que la acción de nulidad (radical o de pleno derecho) de obligaciones contractuales (ya sea derivadas de un contrato de crédito usurario o de una cláusula no transparente y abusiva) es imprescriptible, la acción restitutoria para recuperar las cantidades entregadas al amparo de esa obligación nula sí prescribe.</w:t>
      </w:r>
    </w:p>
    <w:p w14:paraId="433FD272" w14:textId="789F4350" w:rsidR="00800506" w:rsidRPr="00865FB3" w:rsidRDefault="0027094E" w:rsidP="00865FB3">
      <w:pPr>
        <w:pStyle w:val="Prrafodelista"/>
        <w:widowControl w:val="0"/>
        <w:numPr>
          <w:ilvl w:val="0"/>
          <w:numId w:val="5"/>
        </w:numPr>
        <w:spacing w:after="240" w:line="360" w:lineRule="auto"/>
        <w:ind w:left="0" w:hanging="851"/>
        <w:rPr>
          <w:rFonts w:ascii="Arial" w:hAnsi="Arial" w:cs="Arial"/>
          <w:sz w:val="22"/>
          <w:szCs w:val="22"/>
        </w:rPr>
      </w:pPr>
      <w:r w:rsidRPr="00865FB3">
        <w:rPr>
          <w:rFonts w:ascii="Arial" w:hAnsi="Arial" w:cs="Arial"/>
          <w:sz w:val="22"/>
          <w:szCs w:val="22"/>
        </w:rPr>
        <w:t xml:space="preserve">En efecto, la </w:t>
      </w:r>
      <w:r w:rsidR="00800506" w:rsidRPr="00865FB3">
        <w:rPr>
          <w:rFonts w:ascii="Arial" w:hAnsi="Arial" w:cs="Arial"/>
          <w:b/>
          <w:sz w:val="22"/>
          <w:szCs w:val="22"/>
        </w:rPr>
        <w:t xml:space="preserve">jurisprudencia de la Sala Primera del Tribunal </w:t>
      </w:r>
      <w:r w:rsidR="00513182" w:rsidRPr="00865FB3">
        <w:rPr>
          <w:rFonts w:ascii="Arial" w:hAnsi="Arial" w:cs="Arial"/>
          <w:b/>
          <w:sz w:val="22"/>
          <w:szCs w:val="22"/>
        </w:rPr>
        <w:t>Supremo</w:t>
      </w:r>
      <w:r w:rsidR="00800506" w:rsidRPr="00865FB3">
        <w:rPr>
          <w:rFonts w:ascii="Arial" w:hAnsi="Arial" w:cs="Arial"/>
          <w:sz w:val="22"/>
          <w:szCs w:val="22"/>
        </w:rPr>
        <w:t xml:space="preserve"> ha sostenido la imprescriptibilidad de la acción declarativa de nulidad contractual, pero, al mismo tiempo, ha sujetado la acción de restitución derivada de esta nulidad al plazo de prescripción general de las acciones personales del art. 1.964 del Código Civil, tanto con carácter general (STS, 1.ª, </w:t>
      </w:r>
      <w:r w:rsidR="00800506" w:rsidRPr="00865FB3">
        <w:rPr>
          <w:rFonts w:ascii="Arial" w:hAnsi="Arial" w:cs="Arial"/>
          <w:sz w:val="22"/>
          <w:szCs w:val="22"/>
        </w:rPr>
        <w:lastRenderedPageBreak/>
        <w:t>27 de febrero de 1964 [RA 1152]) como en relación con la usura</w:t>
      </w:r>
      <w:r w:rsidR="00800506" w:rsidRPr="00865FB3">
        <w:rPr>
          <w:rStyle w:val="Refdenotaalpie"/>
          <w:rFonts w:ascii="Arial" w:hAnsi="Arial" w:cs="Arial"/>
          <w:sz w:val="22"/>
          <w:szCs w:val="22"/>
        </w:rPr>
        <w:footnoteReference w:id="2"/>
      </w:r>
      <w:r w:rsidR="00800506" w:rsidRPr="00865FB3">
        <w:rPr>
          <w:rFonts w:ascii="Arial" w:hAnsi="Arial" w:cs="Arial"/>
          <w:sz w:val="22"/>
          <w:szCs w:val="22"/>
        </w:rPr>
        <w:t xml:space="preserve">. En sentencias más recientes, el Tribunal Supremo ha diferenciado entre la declaración de nulidad de una cláusula abusiva de las consecuencias restitutorias que traen causa de dicha nulidad (Sentencias del Pleno núm. 725/2018, de 19 de diciembre [RJ 2018\5455] y núm.47/2019, de 23 de enero [RJ 2019\91]). Además, la Sala Primera ha aclarado recientemente que la acción </w:t>
      </w:r>
      <w:r w:rsidR="00800506" w:rsidRPr="00865FB3">
        <w:rPr>
          <w:rFonts w:ascii="Arial" w:hAnsi="Arial" w:cs="Arial"/>
          <w:b/>
          <w:sz w:val="22"/>
          <w:szCs w:val="22"/>
          <w:u w:val="single"/>
        </w:rPr>
        <w:t>restitutoria derivada de cualquier nulidad contractual</w:t>
      </w:r>
      <w:r w:rsidR="00800506" w:rsidRPr="00865FB3">
        <w:rPr>
          <w:rFonts w:ascii="Arial" w:hAnsi="Arial" w:cs="Arial"/>
          <w:sz w:val="22"/>
          <w:szCs w:val="22"/>
        </w:rPr>
        <w:t xml:space="preserve"> prescribe en su reciente </w:t>
      </w:r>
      <w:r w:rsidR="00800506" w:rsidRPr="00865FB3">
        <w:rPr>
          <w:rFonts w:ascii="Arial" w:hAnsi="Arial" w:cs="Arial"/>
          <w:b/>
          <w:sz w:val="22"/>
          <w:szCs w:val="22"/>
        </w:rPr>
        <w:t>Auto de 22 de julio de 2021</w:t>
      </w:r>
      <w:r w:rsidR="00800506" w:rsidRPr="00865FB3">
        <w:rPr>
          <w:rFonts w:ascii="Arial" w:hAnsi="Arial" w:cs="Arial"/>
          <w:sz w:val="22"/>
          <w:szCs w:val="22"/>
        </w:rPr>
        <w:t xml:space="preserve"> (</w:t>
      </w:r>
      <w:proofErr w:type="spellStart"/>
      <w:r w:rsidR="00800506" w:rsidRPr="00865FB3">
        <w:rPr>
          <w:rFonts w:ascii="Arial" w:hAnsi="Arial" w:cs="Arial"/>
          <w:sz w:val="22"/>
          <w:szCs w:val="22"/>
        </w:rPr>
        <w:t>Roj</w:t>
      </w:r>
      <w:proofErr w:type="spellEnd"/>
      <w:r w:rsidR="00800506" w:rsidRPr="00865FB3">
        <w:rPr>
          <w:rFonts w:ascii="Arial" w:hAnsi="Arial" w:cs="Arial"/>
          <w:sz w:val="22"/>
          <w:szCs w:val="22"/>
        </w:rPr>
        <w:t>: ATS 10157/2021).</w:t>
      </w:r>
    </w:p>
    <w:p w14:paraId="027946D2" w14:textId="506E5FF7" w:rsidR="00800506" w:rsidRPr="00865FB3" w:rsidRDefault="0027094E" w:rsidP="00865FB3">
      <w:pPr>
        <w:pStyle w:val="Prrafodelista"/>
        <w:widowControl w:val="0"/>
        <w:numPr>
          <w:ilvl w:val="0"/>
          <w:numId w:val="5"/>
        </w:numPr>
        <w:spacing w:after="240" w:line="360" w:lineRule="auto"/>
        <w:ind w:left="0" w:hanging="851"/>
        <w:rPr>
          <w:rFonts w:ascii="Arial" w:hAnsi="Arial" w:cs="Arial"/>
          <w:sz w:val="22"/>
          <w:szCs w:val="22"/>
        </w:rPr>
      </w:pPr>
      <w:r w:rsidRPr="00865FB3">
        <w:rPr>
          <w:rFonts w:ascii="Arial" w:hAnsi="Arial" w:cs="Arial"/>
          <w:sz w:val="22"/>
          <w:szCs w:val="22"/>
        </w:rPr>
        <w:t>Por su parte, l</w:t>
      </w:r>
      <w:r w:rsidR="00800506" w:rsidRPr="00865FB3">
        <w:rPr>
          <w:rFonts w:ascii="Arial" w:hAnsi="Arial" w:cs="Arial"/>
          <w:sz w:val="22"/>
          <w:szCs w:val="22"/>
        </w:rPr>
        <w:t xml:space="preserve">a </w:t>
      </w:r>
      <w:r w:rsidR="00800506" w:rsidRPr="00865FB3">
        <w:rPr>
          <w:rFonts w:ascii="Arial" w:hAnsi="Arial" w:cs="Arial"/>
          <w:b/>
          <w:sz w:val="22"/>
          <w:szCs w:val="22"/>
        </w:rPr>
        <w:t xml:space="preserve">doctrina de los autores más </w:t>
      </w:r>
      <w:r w:rsidR="004B4B28" w:rsidRPr="00865FB3">
        <w:rPr>
          <w:rFonts w:ascii="Arial" w:hAnsi="Arial" w:cs="Arial"/>
          <w:b/>
          <w:sz w:val="22"/>
          <w:szCs w:val="22"/>
        </w:rPr>
        <w:t>autorizados</w:t>
      </w:r>
      <w:r w:rsidR="00800506" w:rsidRPr="00865FB3">
        <w:rPr>
          <w:rFonts w:ascii="Arial" w:hAnsi="Arial" w:cs="Arial"/>
          <w:sz w:val="22"/>
          <w:szCs w:val="22"/>
        </w:rPr>
        <w:t xml:space="preserve"> defiende la prescripción de la acción restitutoria derivada de la nulidad contractual, tanto con carácter general</w:t>
      </w:r>
      <w:r w:rsidR="00800506" w:rsidRPr="00865FB3">
        <w:rPr>
          <w:rStyle w:val="Refdenotaalpie"/>
          <w:rFonts w:ascii="Arial" w:hAnsi="Arial" w:cs="Arial"/>
          <w:sz w:val="22"/>
          <w:szCs w:val="22"/>
        </w:rPr>
        <w:footnoteReference w:id="3"/>
      </w:r>
      <w:r w:rsidR="00800506" w:rsidRPr="00865FB3">
        <w:rPr>
          <w:rFonts w:ascii="Arial" w:hAnsi="Arial" w:cs="Arial"/>
          <w:sz w:val="22"/>
          <w:szCs w:val="22"/>
        </w:rPr>
        <w:t xml:space="preserve"> como en el caso particular de la usura</w:t>
      </w:r>
      <w:r w:rsidR="00800506" w:rsidRPr="00865FB3">
        <w:rPr>
          <w:rStyle w:val="Refdenotaalpie"/>
          <w:rFonts w:ascii="Arial" w:hAnsi="Arial" w:cs="Arial"/>
          <w:sz w:val="22"/>
          <w:szCs w:val="22"/>
        </w:rPr>
        <w:footnoteReference w:id="4"/>
      </w:r>
      <w:r w:rsidR="00800506" w:rsidRPr="00865FB3">
        <w:rPr>
          <w:rFonts w:ascii="Arial" w:hAnsi="Arial" w:cs="Arial"/>
          <w:sz w:val="22"/>
          <w:szCs w:val="22"/>
        </w:rPr>
        <w:t xml:space="preserve">. En este sentido, en relación con la usura, el Prof. </w:t>
      </w:r>
      <w:r w:rsidR="00800506" w:rsidRPr="00865FB3">
        <w:rPr>
          <w:rFonts w:ascii="Arial" w:hAnsi="Arial" w:cs="Arial"/>
          <w:smallCaps/>
          <w:sz w:val="22"/>
          <w:szCs w:val="22"/>
        </w:rPr>
        <w:t>L. Díez-Picazo</w:t>
      </w:r>
      <w:r w:rsidR="00800506" w:rsidRPr="00865FB3">
        <w:rPr>
          <w:rFonts w:ascii="Arial" w:hAnsi="Arial" w:cs="Arial"/>
          <w:sz w:val="22"/>
          <w:szCs w:val="22"/>
        </w:rPr>
        <w:t xml:space="preserve"> dejó dicho de forma muy clara que “[l]</w:t>
      </w:r>
      <w:r w:rsidR="00800506" w:rsidRPr="00865FB3">
        <w:rPr>
          <w:rFonts w:ascii="Arial" w:hAnsi="Arial" w:cs="Arial"/>
          <w:i/>
          <w:sz w:val="22"/>
          <w:szCs w:val="22"/>
        </w:rPr>
        <w:t xml:space="preserve">a sanción del </w:t>
      </w:r>
      <w:r w:rsidR="00800506" w:rsidRPr="00865FB3">
        <w:rPr>
          <w:rFonts w:ascii="Arial" w:hAnsi="Arial" w:cs="Arial"/>
          <w:b/>
          <w:i/>
          <w:sz w:val="22"/>
          <w:szCs w:val="22"/>
          <w:u w:val="single"/>
        </w:rPr>
        <w:t>carácter usurario</w:t>
      </w:r>
      <w:r w:rsidR="00800506" w:rsidRPr="00865FB3">
        <w:rPr>
          <w:rFonts w:ascii="Arial" w:hAnsi="Arial" w:cs="Arial"/>
          <w:i/>
          <w:sz w:val="22"/>
          <w:szCs w:val="22"/>
        </w:rPr>
        <w:t xml:space="preserve"> de los préstamos es la </w:t>
      </w:r>
      <w:r w:rsidR="00800506" w:rsidRPr="00865FB3">
        <w:rPr>
          <w:rFonts w:ascii="Arial" w:hAnsi="Arial" w:cs="Arial"/>
          <w:b/>
          <w:i/>
          <w:sz w:val="22"/>
          <w:szCs w:val="22"/>
          <w:u w:val="single"/>
        </w:rPr>
        <w:t>nulidad</w:t>
      </w:r>
      <w:r w:rsidR="00800506" w:rsidRPr="00865FB3">
        <w:rPr>
          <w:rFonts w:ascii="Arial" w:hAnsi="Arial" w:cs="Arial"/>
          <w:i/>
          <w:sz w:val="22"/>
          <w:szCs w:val="22"/>
        </w:rPr>
        <w:t xml:space="preserve"> que, de acuerdo con la redacción del art. 1, es una nulidad radical y absoluta en que la acción que se ejercita es de carácter declarativo, no obstante lo cual se entiende que el plazo para el ejercicio de las acciones es un </w:t>
      </w:r>
      <w:r w:rsidR="00800506" w:rsidRPr="00865FB3">
        <w:rPr>
          <w:rFonts w:ascii="Arial" w:hAnsi="Arial" w:cs="Arial"/>
          <w:b/>
          <w:i/>
          <w:sz w:val="22"/>
          <w:szCs w:val="22"/>
          <w:u w:val="single"/>
        </w:rPr>
        <w:t>plazo de prescripción</w:t>
      </w:r>
      <w:r w:rsidR="00800506" w:rsidRPr="00865FB3">
        <w:rPr>
          <w:rFonts w:ascii="Arial" w:hAnsi="Arial" w:cs="Arial"/>
          <w:i/>
          <w:sz w:val="22"/>
          <w:szCs w:val="22"/>
        </w:rPr>
        <w:t xml:space="preserve"> de las acciones personales y, por consiguiente, de 15 años del </w:t>
      </w:r>
      <w:r w:rsidR="00800506" w:rsidRPr="00865FB3">
        <w:rPr>
          <w:rFonts w:ascii="Arial" w:hAnsi="Arial" w:cs="Arial"/>
          <w:b/>
          <w:i/>
          <w:sz w:val="22"/>
          <w:szCs w:val="22"/>
          <w:u w:val="single"/>
        </w:rPr>
        <w:t>art. 1964</w:t>
      </w:r>
      <w:r w:rsidR="00800506" w:rsidRPr="00865FB3">
        <w:rPr>
          <w:rFonts w:ascii="Arial" w:hAnsi="Arial" w:cs="Arial"/>
          <w:sz w:val="22"/>
          <w:szCs w:val="22"/>
        </w:rPr>
        <w:t>” (el autor, como es obvio, hacía referencia al plazo de 15 años dado que el texto citado es anterior a la reforma del art. 1964).</w:t>
      </w:r>
    </w:p>
    <w:p w14:paraId="019E8CE2" w14:textId="64FC682D" w:rsidR="00800506" w:rsidRPr="00865FB3" w:rsidRDefault="0027094E" w:rsidP="00865FB3">
      <w:pPr>
        <w:pStyle w:val="Prrafodelista"/>
        <w:widowControl w:val="0"/>
        <w:numPr>
          <w:ilvl w:val="0"/>
          <w:numId w:val="5"/>
        </w:numPr>
        <w:spacing w:after="240" w:line="360" w:lineRule="auto"/>
        <w:ind w:left="0" w:hanging="851"/>
        <w:rPr>
          <w:rFonts w:ascii="Arial" w:hAnsi="Arial" w:cs="Arial"/>
          <w:sz w:val="22"/>
          <w:szCs w:val="22"/>
        </w:rPr>
      </w:pPr>
      <w:r w:rsidRPr="00865FB3">
        <w:rPr>
          <w:rFonts w:ascii="Arial" w:hAnsi="Arial" w:cs="Arial"/>
          <w:sz w:val="22"/>
          <w:szCs w:val="22"/>
        </w:rPr>
        <w:t>También l</w:t>
      </w:r>
      <w:r w:rsidR="00800506" w:rsidRPr="00865FB3">
        <w:rPr>
          <w:rFonts w:ascii="Arial" w:hAnsi="Arial" w:cs="Arial"/>
          <w:sz w:val="22"/>
          <w:szCs w:val="22"/>
        </w:rPr>
        <w:t xml:space="preserve">a </w:t>
      </w:r>
      <w:r w:rsidR="00800506" w:rsidRPr="00865FB3">
        <w:rPr>
          <w:rFonts w:ascii="Arial" w:hAnsi="Arial" w:cs="Arial"/>
          <w:b/>
          <w:sz w:val="22"/>
          <w:szCs w:val="22"/>
        </w:rPr>
        <w:t>jurisprudencia menor de la mayoría de las Audiencias Provinciales</w:t>
      </w:r>
      <w:r w:rsidR="00111780" w:rsidRPr="00865FB3">
        <w:rPr>
          <w:rFonts w:ascii="Arial" w:hAnsi="Arial" w:cs="Arial"/>
          <w:sz w:val="22"/>
          <w:szCs w:val="22"/>
        </w:rPr>
        <w:t xml:space="preserve"> </w:t>
      </w:r>
      <w:r w:rsidR="00800506" w:rsidRPr="00865FB3">
        <w:rPr>
          <w:rFonts w:ascii="Arial" w:hAnsi="Arial" w:cs="Arial"/>
          <w:sz w:val="22"/>
          <w:szCs w:val="22"/>
        </w:rPr>
        <w:t xml:space="preserve">admite la prescripción de las pretensiones de devolución de cantidades en los casos de nulidad parcial </w:t>
      </w:r>
      <w:r w:rsidR="00800506" w:rsidRPr="00865FB3">
        <w:rPr>
          <w:rFonts w:ascii="Arial" w:hAnsi="Arial" w:cs="Arial"/>
          <w:sz w:val="22"/>
          <w:szCs w:val="22"/>
        </w:rPr>
        <w:lastRenderedPageBreak/>
        <w:t>del contrato de préstamo hipotecario por cláusulas de gastos</w:t>
      </w:r>
      <w:r w:rsidR="00800506" w:rsidRPr="00865FB3">
        <w:rPr>
          <w:rFonts w:ascii="Arial" w:hAnsi="Arial" w:cs="Arial"/>
          <w:sz w:val="22"/>
          <w:szCs w:val="22"/>
          <w:vertAlign w:val="superscript"/>
        </w:rPr>
        <w:footnoteReference w:id="5"/>
      </w:r>
      <w:r w:rsidR="00800506" w:rsidRPr="00865FB3">
        <w:rPr>
          <w:rFonts w:ascii="Arial" w:hAnsi="Arial" w:cs="Arial"/>
          <w:sz w:val="22"/>
          <w:szCs w:val="22"/>
        </w:rPr>
        <w:t xml:space="preserve"> y cláusulas suelo</w:t>
      </w:r>
      <w:r w:rsidR="00800506" w:rsidRPr="00865FB3">
        <w:rPr>
          <w:rFonts w:ascii="Arial" w:hAnsi="Arial" w:cs="Arial"/>
          <w:sz w:val="22"/>
          <w:szCs w:val="22"/>
          <w:vertAlign w:val="superscript"/>
        </w:rPr>
        <w:footnoteReference w:id="6"/>
      </w:r>
      <w:r w:rsidR="00800506" w:rsidRPr="00865FB3">
        <w:rPr>
          <w:rFonts w:ascii="Arial" w:hAnsi="Arial" w:cs="Arial"/>
          <w:sz w:val="22"/>
          <w:szCs w:val="22"/>
        </w:rPr>
        <w:t xml:space="preserve"> abusivas con arreglo a la normativa de consumidores y usuarios. En estos supuestos, esas Audiencias Provinciales distinguen entre la acción de nulidad radical de la cláusula por abusiva (imprescriptible, como también lo es la acción de nulidad por usura) y la acción de restitución de las cantidades indebidamente cobradas por aplicación de la cláusula abusiva (sujeta a los plazos de prescripción de las acciones personales). </w:t>
      </w:r>
    </w:p>
    <w:p w14:paraId="28CDED92" w14:textId="28310696" w:rsidR="00800506" w:rsidRPr="00865FB3" w:rsidRDefault="002564A8" w:rsidP="00865FB3">
      <w:pPr>
        <w:pStyle w:val="Prrafodelista"/>
        <w:widowControl w:val="0"/>
        <w:numPr>
          <w:ilvl w:val="0"/>
          <w:numId w:val="5"/>
        </w:numPr>
        <w:spacing w:after="240" w:line="360" w:lineRule="auto"/>
        <w:ind w:left="0" w:hanging="851"/>
        <w:rPr>
          <w:rFonts w:ascii="Arial" w:hAnsi="Arial" w:cs="Arial"/>
          <w:sz w:val="22"/>
          <w:szCs w:val="22"/>
        </w:rPr>
      </w:pPr>
      <w:r w:rsidRPr="00865FB3">
        <w:rPr>
          <w:rFonts w:ascii="Arial" w:hAnsi="Arial" w:cs="Arial"/>
          <w:sz w:val="22"/>
          <w:szCs w:val="22"/>
        </w:rPr>
        <w:t xml:space="preserve">Pues bien, </w:t>
      </w:r>
      <w:r w:rsidR="00F76B55" w:rsidRPr="00865FB3">
        <w:rPr>
          <w:rFonts w:ascii="Arial" w:hAnsi="Arial" w:cs="Arial"/>
          <w:sz w:val="22"/>
          <w:szCs w:val="22"/>
        </w:rPr>
        <w:t xml:space="preserve">una vez </w:t>
      </w:r>
      <w:r w:rsidR="0027094E" w:rsidRPr="00865FB3">
        <w:rPr>
          <w:rFonts w:ascii="Arial" w:hAnsi="Arial" w:cs="Arial"/>
          <w:sz w:val="22"/>
          <w:szCs w:val="22"/>
        </w:rPr>
        <w:t xml:space="preserve">recordado </w:t>
      </w:r>
      <w:r w:rsidR="00765CCC" w:rsidRPr="00865FB3">
        <w:rPr>
          <w:rFonts w:ascii="Arial" w:hAnsi="Arial" w:cs="Arial"/>
          <w:sz w:val="22"/>
          <w:szCs w:val="22"/>
        </w:rPr>
        <w:t>lo anterior</w:t>
      </w:r>
      <w:r w:rsidR="00FF31A0" w:rsidRPr="00865FB3">
        <w:rPr>
          <w:rFonts w:ascii="Arial" w:hAnsi="Arial" w:cs="Arial"/>
          <w:sz w:val="22"/>
          <w:szCs w:val="22"/>
        </w:rPr>
        <w:t xml:space="preserve">, </w:t>
      </w:r>
      <w:r w:rsidRPr="00865FB3">
        <w:rPr>
          <w:rFonts w:ascii="Arial" w:hAnsi="Arial" w:cs="Arial"/>
          <w:sz w:val="22"/>
          <w:szCs w:val="22"/>
        </w:rPr>
        <w:t>lo cierto es que lo</w:t>
      </w:r>
      <w:r w:rsidR="00800506" w:rsidRPr="00865FB3">
        <w:rPr>
          <w:rFonts w:ascii="Arial" w:hAnsi="Arial" w:cs="Arial"/>
          <w:sz w:val="22"/>
          <w:szCs w:val="22"/>
        </w:rPr>
        <w:t xml:space="preserve"> se cuestiona actualmente por algunas de estas sentencias de Audiencias Provinciales es el momento en el que debe ser fijado el </w:t>
      </w:r>
      <w:proofErr w:type="spellStart"/>
      <w:r w:rsidR="00800506" w:rsidRPr="00865FB3">
        <w:rPr>
          <w:rFonts w:ascii="Arial" w:hAnsi="Arial" w:cs="Arial"/>
          <w:i/>
          <w:sz w:val="22"/>
          <w:szCs w:val="22"/>
        </w:rPr>
        <w:t>dies</w:t>
      </w:r>
      <w:proofErr w:type="spellEnd"/>
      <w:r w:rsidR="00800506" w:rsidRPr="00865FB3">
        <w:rPr>
          <w:rFonts w:ascii="Arial" w:hAnsi="Arial" w:cs="Arial"/>
          <w:i/>
          <w:sz w:val="22"/>
          <w:szCs w:val="22"/>
        </w:rPr>
        <w:t xml:space="preserve"> a quo</w:t>
      </w:r>
      <w:r w:rsidR="00800506" w:rsidRPr="00865FB3">
        <w:rPr>
          <w:rFonts w:ascii="Arial" w:hAnsi="Arial" w:cs="Arial"/>
          <w:sz w:val="22"/>
          <w:szCs w:val="22"/>
        </w:rPr>
        <w:t xml:space="preserve"> del plazo de prescripción de la acción restitutoria cuando nos encontramos ante normativa europea de Derecho de los consumidores y usuarios (sin que el Tribunal Supremo se haya pronunciado aún al respecto de manera definitiva), pero </w:t>
      </w:r>
      <w:r w:rsidR="00800506" w:rsidRPr="00865FB3">
        <w:rPr>
          <w:rFonts w:ascii="Arial" w:hAnsi="Arial" w:cs="Arial"/>
          <w:sz w:val="22"/>
          <w:szCs w:val="22"/>
          <w:u w:val="single"/>
        </w:rPr>
        <w:t>estas dudas no afectan a la LRU, dado que esta norma no es Derecho de la Unión Europea ni normativa de consumo</w:t>
      </w:r>
      <w:r w:rsidR="00800506" w:rsidRPr="00865FB3">
        <w:rPr>
          <w:rFonts w:ascii="Arial" w:hAnsi="Arial" w:cs="Arial"/>
          <w:sz w:val="22"/>
          <w:szCs w:val="22"/>
        </w:rPr>
        <w:t>.</w:t>
      </w:r>
      <w:r w:rsidRPr="00865FB3">
        <w:rPr>
          <w:rFonts w:ascii="Arial" w:hAnsi="Arial" w:cs="Arial"/>
          <w:sz w:val="22"/>
          <w:szCs w:val="22"/>
        </w:rPr>
        <w:t xml:space="preserve"> Recordemos que el fallo de la Sentencia recurrida estimaba la demanda en el siguiente sentido:</w:t>
      </w:r>
    </w:p>
    <w:p w14:paraId="248C7B98" w14:textId="2BC554B6" w:rsidR="002564A8" w:rsidRPr="00865FB3" w:rsidRDefault="005D100F" w:rsidP="00865FB3">
      <w:pPr>
        <w:pStyle w:val="Prrafodelista"/>
        <w:widowControl w:val="0"/>
        <w:spacing w:after="240" w:line="360" w:lineRule="auto"/>
        <w:rPr>
          <w:rFonts w:ascii="Arial" w:hAnsi="Arial" w:cs="Arial"/>
          <w:sz w:val="22"/>
          <w:szCs w:val="22"/>
        </w:rPr>
      </w:pPr>
      <w:r w:rsidRPr="00865FB3">
        <w:rPr>
          <w:rFonts w:ascii="Arial" w:hAnsi="Arial" w:cs="Arial"/>
          <w:sz w:val="22"/>
          <w:szCs w:val="22"/>
          <w:highlight w:val="yellow"/>
        </w:rPr>
        <w:t>“</w:t>
      </w:r>
      <w:r w:rsidR="00F01B2D" w:rsidRPr="00865FB3">
        <w:rPr>
          <w:rFonts w:ascii="Arial" w:hAnsi="Arial" w:cs="Arial"/>
          <w:i/>
          <w:iCs/>
          <w:sz w:val="22"/>
          <w:szCs w:val="22"/>
          <w:highlight w:val="yellow"/>
        </w:rPr>
        <w:t xml:space="preserve">DECLARO la nulidad del contrato tarjeta de crédito Wizink con número 0004909437211502610 suscrito entre las partes en fecha 28/01/2005 al establecer un interés </w:t>
      </w:r>
      <w:r w:rsidR="00F01B2D" w:rsidRPr="00865FB3">
        <w:rPr>
          <w:rFonts w:ascii="Arial" w:hAnsi="Arial" w:cs="Arial"/>
          <w:b/>
          <w:bCs/>
          <w:i/>
          <w:iCs/>
          <w:sz w:val="22"/>
          <w:szCs w:val="22"/>
          <w:highlight w:val="yellow"/>
          <w:u w:val="single"/>
        </w:rPr>
        <w:t>remuneratorio usurario</w:t>
      </w:r>
      <w:r w:rsidR="00C34319" w:rsidRPr="00865FB3">
        <w:rPr>
          <w:rFonts w:ascii="Arial" w:hAnsi="Arial" w:cs="Arial"/>
          <w:sz w:val="22"/>
          <w:szCs w:val="22"/>
          <w:highlight w:val="yellow"/>
        </w:rPr>
        <w:t>.</w:t>
      </w:r>
      <w:r w:rsidRPr="00865FB3">
        <w:rPr>
          <w:rFonts w:ascii="Arial" w:hAnsi="Arial" w:cs="Arial"/>
          <w:sz w:val="22"/>
          <w:szCs w:val="22"/>
          <w:highlight w:val="yellow"/>
        </w:rPr>
        <w:t>”</w:t>
      </w:r>
      <w:r w:rsidR="00C34319" w:rsidRPr="00865FB3">
        <w:rPr>
          <w:rFonts w:ascii="Arial" w:hAnsi="Arial" w:cs="Arial"/>
          <w:sz w:val="22"/>
          <w:szCs w:val="22"/>
          <w:highlight w:val="yellow"/>
        </w:rPr>
        <w:t xml:space="preserve"> [El subrayado y la negrita son nuestros].</w:t>
      </w:r>
    </w:p>
    <w:p w14:paraId="7F1FB860" w14:textId="6BBECF48" w:rsidR="00800506" w:rsidRPr="00865FB3" w:rsidRDefault="00447ABC" w:rsidP="00865FB3">
      <w:pPr>
        <w:pStyle w:val="Prrafodelista"/>
        <w:widowControl w:val="0"/>
        <w:numPr>
          <w:ilvl w:val="0"/>
          <w:numId w:val="5"/>
        </w:numPr>
        <w:spacing w:after="240" w:line="360" w:lineRule="auto"/>
        <w:ind w:left="0" w:hanging="851"/>
        <w:rPr>
          <w:rFonts w:ascii="Arial" w:hAnsi="Arial" w:cs="Arial"/>
          <w:sz w:val="22"/>
          <w:szCs w:val="22"/>
        </w:rPr>
      </w:pPr>
      <w:r w:rsidRPr="00865FB3">
        <w:rPr>
          <w:rFonts w:ascii="Arial" w:hAnsi="Arial" w:cs="Arial"/>
          <w:sz w:val="22"/>
          <w:szCs w:val="22"/>
        </w:rPr>
        <w:t>No obstante, p</w:t>
      </w:r>
      <w:r w:rsidR="0024223E" w:rsidRPr="00865FB3">
        <w:rPr>
          <w:rFonts w:ascii="Arial" w:hAnsi="Arial" w:cs="Arial"/>
          <w:sz w:val="22"/>
          <w:szCs w:val="22"/>
        </w:rPr>
        <w:t>or su parte,</w:t>
      </w:r>
      <w:r w:rsidR="005D100F" w:rsidRPr="00865FB3">
        <w:rPr>
          <w:rFonts w:ascii="Arial" w:hAnsi="Arial" w:cs="Arial"/>
          <w:sz w:val="22"/>
          <w:szCs w:val="22"/>
        </w:rPr>
        <w:t xml:space="preserve"> l</w:t>
      </w:r>
      <w:r w:rsidR="00800506" w:rsidRPr="00865FB3">
        <w:rPr>
          <w:rFonts w:ascii="Arial" w:hAnsi="Arial" w:cs="Arial"/>
          <w:sz w:val="22"/>
          <w:szCs w:val="22"/>
        </w:rPr>
        <w:t xml:space="preserve">a </w:t>
      </w:r>
      <w:r w:rsidR="00800506" w:rsidRPr="00865FB3">
        <w:rPr>
          <w:rFonts w:ascii="Arial" w:hAnsi="Arial" w:cs="Arial"/>
          <w:b/>
          <w:sz w:val="22"/>
          <w:szCs w:val="22"/>
        </w:rPr>
        <w:t>doctrina del Tribunal de Justicia de la Unión Europea (“TJUE”) en materia de prescripción de las acciones de restitución de cantidades abonadas en aplicación de una cláusula abusiva</w:t>
      </w:r>
      <w:r w:rsidR="00800506" w:rsidRPr="00865FB3">
        <w:rPr>
          <w:rFonts w:ascii="Arial" w:hAnsi="Arial" w:cs="Arial"/>
          <w:sz w:val="22"/>
          <w:szCs w:val="22"/>
        </w:rPr>
        <w:t xml:space="preserve">, </w:t>
      </w:r>
      <w:r w:rsidRPr="00865FB3">
        <w:rPr>
          <w:rFonts w:ascii="Arial" w:hAnsi="Arial" w:cs="Arial"/>
          <w:sz w:val="22"/>
          <w:szCs w:val="22"/>
        </w:rPr>
        <w:t xml:space="preserve">ya </w:t>
      </w:r>
      <w:r w:rsidR="005D100F" w:rsidRPr="00865FB3">
        <w:rPr>
          <w:rFonts w:ascii="Arial" w:hAnsi="Arial" w:cs="Arial"/>
          <w:sz w:val="22"/>
          <w:szCs w:val="22"/>
        </w:rPr>
        <w:t xml:space="preserve">ha declarado </w:t>
      </w:r>
      <w:r w:rsidR="00800506" w:rsidRPr="00865FB3">
        <w:rPr>
          <w:rFonts w:ascii="Arial" w:hAnsi="Arial" w:cs="Arial"/>
          <w:sz w:val="22"/>
          <w:szCs w:val="22"/>
        </w:rPr>
        <w:t xml:space="preserve">que la fijación de plazos razonables de carácter preclusivo para el consumidor es compatible con el Derecho de la Unión a la vista del interés de proteger la seguridad jurídica. Esta doctrina, que ya se contenía </w:t>
      </w:r>
      <w:r w:rsidR="00800506" w:rsidRPr="00865FB3">
        <w:rPr>
          <w:rFonts w:ascii="Arial" w:hAnsi="Arial" w:cs="Arial"/>
          <w:sz w:val="22"/>
          <w:szCs w:val="22"/>
        </w:rPr>
        <w:lastRenderedPageBreak/>
        <w:t>en las Sentencias de 6 octubre de 2009 (</w:t>
      </w:r>
      <w:proofErr w:type="spellStart"/>
      <w:r w:rsidR="00800506" w:rsidRPr="00865FB3">
        <w:rPr>
          <w:rFonts w:ascii="Arial" w:hAnsi="Arial" w:cs="Arial"/>
          <w:sz w:val="22"/>
          <w:szCs w:val="22"/>
        </w:rPr>
        <w:t>Asturcom</w:t>
      </w:r>
      <w:proofErr w:type="spellEnd"/>
      <w:r w:rsidR="00800506" w:rsidRPr="00865FB3">
        <w:rPr>
          <w:rFonts w:ascii="Arial" w:hAnsi="Arial" w:cs="Arial"/>
          <w:sz w:val="22"/>
          <w:szCs w:val="22"/>
        </w:rPr>
        <w:t xml:space="preserve"> Telecomunicaciones, C</w:t>
      </w:r>
      <w:r w:rsidR="00800506" w:rsidRPr="00865FB3">
        <w:rPr>
          <w:rFonts w:ascii="Arial" w:hAnsi="Arial" w:cs="Arial"/>
          <w:sz w:val="22"/>
          <w:szCs w:val="22"/>
        </w:rPr>
        <w:noBreakHyphen/>
        <w:t>40/08, EU:C:2009:615, apartado 41) y de 21 de diciembre de 2016 (Gutiérrez Naranjo, C</w:t>
      </w:r>
      <w:r w:rsidR="00800506" w:rsidRPr="00865FB3">
        <w:rPr>
          <w:rFonts w:ascii="Arial" w:hAnsi="Arial" w:cs="Arial"/>
          <w:sz w:val="22"/>
          <w:szCs w:val="22"/>
        </w:rPr>
        <w:noBreakHyphen/>
        <w:t>154/15, C</w:t>
      </w:r>
      <w:r w:rsidR="00800506" w:rsidRPr="00865FB3">
        <w:rPr>
          <w:rFonts w:ascii="Arial" w:hAnsi="Arial" w:cs="Arial"/>
          <w:sz w:val="22"/>
          <w:szCs w:val="22"/>
        </w:rPr>
        <w:noBreakHyphen/>
        <w:t>307/15 y C</w:t>
      </w:r>
      <w:r w:rsidR="00800506" w:rsidRPr="00865FB3">
        <w:rPr>
          <w:rFonts w:ascii="Arial" w:hAnsi="Arial" w:cs="Arial"/>
          <w:sz w:val="22"/>
          <w:szCs w:val="22"/>
        </w:rPr>
        <w:noBreakHyphen/>
        <w:t xml:space="preserve">308/15, EU:C:2016:980, apartado 69), se ha reiterado en dos sentencias más recientes: la de 9 de julio de 2020, SC </w:t>
      </w:r>
      <w:proofErr w:type="spellStart"/>
      <w:r w:rsidR="00800506" w:rsidRPr="00865FB3">
        <w:rPr>
          <w:rFonts w:ascii="Arial" w:hAnsi="Arial" w:cs="Arial"/>
          <w:sz w:val="22"/>
          <w:szCs w:val="22"/>
        </w:rPr>
        <w:t>Raiffeisen</w:t>
      </w:r>
      <w:proofErr w:type="spellEnd"/>
      <w:r w:rsidR="00800506" w:rsidRPr="00865FB3">
        <w:rPr>
          <w:rFonts w:ascii="Arial" w:hAnsi="Arial" w:cs="Arial"/>
          <w:sz w:val="22"/>
          <w:szCs w:val="22"/>
        </w:rPr>
        <w:t xml:space="preserve"> Bank SA y BRD </w:t>
      </w:r>
      <w:proofErr w:type="spellStart"/>
      <w:r w:rsidR="00800506" w:rsidRPr="00865FB3">
        <w:rPr>
          <w:rFonts w:ascii="Arial" w:hAnsi="Arial" w:cs="Arial"/>
          <w:sz w:val="22"/>
          <w:szCs w:val="22"/>
        </w:rPr>
        <w:t>Groupe</w:t>
      </w:r>
      <w:proofErr w:type="spellEnd"/>
      <w:r w:rsidR="00800506" w:rsidRPr="00865FB3">
        <w:rPr>
          <w:rFonts w:ascii="Arial" w:hAnsi="Arial" w:cs="Arial"/>
          <w:sz w:val="22"/>
          <w:szCs w:val="22"/>
        </w:rPr>
        <w:t xml:space="preserve"> </w:t>
      </w:r>
      <w:proofErr w:type="spellStart"/>
      <w:r w:rsidR="00800506" w:rsidRPr="00865FB3">
        <w:rPr>
          <w:rFonts w:ascii="Arial" w:hAnsi="Arial" w:cs="Arial"/>
          <w:sz w:val="22"/>
          <w:szCs w:val="22"/>
        </w:rPr>
        <w:t>Sociéte</w:t>
      </w:r>
      <w:proofErr w:type="spellEnd"/>
      <w:r w:rsidR="00800506" w:rsidRPr="00865FB3">
        <w:rPr>
          <w:rFonts w:ascii="Arial" w:hAnsi="Arial" w:cs="Arial"/>
          <w:sz w:val="22"/>
          <w:szCs w:val="22"/>
        </w:rPr>
        <w:t xml:space="preserve"> Générale SA, C-698/18 y C-699/18, y la de 16 de julio de 2020, </w:t>
      </w:r>
      <w:proofErr w:type="spellStart"/>
      <w:r w:rsidR="00800506" w:rsidRPr="00865FB3">
        <w:rPr>
          <w:rFonts w:ascii="Arial" w:hAnsi="Arial" w:cs="Arial"/>
          <w:sz w:val="22"/>
          <w:szCs w:val="22"/>
        </w:rPr>
        <w:t>Caixabank</w:t>
      </w:r>
      <w:proofErr w:type="spellEnd"/>
      <w:r w:rsidR="00800506" w:rsidRPr="00865FB3">
        <w:rPr>
          <w:rFonts w:ascii="Arial" w:hAnsi="Arial" w:cs="Arial"/>
          <w:sz w:val="22"/>
          <w:szCs w:val="22"/>
        </w:rPr>
        <w:t>, SA, BBVA, SA, C-224/19 y C-259/19.</w:t>
      </w:r>
    </w:p>
    <w:p w14:paraId="74F10DD2" w14:textId="452131B3" w:rsidR="00B06B5F" w:rsidRPr="00865FB3" w:rsidRDefault="00B06B5F" w:rsidP="00865FB3">
      <w:pPr>
        <w:pStyle w:val="Prrafodelista"/>
        <w:widowControl w:val="0"/>
        <w:numPr>
          <w:ilvl w:val="0"/>
          <w:numId w:val="5"/>
        </w:numPr>
        <w:spacing w:after="240" w:line="360" w:lineRule="auto"/>
        <w:ind w:left="0" w:hanging="851"/>
        <w:rPr>
          <w:rFonts w:ascii="Arial" w:hAnsi="Arial" w:cs="Arial"/>
          <w:sz w:val="22"/>
          <w:szCs w:val="22"/>
        </w:rPr>
      </w:pPr>
      <w:r w:rsidRPr="00865FB3">
        <w:rPr>
          <w:rFonts w:ascii="Arial" w:hAnsi="Arial" w:cs="Arial"/>
          <w:sz w:val="22"/>
          <w:szCs w:val="22"/>
        </w:rPr>
        <w:t>L</w:t>
      </w:r>
      <w:r w:rsidR="00800506" w:rsidRPr="00865FB3">
        <w:rPr>
          <w:rFonts w:ascii="Arial" w:hAnsi="Arial" w:cs="Arial"/>
          <w:sz w:val="22"/>
          <w:szCs w:val="22"/>
        </w:rPr>
        <w:t xml:space="preserve">a </w:t>
      </w:r>
      <w:r w:rsidR="00111780" w:rsidRPr="00865FB3">
        <w:rPr>
          <w:rFonts w:ascii="Arial" w:hAnsi="Arial" w:cs="Arial"/>
          <w:sz w:val="22"/>
          <w:szCs w:val="22"/>
        </w:rPr>
        <w:t xml:space="preserve">más reciente </w:t>
      </w:r>
      <w:r w:rsidR="00800506" w:rsidRPr="00865FB3">
        <w:rPr>
          <w:rFonts w:ascii="Arial" w:hAnsi="Arial" w:cs="Arial"/>
          <w:sz w:val="22"/>
          <w:szCs w:val="22"/>
        </w:rPr>
        <w:t xml:space="preserve">Sentencia de 22 de abril de 2021, LH y </w:t>
      </w:r>
      <w:proofErr w:type="spellStart"/>
      <w:r w:rsidR="00800506" w:rsidRPr="00865FB3">
        <w:rPr>
          <w:rFonts w:ascii="Arial" w:hAnsi="Arial" w:cs="Arial"/>
          <w:sz w:val="22"/>
          <w:szCs w:val="22"/>
        </w:rPr>
        <w:t>Profi</w:t>
      </w:r>
      <w:proofErr w:type="spellEnd"/>
      <w:r w:rsidR="00800506" w:rsidRPr="00865FB3">
        <w:rPr>
          <w:rFonts w:ascii="Arial" w:hAnsi="Arial" w:cs="Arial"/>
          <w:sz w:val="22"/>
          <w:szCs w:val="22"/>
        </w:rPr>
        <w:t xml:space="preserve"> </w:t>
      </w:r>
      <w:proofErr w:type="spellStart"/>
      <w:r w:rsidR="00800506" w:rsidRPr="00865FB3">
        <w:rPr>
          <w:rFonts w:ascii="Arial" w:hAnsi="Arial" w:cs="Arial"/>
          <w:sz w:val="22"/>
          <w:szCs w:val="22"/>
        </w:rPr>
        <w:t>Credit</w:t>
      </w:r>
      <w:proofErr w:type="spellEnd"/>
      <w:r w:rsidR="00800506" w:rsidRPr="00865FB3">
        <w:rPr>
          <w:rFonts w:ascii="Arial" w:hAnsi="Arial" w:cs="Arial"/>
          <w:sz w:val="22"/>
          <w:szCs w:val="22"/>
        </w:rPr>
        <w:t xml:space="preserve"> </w:t>
      </w:r>
      <w:proofErr w:type="spellStart"/>
      <w:r w:rsidR="00800506" w:rsidRPr="00865FB3">
        <w:rPr>
          <w:rFonts w:ascii="Arial" w:hAnsi="Arial" w:cs="Arial"/>
          <w:sz w:val="22"/>
          <w:szCs w:val="22"/>
        </w:rPr>
        <w:t>Slovakia</w:t>
      </w:r>
      <w:proofErr w:type="spellEnd"/>
      <w:r w:rsidR="00800506" w:rsidRPr="00865FB3">
        <w:rPr>
          <w:rFonts w:ascii="Arial" w:hAnsi="Arial" w:cs="Arial"/>
          <w:sz w:val="22"/>
          <w:szCs w:val="22"/>
        </w:rPr>
        <w:t xml:space="preserve">, </w:t>
      </w:r>
      <w:proofErr w:type="spellStart"/>
      <w:r w:rsidR="00800506" w:rsidRPr="00865FB3">
        <w:rPr>
          <w:rFonts w:ascii="Arial" w:hAnsi="Arial" w:cs="Arial"/>
          <w:sz w:val="22"/>
          <w:szCs w:val="22"/>
        </w:rPr>
        <w:t>sro</w:t>
      </w:r>
      <w:proofErr w:type="spellEnd"/>
      <w:r w:rsidR="00800506" w:rsidRPr="00865FB3">
        <w:rPr>
          <w:rFonts w:ascii="Arial" w:hAnsi="Arial" w:cs="Arial"/>
          <w:sz w:val="22"/>
          <w:szCs w:val="22"/>
        </w:rPr>
        <w:t>, C-485/19 (la “</w:t>
      </w:r>
      <w:r w:rsidR="00800506" w:rsidRPr="00865FB3">
        <w:rPr>
          <w:rFonts w:ascii="Arial" w:hAnsi="Arial" w:cs="Arial"/>
          <w:b/>
          <w:sz w:val="22"/>
          <w:szCs w:val="22"/>
        </w:rPr>
        <w:t>STJUE de 22 de abril de 202</w:t>
      </w:r>
      <w:r w:rsidR="000F0A92" w:rsidRPr="00865FB3">
        <w:rPr>
          <w:rFonts w:ascii="Arial" w:hAnsi="Arial" w:cs="Arial"/>
          <w:b/>
          <w:sz w:val="22"/>
          <w:szCs w:val="22"/>
        </w:rPr>
        <w:t>1</w:t>
      </w:r>
      <w:r w:rsidR="000F0A92" w:rsidRPr="00865FB3">
        <w:rPr>
          <w:rFonts w:ascii="Arial" w:hAnsi="Arial" w:cs="Arial"/>
          <w:bCs/>
          <w:sz w:val="22"/>
          <w:szCs w:val="22"/>
        </w:rPr>
        <w:t>”)</w:t>
      </w:r>
      <w:r w:rsidR="00800506" w:rsidRPr="00865FB3">
        <w:rPr>
          <w:rFonts w:ascii="Arial" w:hAnsi="Arial" w:cs="Arial"/>
          <w:sz w:val="22"/>
          <w:szCs w:val="22"/>
        </w:rPr>
        <w:t xml:space="preserve"> se limita a realizar unas consideraciones que ya eran evidentes a la luz de las SSTJUE de julio de 2020: los plazos de prescripción cortos (como el analizado en la STJUE de 22 de abril de 2021) cuya interrupción sea muy difícil para el consumidor, unidos a una concepción puramente objetiva del </w:t>
      </w:r>
      <w:proofErr w:type="spellStart"/>
      <w:r w:rsidR="00800506" w:rsidRPr="00865FB3">
        <w:rPr>
          <w:rFonts w:ascii="Arial" w:hAnsi="Arial" w:cs="Arial"/>
          <w:i/>
          <w:sz w:val="22"/>
          <w:szCs w:val="22"/>
        </w:rPr>
        <w:t>dies</w:t>
      </w:r>
      <w:proofErr w:type="spellEnd"/>
      <w:r w:rsidR="00800506" w:rsidRPr="00865FB3">
        <w:rPr>
          <w:rFonts w:ascii="Arial" w:hAnsi="Arial" w:cs="Arial"/>
          <w:i/>
          <w:sz w:val="22"/>
          <w:szCs w:val="22"/>
        </w:rPr>
        <w:t xml:space="preserve"> a quo </w:t>
      </w:r>
      <w:r w:rsidR="00800506" w:rsidRPr="00865FB3">
        <w:rPr>
          <w:rFonts w:ascii="Arial" w:hAnsi="Arial" w:cs="Arial"/>
          <w:sz w:val="22"/>
          <w:szCs w:val="22"/>
        </w:rPr>
        <w:t xml:space="preserve">(entendido como la fecha en la que se realiza el pago cuya restitución se pretende) son contrarios al principio de efectividad del Derecho de la Unión (en relación con la Directiva 93/13). </w:t>
      </w:r>
    </w:p>
    <w:p w14:paraId="7EF13FDF" w14:textId="257C7CDE" w:rsidR="00800506" w:rsidRPr="00865FB3" w:rsidRDefault="00B06B5F" w:rsidP="00865FB3">
      <w:pPr>
        <w:pStyle w:val="Prrafodelista"/>
        <w:widowControl w:val="0"/>
        <w:numPr>
          <w:ilvl w:val="0"/>
          <w:numId w:val="5"/>
        </w:numPr>
        <w:spacing w:after="240" w:line="360" w:lineRule="auto"/>
        <w:ind w:left="0" w:hanging="851"/>
        <w:rPr>
          <w:rFonts w:ascii="Arial" w:hAnsi="Arial" w:cs="Arial"/>
          <w:sz w:val="22"/>
          <w:szCs w:val="22"/>
        </w:rPr>
      </w:pPr>
      <w:r w:rsidRPr="00865FB3">
        <w:rPr>
          <w:rFonts w:ascii="Arial" w:hAnsi="Arial" w:cs="Arial"/>
          <w:sz w:val="22"/>
          <w:szCs w:val="22"/>
        </w:rPr>
        <w:t>Sin embargo, c</w:t>
      </w:r>
      <w:r w:rsidR="00800506" w:rsidRPr="00865FB3">
        <w:rPr>
          <w:rFonts w:ascii="Arial" w:hAnsi="Arial" w:cs="Arial"/>
          <w:sz w:val="22"/>
          <w:szCs w:val="22"/>
        </w:rPr>
        <w:t xml:space="preserve">omo queda dicho, </w:t>
      </w:r>
      <w:r w:rsidR="00800506" w:rsidRPr="00865FB3">
        <w:rPr>
          <w:rFonts w:ascii="Arial" w:hAnsi="Arial" w:cs="Arial"/>
          <w:sz w:val="22"/>
          <w:szCs w:val="22"/>
          <w:u w:val="single"/>
        </w:rPr>
        <w:t>estas consideraciones tampoco son predicables de la normativa de usura, que no es normativa de consumo ni Derecho comunitario</w:t>
      </w:r>
      <w:r w:rsidR="00800506" w:rsidRPr="00865FB3">
        <w:rPr>
          <w:rFonts w:ascii="Arial" w:hAnsi="Arial" w:cs="Arial"/>
          <w:sz w:val="22"/>
          <w:szCs w:val="22"/>
        </w:rPr>
        <w:t>.</w:t>
      </w:r>
    </w:p>
    <w:p w14:paraId="359CA7E6" w14:textId="282BADCF" w:rsidR="009F5AD9" w:rsidRPr="00865FB3" w:rsidRDefault="008E2713" w:rsidP="00865FB3">
      <w:pPr>
        <w:pStyle w:val="Prrafodelista"/>
        <w:widowControl w:val="0"/>
        <w:numPr>
          <w:ilvl w:val="0"/>
          <w:numId w:val="5"/>
        </w:numPr>
        <w:spacing w:after="240" w:line="360" w:lineRule="auto"/>
        <w:ind w:left="0" w:hanging="851"/>
        <w:rPr>
          <w:rFonts w:ascii="Arial" w:hAnsi="Arial" w:cs="Arial"/>
          <w:sz w:val="22"/>
          <w:szCs w:val="22"/>
          <w:lang w:val="es-ES_tradnl" w:eastAsia="ar-SA"/>
        </w:rPr>
      </w:pPr>
      <w:r w:rsidRPr="00865FB3">
        <w:rPr>
          <w:rFonts w:ascii="Arial" w:hAnsi="Arial" w:cs="Arial"/>
          <w:sz w:val="22"/>
          <w:szCs w:val="22"/>
          <w:lang w:eastAsia="ar-SA"/>
        </w:rPr>
        <w:t xml:space="preserve">Pues bien, a la vista de la </w:t>
      </w:r>
      <w:r w:rsidR="009F5AD9" w:rsidRPr="00865FB3">
        <w:rPr>
          <w:rFonts w:ascii="Arial" w:hAnsi="Arial" w:cs="Arial"/>
          <w:b/>
          <w:sz w:val="22"/>
          <w:szCs w:val="22"/>
          <w:lang w:val="es-ES_tradnl" w:eastAsia="ar-SA"/>
        </w:rPr>
        <w:t xml:space="preserve">mencionada </w:t>
      </w:r>
      <w:r w:rsidRPr="00865FB3">
        <w:rPr>
          <w:rFonts w:ascii="Arial" w:hAnsi="Arial" w:cs="Arial"/>
          <w:b/>
          <w:sz w:val="22"/>
          <w:szCs w:val="22"/>
          <w:lang w:val="es-ES_tradnl" w:eastAsia="ar-SA"/>
        </w:rPr>
        <w:t>jurisprudencia</w:t>
      </w:r>
      <w:r w:rsidR="00821623" w:rsidRPr="00865FB3">
        <w:rPr>
          <w:rFonts w:ascii="Arial" w:hAnsi="Arial" w:cs="Arial"/>
          <w:b/>
          <w:sz w:val="22"/>
          <w:szCs w:val="22"/>
          <w:lang w:val="es-ES_tradnl" w:eastAsia="ar-SA"/>
        </w:rPr>
        <w:t>,</w:t>
      </w:r>
      <w:r w:rsidRPr="00865FB3">
        <w:rPr>
          <w:rFonts w:ascii="Arial" w:hAnsi="Arial" w:cs="Arial"/>
          <w:b/>
          <w:sz w:val="22"/>
          <w:szCs w:val="22"/>
          <w:lang w:val="es-ES_tradnl" w:eastAsia="ar-SA"/>
        </w:rPr>
        <w:t xml:space="preserve"> en la que el TJUE ya ha </w:t>
      </w:r>
      <w:r w:rsidR="008A209F" w:rsidRPr="00865FB3">
        <w:rPr>
          <w:rFonts w:ascii="Arial" w:hAnsi="Arial" w:cs="Arial"/>
          <w:b/>
          <w:sz w:val="22"/>
          <w:szCs w:val="22"/>
          <w:lang w:val="es-ES_tradnl" w:eastAsia="ar-SA"/>
        </w:rPr>
        <w:t>admitido</w:t>
      </w:r>
      <w:r w:rsidR="00772E5B" w:rsidRPr="00865FB3">
        <w:rPr>
          <w:rFonts w:ascii="Arial" w:hAnsi="Arial" w:cs="Arial"/>
          <w:b/>
          <w:sz w:val="22"/>
          <w:szCs w:val="22"/>
          <w:lang w:val="es-ES_tradnl" w:eastAsia="ar-SA"/>
        </w:rPr>
        <w:t xml:space="preserve"> que</w:t>
      </w:r>
      <w:r w:rsidR="00F877A0" w:rsidRPr="00865FB3">
        <w:rPr>
          <w:rFonts w:ascii="Arial" w:hAnsi="Arial" w:cs="Arial"/>
          <w:b/>
          <w:sz w:val="22"/>
          <w:szCs w:val="22"/>
          <w:lang w:val="es-ES_tradnl" w:eastAsia="ar-SA"/>
        </w:rPr>
        <w:t>,</w:t>
      </w:r>
      <w:r w:rsidR="00772E5B" w:rsidRPr="00865FB3">
        <w:rPr>
          <w:rFonts w:ascii="Arial" w:hAnsi="Arial" w:cs="Arial"/>
          <w:b/>
          <w:sz w:val="22"/>
          <w:szCs w:val="22"/>
          <w:lang w:val="es-ES_tradnl" w:eastAsia="ar-SA"/>
        </w:rPr>
        <w:t xml:space="preserve"> </w:t>
      </w:r>
      <w:r w:rsidR="008A209F" w:rsidRPr="00865FB3">
        <w:rPr>
          <w:rFonts w:ascii="Arial" w:hAnsi="Arial" w:cs="Arial"/>
          <w:b/>
          <w:sz w:val="22"/>
          <w:szCs w:val="22"/>
          <w:lang w:val="es-ES_tradnl" w:eastAsia="ar-SA"/>
        </w:rPr>
        <w:t>en aras de proteger la seguridad jurídica</w:t>
      </w:r>
      <w:r w:rsidR="00821623" w:rsidRPr="00865FB3">
        <w:rPr>
          <w:rFonts w:ascii="Arial" w:hAnsi="Arial" w:cs="Arial"/>
          <w:b/>
          <w:sz w:val="22"/>
          <w:szCs w:val="22"/>
          <w:lang w:val="es-ES_tradnl" w:eastAsia="ar-SA"/>
        </w:rPr>
        <w:t>,</w:t>
      </w:r>
      <w:r w:rsidR="008A209F" w:rsidRPr="00865FB3">
        <w:rPr>
          <w:rFonts w:ascii="Arial" w:hAnsi="Arial" w:cs="Arial"/>
          <w:b/>
          <w:sz w:val="22"/>
          <w:szCs w:val="22"/>
          <w:lang w:val="es-ES_tradnl" w:eastAsia="ar-SA"/>
        </w:rPr>
        <w:t xml:space="preserve"> </w:t>
      </w:r>
      <w:r w:rsidR="00733033" w:rsidRPr="00865FB3">
        <w:rPr>
          <w:rFonts w:ascii="Arial" w:hAnsi="Arial" w:cs="Arial"/>
          <w:b/>
          <w:sz w:val="22"/>
          <w:szCs w:val="22"/>
          <w:lang w:val="es-ES_tradnl" w:eastAsia="ar-SA"/>
        </w:rPr>
        <w:t xml:space="preserve">han de existir </w:t>
      </w:r>
      <w:r w:rsidR="00772E5B" w:rsidRPr="00865FB3">
        <w:rPr>
          <w:rFonts w:ascii="Arial" w:hAnsi="Arial" w:cs="Arial"/>
          <w:b/>
          <w:sz w:val="22"/>
          <w:szCs w:val="22"/>
          <w:lang w:val="es-ES_tradnl" w:eastAsia="ar-SA"/>
        </w:rPr>
        <w:t xml:space="preserve">plazos </w:t>
      </w:r>
      <w:r w:rsidR="00772E5B" w:rsidRPr="00865FB3">
        <w:rPr>
          <w:rFonts w:ascii="Arial" w:hAnsi="Arial" w:cs="Arial"/>
          <w:sz w:val="22"/>
          <w:szCs w:val="22"/>
        </w:rPr>
        <w:t>razonables de carácter preclusivo para el consumidor</w:t>
      </w:r>
      <w:r w:rsidR="00733033" w:rsidRPr="00865FB3">
        <w:rPr>
          <w:rFonts w:ascii="Arial" w:hAnsi="Arial" w:cs="Arial"/>
          <w:sz w:val="22"/>
          <w:szCs w:val="22"/>
        </w:rPr>
        <w:t xml:space="preserve">, y que esto es compatible con </w:t>
      </w:r>
      <w:r w:rsidR="00772E5B" w:rsidRPr="00865FB3">
        <w:rPr>
          <w:rFonts w:ascii="Arial" w:hAnsi="Arial" w:cs="Arial"/>
          <w:sz w:val="22"/>
          <w:szCs w:val="22"/>
        </w:rPr>
        <w:t>el Derecho de la Unión</w:t>
      </w:r>
      <w:r w:rsidR="009F5AD9" w:rsidRPr="00865FB3">
        <w:rPr>
          <w:rFonts w:ascii="Arial" w:hAnsi="Arial" w:cs="Arial"/>
          <w:b/>
          <w:sz w:val="22"/>
          <w:szCs w:val="22"/>
          <w:lang w:val="es-ES_tradnl" w:eastAsia="ar-SA"/>
        </w:rPr>
        <w:t xml:space="preserve">, es evidente que no puede sostenerse que el </w:t>
      </w:r>
      <w:proofErr w:type="spellStart"/>
      <w:r w:rsidR="009F5AD9" w:rsidRPr="00865FB3">
        <w:rPr>
          <w:rFonts w:ascii="Arial" w:hAnsi="Arial" w:cs="Arial"/>
          <w:b/>
          <w:i/>
          <w:sz w:val="22"/>
          <w:szCs w:val="22"/>
          <w:lang w:val="es-ES_tradnl" w:eastAsia="ar-SA"/>
        </w:rPr>
        <w:t>dies</w:t>
      </w:r>
      <w:proofErr w:type="spellEnd"/>
      <w:r w:rsidR="009F5AD9" w:rsidRPr="00865FB3">
        <w:rPr>
          <w:rFonts w:ascii="Arial" w:hAnsi="Arial" w:cs="Arial"/>
          <w:b/>
          <w:i/>
          <w:sz w:val="22"/>
          <w:szCs w:val="22"/>
          <w:lang w:val="es-ES_tradnl" w:eastAsia="ar-SA"/>
        </w:rPr>
        <w:t xml:space="preserve"> a quo </w:t>
      </w:r>
      <w:r w:rsidR="009F5AD9" w:rsidRPr="00865FB3">
        <w:rPr>
          <w:rFonts w:ascii="Arial" w:hAnsi="Arial" w:cs="Arial"/>
          <w:b/>
          <w:sz w:val="22"/>
          <w:szCs w:val="22"/>
          <w:lang w:val="es-ES_tradnl" w:eastAsia="ar-SA"/>
        </w:rPr>
        <w:t>del plazo de prescripción de la acción restitutoria comienza a correr en el momento de la declaración de nulidad del contrato o de una cláusula abusiva</w:t>
      </w:r>
      <w:r w:rsidR="009F5AD9" w:rsidRPr="00865FB3">
        <w:rPr>
          <w:rFonts w:ascii="Arial" w:hAnsi="Arial" w:cs="Arial"/>
          <w:sz w:val="22"/>
          <w:szCs w:val="22"/>
        </w:rPr>
        <w:t xml:space="preserve">. Esto llevaría al </w:t>
      </w:r>
      <w:r w:rsidR="009F5AD9" w:rsidRPr="00865FB3">
        <w:rPr>
          <w:rFonts w:ascii="Arial" w:hAnsi="Arial" w:cs="Arial"/>
          <w:b/>
          <w:sz w:val="22"/>
          <w:szCs w:val="22"/>
        </w:rPr>
        <w:t>absurdo de impedir, en la práctica, la prescripción de las acciones restitutorias, en contra de lo sostenido por el TJUE</w:t>
      </w:r>
      <w:r w:rsidR="009F5AD9" w:rsidRPr="00865FB3">
        <w:rPr>
          <w:rFonts w:ascii="Arial" w:hAnsi="Arial" w:cs="Arial"/>
          <w:sz w:val="22"/>
          <w:szCs w:val="22"/>
        </w:rPr>
        <w:t xml:space="preserve"> (cuya jurisprudencia permite la prescripción de las acciones restitutorias derivadas de la declaración de nulidad por abusiva de una cláusula</w:t>
      </w:r>
      <w:r w:rsidR="00701F94" w:rsidRPr="00865FB3">
        <w:rPr>
          <w:rFonts w:ascii="Arial" w:hAnsi="Arial" w:cs="Arial"/>
          <w:sz w:val="22"/>
          <w:szCs w:val="22"/>
        </w:rPr>
        <w:t xml:space="preserve">), </w:t>
      </w:r>
      <w:r w:rsidR="00111780" w:rsidRPr="00865FB3">
        <w:rPr>
          <w:rFonts w:ascii="Arial" w:hAnsi="Arial" w:cs="Arial"/>
          <w:sz w:val="22"/>
          <w:szCs w:val="22"/>
        </w:rPr>
        <w:t xml:space="preserve">por el Tribunal Supremo </w:t>
      </w:r>
      <w:r w:rsidR="009F5AD9" w:rsidRPr="00865FB3">
        <w:rPr>
          <w:rFonts w:ascii="Arial" w:hAnsi="Arial" w:cs="Arial"/>
          <w:sz w:val="22"/>
          <w:szCs w:val="22"/>
        </w:rPr>
        <w:t>y por la mejor doctrina (</w:t>
      </w:r>
      <w:r w:rsidR="009F5AD9" w:rsidRPr="00865FB3">
        <w:rPr>
          <w:rFonts w:ascii="Arial" w:hAnsi="Arial" w:cs="Arial"/>
          <w:i/>
          <w:sz w:val="22"/>
          <w:szCs w:val="22"/>
        </w:rPr>
        <w:t>vid</w:t>
      </w:r>
      <w:r w:rsidR="009F5AD9" w:rsidRPr="00865FB3">
        <w:rPr>
          <w:rFonts w:ascii="Arial" w:hAnsi="Arial" w:cs="Arial"/>
          <w:sz w:val="22"/>
          <w:szCs w:val="22"/>
        </w:rPr>
        <w:t xml:space="preserve">. </w:t>
      </w:r>
      <w:r w:rsidR="009F5AD9" w:rsidRPr="00865FB3">
        <w:rPr>
          <w:rFonts w:ascii="Arial" w:hAnsi="Arial" w:cs="Arial"/>
          <w:i/>
          <w:sz w:val="22"/>
          <w:szCs w:val="22"/>
        </w:rPr>
        <w:t>supra</w:t>
      </w:r>
      <w:r w:rsidR="009F5AD9" w:rsidRPr="00865FB3">
        <w:rPr>
          <w:rFonts w:ascii="Arial" w:hAnsi="Arial" w:cs="Arial"/>
          <w:sz w:val="22"/>
          <w:szCs w:val="22"/>
        </w:rPr>
        <w:t xml:space="preserve">). Asimismo, como acertadamente señala el Prof. </w:t>
      </w:r>
      <w:r w:rsidR="009F5AD9" w:rsidRPr="00865FB3">
        <w:rPr>
          <w:rFonts w:ascii="Arial" w:hAnsi="Arial" w:cs="Arial"/>
          <w:smallCaps/>
          <w:sz w:val="22"/>
          <w:szCs w:val="22"/>
        </w:rPr>
        <w:t xml:space="preserve">R. Durán </w:t>
      </w:r>
      <w:proofErr w:type="spellStart"/>
      <w:r w:rsidR="009F5AD9" w:rsidRPr="00865FB3">
        <w:rPr>
          <w:rFonts w:ascii="Arial" w:hAnsi="Arial" w:cs="Arial"/>
          <w:smallCaps/>
          <w:sz w:val="22"/>
          <w:szCs w:val="22"/>
        </w:rPr>
        <w:t>Rivacoba</w:t>
      </w:r>
      <w:proofErr w:type="spellEnd"/>
      <w:r w:rsidR="009F5AD9" w:rsidRPr="00865FB3">
        <w:rPr>
          <w:rFonts w:ascii="Arial" w:hAnsi="Arial" w:cs="Arial"/>
          <w:smallCaps/>
          <w:sz w:val="22"/>
          <w:szCs w:val="22"/>
        </w:rPr>
        <w:t xml:space="preserve">, </w:t>
      </w:r>
      <w:r w:rsidR="009F5AD9" w:rsidRPr="00865FB3">
        <w:rPr>
          <w:rFonts w:ascii="Arial" w:hAnsi="Arial" w:cs="Arial"/>
          <w:sz w:val="22"/>
          <w:szCs w:val="22"/>
        </w:rPr>
        <w:t>catedrático de Derecho civil de la Universidad de Oviedo, “</w:t>
      </w:r>
      <w:r w:rsidR="009F5AD9" w:rsidRPr="00865FB3">
        <w:rPr>
          <w:rFonts w:ascii="Arial" w:hAnsi="Arial" w:cs="Arial"/>
          <w:i/>
          <w:sz w:val="22"/>
          <w:szCs w:val="22"/>
        </w:rPr>
        <w:t>tratándose de una invalidez absoluta, la sentencia tiene simplemente carácter declarativo y no constitutivo, por lo que de ninguna manera puede admitirse como día de inicio del cómputo de la prescripción de sus debidas restituciones</w:t>
      </w:r>
      <w:r w:rsidR="009F5AD9" w:rsidRPr="00865FB3">
        <w:rPr>
          <w:rFonts w:ascii="Arial" w:hAnsi="Arial" w:cs="Arial"/>
          <w:sz w:val="22"/>
          <w:szCs w:val="22"/>
        </w:rPr>
        <w:t xml:space="preserve">” (R. </w:t>
      </w:r>
      <w:r w:rsidR="009F5AD9" w:rsidRPr="00865FB3">
        <w:rPr>
          <w:rFonts w:ascii="Arial" w:hAnsi="Arial" w:cs="Arial"/>
          <w:smallCaps/>
          <w:sz w:val="22"/>
          <w:szCs w:val="22"/>
        </w:rPr>
        <w:t xml:space="preserve">Durán </w:t>
      </w:r>
      <w:proofErr w:type="spellStart"/>
      <w:r w:rsidR="009F5AD9" w:rsidRPr="00865FB3">
        <w:rPr>
          <w:rFonts w:ascii="Arial" w:hAnsi="Arial" w:cs="Arial"/>
          <w:smallCaps/>
          <w:sz w:val="22"/>
          <w:szCs w:val="22"/>
        </w:rPr>
        <w:t>Rivacoba</w:t>
      </w:r>
      <w:proofErr w:type="spellEnd"/>
      <w:r w:rsidR="009F5AD9" w:rsidRPr="00865FB3">
        <w:rPr>
          <w:rFonts w:ascii="Arial" w:hAnsi="Arial" w:cs="Arial"/>
          <w:smallCaps/>
          <w:sz w:val="22"/>
          <w:szCs w:val="22"/>
        </w:rPr>
        <w:t>/ N. Muñiz Casanova</w:t>
      </w:r>
      <w:r w:rsidR="009F5AD9" w:rsidRPr="00865FB3">
        <w:rPr>
          <w:rFonts w:ascii="Arial" w:hAnsi="Arial" w:cs="Arial"/>
          <w:sz w:val="22"/>
          <w:szCs w:val="22"/>
        </w:rPr>
        <w:t xml:space="preserve">, </w:t>
      </w:r>
      <w:r w:rsidR="009F5AD9" w:rsidRPr="00865FB3">
        <w:rPr>
          <w:rFonts w:ascii="Arial" w:hAnsi="Arial" w:cs="Arial"/>
          <w:i/>
          <w:sz w:val="22"/>
          <w:szCs w:val="22"/>
        </w:rPr>
        <w:t xml:space="preserve">Diario La Ley, </w:t>
      </w:r>
      <w:proofErr w:type="spellStart"/>
      <w:r w:rsidR="009F5AD9" w:rsidRPr="00865FB3">
        <w:rPr>
          <w:rFonts w:ascii="Arial" w:hAnsi="Arial" w:cs="Arial"/>
          <w:i/>
          <w:sz w:val="22"/>
          <w:szCs w:val="22"/>
        </w:rPr>
        <w:t>op</w:t>
      </w:r>
      <w:proofErr w:type="spellEnd"/>
      <w:r w:rsidR="009F5AD9" w:rsidRPr="00865FB3">
        <w:rPr>
          <w:rFonts w:ascii="Arial" w:hAnsi="Arial" w:cs="Arial"/>
          <w:i/>
          <w:sz w:val="22"/>
          <w:szCs w:val="22"/>
        </w:rPr>
        <w:t>. cit.</w:t>
      </w:r>
      <w:r w:rsidR="009F5AD9" w:rsidRPr="00865FB3">
        <w:rPr>
          <w:rFonts w:ascii="Arial" w:hAnsi="Arial" w:cs="Arial"/>
          <w:sz w:val="22"/>
          <w:szCs w:val="22"/>
        </w:rPr>
        <w:t>)</w:t>
      </w:r>
      <w:r w:rsidR="009F5AD9" w:rsidRPr="00865FB3">
        <w:rPr>
          <w:rFonts w:ascii="Arial" w:eastAsiaTheme="majorEastAsia" w:hAnsi="Arial" w:cs="Arial"/>
          <w:sz w:val="22"/>
          <w:szCs w:val="22"/>
        </w:rPr>
        <w:t xml:space="preserve">. </w:t>
      </w:r>
    </w:p>
    <w:p w14:paraId="55E1EAF0" w14:textId="2EB7950C" w:rsidR="009F5AD9" w:rsidRPr="00865FB3" w:rsidRDefault="0084193A" w:rsidP="00865FB3">
      <w:pPr>
        <w:pStyle w:val="Prrafodelista"/>
        <w:widowControl w:val="0"/>
        <w:numPr>
          <w:ilvl w:val="0"/>
          <w:numId w:val="5"/>
        </w:numPr>
        <w:spacing w:after="240" w:line="360" w:lineRule="auto"/>
        <w:ind w:left="0" w:hanging="851"/>
        <w:rPr>
          <w:rFonts w:ascii="Arial" w:hAnsi="Arial" w:cs="Arial"/>
          <w:sz w:val="22"/>
          <w:szCs w:val="22"/>
          <w:lang w:val="es-ES_tradnl" w:eastAsia="ar-SA"/>
        </w:rPr>
      </w:pPr>
      <w:r w:rsidRPr="00865FB3">
        <w:rPr>
          <w:rFonts w:ascii="Arial" w:eastAsiaTheme="majorEastAsia" w:hAnsi="Arial" w:cs="Arial"/>
          <w:sz w:val="22"/>
          <w:szCs w:val="22"/>
        </w:rPr>
        <w:t>Así,</w:t>
      </w:r>
      <w:r w:rsidR="009F5AD9" w:rsidRPr="00865FB3">
        <w:rPr>
          <w:rFonts w:ascii="Arial" w:hAnsi="Arial" w:cs="Arial"/>
          <w:sz w:val="22"/>
          <w:szCs w:val="22"/>
          <w:lang w:val="es-ES_tradnl" w:eastAsia="ar-SA"/>
        </w:rPr>
        <w:t xml:space="preserve"> si se atendiera al argumento de </w:t>
      </w:r>
      <w:r w:rsidRPr="00865FB3">
        <w:rPr>
          <w:rFonts w:ascii="Arial" w:hAnsi="Arial" w:cs="Arial"/>
          <w:sz w:val="22"/>
          <w:szCs w:val="22"/>
          <w:lang w:val="es-ES_tradnl" w:eastAsia="ar-SA"/>
        </w:rPr>
        <w:t>Sentencia</w:t>
      </w:r>
      <w:r w:rsidR="006C6F00" w:rsidRPr="00865FB3">
        <w:rPr>
          <w:rFonts w:ascii="Arial" w:hAnsi="Arial" w:cs="Arial"/>
          <w:sz w:val="22"/>
          <w:szCs w:val="22"/>
          <w:lang w:val="es-ES_tradnl" w:eastAsia="ar-SA"/>
        </w:rPr>
        <w:t xml:space="preserve"> en la que el plazo para ejercitar la acción restitutoria no comienza hasta que se declare la nulidad</w:t>
      </w:r>
      <w:r w:rsidRPr="00865FB3">
        <w:rPr>
          <w:rFonts w:ascii="Arial" w:hAnsi="Arial" w:cs="Arial"/>
          <w:sz w:val="22"/>
          <w:szCs w:val="22"/>
          <w:lang w:val="es-ES_tradnl" w:eastAsia="ar-SA"/>
        </w:rPr>
        <w:t xml:space="preserve">, </w:t>
      </w:r>
      <w:r w:rsidR="009F5AD9" w:rsidRPr="00865FB3">
        <w:rPr>
          <w:rFonts w:ascii="Arial" w:hAnsi="Arial" w:cs="Arial"/>
          <w:sz w:val="22"/>
          <w:szCs w:val="22"/>
          <w:lang w:val="es-ES_tradnl" w:eastAsia="ar-SA"/>
        </w:rPr>
        <w:t xml:space="preserve">ninguna obligación de restitución </w:t>
      </w:r>
      <w:r w:rsidR="009F5AD9" w:rsidRPr="00865FB3">
        <w:rPr>
          <w:rFonts w:ascii="Arial" w:hAnsi="Arial" w:cs="Arial"/>
          <w:sz w:val="22"/>
          <w:szCs w:val="22"/>
          <w:lang w:val="es-ES_tradnl" w:eastAsia="ar-SA"/>
        </w:rPr>
        <w:lastRenderedPageBreak/>
        <w:t xml:space="preserve">prescribiría jamás, </w:t>
      </w:r>
      <w:r w:rsidRPr="00865FB3">
        <w:rPr>
          <w:rFonts w:ascii="Arial" w:hAnsi="Arial" w:cs="Arial"/>
          <w:sz w:val="22"/>
          <w:szCs w:val="22"/>
          <w:lang w:val="es-ES_tradnl" w:eastAsia="ar-SA"/>
        </w:rPr>
        <w:t xml:space="preserve">y por tanto </w:t>
      </w:r>
      <w:r w:rsidR="009F5AD9" w:rsidRPr="00865FB3">
        <w:rPr>
          <w:rFonts w:ascii="Arial" w:hAnsi="Arial" w:cs="Arial"/>
          <w:sz w:val="22"/>
          <w:szCs w:val="22"/>
          <w:lang w:val="es-ES_tradnl" w:eastAsia="ar-SA"/>
        </w:rPr>
        <w:t>el instituto de la prescripción quedaría vacío de contenido y se generaría una situación de gravísima inseguridad jurídica</w:t>
      </w:r>
      <w:r w:rsidR="00111780" w:rsidRPr="00865FB3">
        <w:rPr>
          <w:rFonts w:ascii="Arial" w:hAnsi="Arial" w:cs="Arial"/>
          <w:sz w:val="22"/>
          <w:szCs w:val="22"/>
          <w:lang w:val="es-ES_tradnl" w:eastAsia="ar-SA"/>
        </w:rPr>
        <w:t>,</w:t>
      </w:r>
      <w:r w:rsidR="00C337C6" w:rsidRPr="00865FB3">
        <w:rPr>
          <w:rFonts w:ascii="Arial" w:hAnsi="Arial" w:cs="Arial"/>
          <w:sz w:val="22"/>
          <w:szCs w:val="22"/>
          <w:lang w:val="es-ES_tradnl" w:eastAsia="ar-SA"/>
        </w:rPr>
        <w:t xml:space="preserve"> en contra de lo </w:t>
      </w:r>
      <w:r w:rsidR="00111780" w:rsidRPr="00865FB3">
        <w:rPr>
          <w:rFonts w:ascii="Arial" w:hAnsi="Arial" w:cs="Arial"/>
          <w:sz w:val="22"/>
          <w:szCs w:val="22"/>
          <w:lang w:val="es-ES_tradnl" w:eastAsia="ar-SA"/>
        </w:rPr>
        <w:t xml:space="preserve">determinado </w:t>
      </w:r>
      <w:r w:rsidR="00C337C6" w:rsidRPr="00865FB3">
        <w:rPr>
          <w:rFonts w:ascii="Arial" w:hAnsi="Arial" w:cs="Arial"/>
          <w:sz w:val="22"/>
          <w:szCs w:val="22"/>
          <w:lang w:val="es-ES_tradnl" w:eastAsia="ar-SA"/>
        </w:rPr>
        <w:t>por la jurisprudencia del TJUE</w:t>
      </w:r>
      <w:r w:rsidR="009F5AD9" w:rsidRPr="00865FB3">
        <w:rPr>
          <w:rFonts w:ascii="Arial" w:hAnsi="Arial" w:cs="Arial"/>
          <w:sz w:val="22"/>
          <w:szCs w:val="22"/>
          <w:lang w:val="es-ES_tradnl" w:eastAsia="ar-SA"/>
        </w:rPr>
        <w:t>.</w:t>
      </w:r>
    </w:p>
    <w:p w14:paraId="0949269B" w14:textId="3D10D13D" w:rsidR="006E140A" w:rsidRPr="00865FB3" w:rsidRDefault="006E140A" w:rsidP="00865FB3">
      <w:pPr>
        <w:pStyle w:val="Prrafodelista"/>
        <w:widowControl w:val="0"/>
        <w:numPr>
          <w:ilvl w:val="0"/>
          <w:numId w:val="5"/>
        </w:numPr>
        <w:spacing w:after="240" w:line="360" w:lineRule="auto"/>
        <w:ind w:left="0" w:hanging="851"/>
        <w:rPr>
          <w:rFonts w:ascii="Arial" w:hAnsi="Arial" w:cs="Arial"/>
          <w:sz w:val="22"/>
          <w:szCs w:val="22"/>
          <w:lang w:val="es-ES_tradnl" w:eastAsia="ar-SA"/>
        </w:rPr>
      </w:pPr>
      <w:r w:rsidRPr="00865FB3">
        <w:rPr>
          <w:rFonts w:ascii="Arial" w:hAnsi="Arial" w:cs="Arial"/>
          <w:sz w:val="22"/>
          <w:szCs w:val="22"/>
          <w:lang w:val="es-ES_tradnl" w:eastAsia="ar-SA"/>
        </w:rPr>
        <w:t xml:space="preserve">La tesis de la Sentencia recurrida es que, dado que el art. 3 de la LRU establece unos efectos restitutorios concretos y automáticos una vez que se declara la usura, ello impide que el plazo de prescripción de las acciones restitutorias destinadas a recuperar las cantidades entregadas por el prestatario que excedan del capital prestado comience a correr hasta que se declara la nulidad. Y ello, a diferencia de la acción restitutoria derivada de la declaración de nulidad de una obligación en otros supuestos en los que pueda ser de aplicación el art. 1303 del CC. Sin embargo, </w:t>
      </w:r>
      <w:r w:rsidRPr="00865FB3">
        <w:rPr>
          <w:rFonts w:ascii="Arial" w:hAnsi="Arial" w:cs="Arial"/>
          <w:sz w:val="22"/>
          <w:szCs w:val="22"/>
          <w:u w:val="single"/>
          <w:lang w:val="es-ES_tradnl" w:eastAsia="ar-SA"/>
        </w:rPr>
        <w:t xml:space="preserve">esto supone olvidar </w:t>
      </w:r>
      <w:r w:rsidRPr="00865FB3">
        <w:rPr>
          <w:rFonts w:ascii="Arial" w:hAnsi="Arial" w:cs="Arial"/>
          <w:b/>
          <w:i/>
          <w:sz w:val="22"/>
          <w:szCs w:val="22"/>
          <w:u w:val="single"/>
          <w:lang w:val="es-ES_tradnl" w:eastAsia="ar-SA"/>
        </w:rPr>
        <w:t>(i)</w:t>
      </w:r>
      <w:r w:rsidRPr="00865FB3">
        <w:rPr>
          <w:rFonts w:ascii="Arial" w:hAnsi="Arial" w:cs="Arial"/>
          <w:sz w:val="22"/>
          <w:szCs w:val="22"/>
          <w:u w:val="single"/>
          <w:lang w:val="es-ES_tradnl" w:eastAsia="ar-SA"/>
        </w:rPr>
        <w:t xml:space="preserve"> que </w:t>
      </w:r>
      <w:r w:rsidRPr="00865FB3">
        <w:rPr>
          <w:rFonts w:ascii="Arial" w:hAnsi="Arial" w:cs="Arial"/>
          <w:sz w:val="22"/>
          <w:szCs w:val="22"/>
          <w:u w:val="single"/>
          <w:lang w:val="es-ES_tradnl"/>
        </w:rPr>
        <w:t>las consecuencias de la nulidad contractual (tanto si se trata de nulidad radical como de la anulabilidad) determinadas según la regla del artículo 1.303</w:t>
      </w:r>
      <w:r w:rsidRPr="00865FB3">
        <w:rPr>
          <w:rFonts w:ascii="Arial" w:hAnsi="Arial" w:cs="Arial"/>
          <w:smallCaps/>
          <w:sz w:val="22"/>
          <w:szCs w:val="22"/>
          <w:u w:val="single"/>
          <w:lang w:val="es-ES_tradnl"/>
        </w:rPr>
        <w:t xml:space="preserve"> </w:t>
      </w:r>
      <w:r w:rsidRPr="00865FB3">
        <w:rPr>
          <w:rFonts w:ascii="Arial" w:hAnsi="Arial" w:cs="Arial"/>
          <w:sz w:val="22"/>
          <w:szCs w:val="22"/>
          <w:u w:val="single"/>
          <w:lang w:val="es-ES_tradnl"/>
        </w:rPr>
        <w:t>CC también son imperativas</w:t>
      </w:r>
      <w:r w:rsidRPr="00865FB3">
        <w:rPr>
          <w:rFonts w:ascii="Arial" w:hAnsi="Arial" w:cs="Arial"/>
          <w:smallCaps/>
          <w:sz w:val="22"/>
          <w:szCs w:val="22"/>
          <w:u w:val="single"/>
          <w:lang w:val="es-ES_tradnl"/>
        </w:rPr>
        <w:t xml:space="preserve">, </w:t>
      </w:r>
      <w:r w:rsidRPr="00865FB3">
        <w:rPr>
          <w:rFonts w:ascii="Arial" w:hAnsi="Arial" w:cs="Arial"/>
          <w:sz w:val="22"/>
          <w:szCs w:val="22"/>
          <w:u w:val="single"/>
          <w:lang w:val="es-ES_tradnl"/>
        </w:rPr>
        <w:t>en tanto que este artículo establece que “[d]</w:t>
      </w:r>
      <w:proofErr w:type="spellStart"/>
      <w:r w:rsidRPr="00865FB3">
        <w:rPr>
          <w:rFonts w:ascii="Arial" w:hAnsi="Arial" w:cs="Arial"/>
          <w:i/>
          <w:sz w:val="22"/>
          <w:szCs w:val="22"/>
          <w:u w:val="single"/>
          <w:lang w:val="es-ES_tradnl"/>
        </w:rPr>
        <w:t>eclarada</w:t>
      </w:r>
      <w:proofErr w:type="spellEnd"/>
      <w:r w:rsidRPr="00865FB3">
        <w:rPr>
          <w:rFonts w:ascii="Arial" w:hAnsi="Arial" w:cs="Arial"/>
          <w:i/>
          <w:sz w:val="22"/>
          <w:szCs w:val="22"/>
          <w:u w:val="single"/>
          <w:lang w:val="es-ES_tradnl"/>
        </w:rPr>
        <w:t xml:space="preserve"> la nulidad de una obligación, los contratantes deben restituirse recíprocamente las cosas que hubiesen sido materia del contrato, con sus frutos, y el precio con los intereses</w:t>
      </w:r>
      <w:r w:rsidRPr="00865FB3">
        <w:rPr>
          <w:rFonts w:ascii="Arial" w:hAnsi="Arial" w:cs="Arial"/>
          <w:sz w:val="22"/>
          <w:szCs w:val="22"/>
          <w:u w:val="single"/>
          <w:lang w:val="es-ES_tradnl"/>
        </w:rPr>
        <w:t xml:space="preserve">”; </w:t>
      </w:r>
      <w:r w:rsidRPr="00865FB3">
        <w:rPr>
          <w:rFonts w:ascii="Arial" w:hAnsi="Arial" w:cs="Arial"/>
          <w:b/>
          <w:i/>
          <w:sz w:val="22"/>
          <w:szCs w:val="22"/>
          <w:u w:val="single"/>
          <w:lang w:val="es-ES_tradnl"/>
        </w:rPr>
        <w:t>(ii)</w:t>
      </w:r>
      <w:r w:rsidRPr="00865FB3">
        <w:rPr>
          <w:rFonts w:ascii="Arial" w:hAnsi="Arial" w:cs="Arial"/>
          <w:sz w:val="22"/>
          <w:szCs w:val="22"/>
          <w:u w:val="single"/>
          <w:lang w:val="es-ES_tradnl"/>
        </w:rPr>
        <w:t xml:space="preserve"> que esta es también la regla en los casos de nulidad radical, como señala la doctrina</w:t>
      </w:r>
      <w:r w:rsidRPr="00865FB3">
        <w:rPr>
          <w:rStyle w:val="Refdenotaalpie"/>
          <w:rFonts w:ascii="Arial" w:hAnsi="Arial" w:cs="Arial"/>
          <w:sz w:val="22"/>
          <w:szCs w:val="22"/>
          <w:u w:val="single"/>
          <w:lang w:val="es-ES_tradnl"/>
        </w:rPr>
        <w:footnoteReference w:id="7"/>
      </w:r>
      <w:r w:rsidRPr="00865FB3">
        <w:rPr>
          <w:rFonts w:ascii="Arial" w:hAnsi="Arial" w:cs="Arial"/>
          <w:sz w:val="22"/>
          <w:szCs w:val="22"/>
          <w:u w:val="single"/>
          <w:lang w:val="es-ES_tradnl"/>
        </w:rPr>
        <w:t xml:space="preserve"> y la jurisprudencia</w:t>
      </w:r>
      <w:r w:rsidRPr="00865FB3">
        <w:rPr>
          <w:rStyle w:val="Refdenotaalpie"/>
          <w:rFonts w:ascii="Arial" w:hAnsi="Arial" w:cs="Arial"/>
          <w:sz w:val="22"/>
          <w:szCs w:val="22"/>
          <w:u w:val="single"/>
          <w:lang w:val="es-ES_tradnl"/>
        </w:rPr>
        <w:footnoteReference w:id="8"/>
      </w:r>
      <w:r w:rsidRPr="00865FB3">
        <w:rPr>
          <w:rFonts w:ascii="Arial" w:hAnsi="Arial" w:cs="Arial"/>
          <w:sz w:val="22"/>
          <w:szCs w:val="22"/>
          <w:u w:val="single"/>
          <w:lang w:val="es-ES_tradnl"/>
        </w:rPr>
        <w:t xml:space="preserve">; y </w:t>
      </w:r>
      <w:r w:rsidRPr="00865FB3">
        <w:rPr>
          <w:rFonts w:ascii="Arial" w:hAnsi="Arial" w:cs="Arial"/>
          <w:b/>
          <w:i/>
          <w:sz w:val="22"/>
          <w:szCs w:val="22"/>
          <w:u w:val="single"/>
          <w:lang w:val="es-ES_tradnl"/>
        </w:rPr>
        <w:t>(iii)</w:t>
      </w:r>
      <w:r w:rsidRPr="00865FB3">
        <w:rPr>
          <w:rFonts w:ascii="Arial" w:hAnsi="Arial" w:cs="Arial"/>
          <w:sz w:val="22"/>
          <w:szCs w:val="22"/>
          <w:u w:val="single"/>
          <w:lang w:val="es-ES_tradnl"/>
        </w:rPr>
        <w:t xml:space="preserve"> que, pese a los dos motivos anteriores, doctrina y jurisprudencia han concluido que la acción restitutoria sí está sujeta a un plazo de prescripción</w:t>
      </w:r>
      <w:r w:rsidRPr="00865FB3">
        <w:rPr>
          <w:rFonts w:ascii="Arial" w:hAnsi="Arial" w:cs="Arial"/>
          <w:sz w:val="22"/>
          <w:szCs w:val="22"/>
          <w:lang w:val="es-ES_tradnl"/>
        </w:rPr>
        <w:t>.</w:t>
      </w:r>
    </w:p>
    <w:p w14:paraId="565AB45E" w14:textId="77777777" w:rsidR="006E140A" w:rsidRPr="00865FB3" w:rsidRDefault="006E140A" w:rsidP="00865FB3">
      <w:pPr>
        <w:pStyle w:val="Prrafodelista"/>
        <w:widowControl w:val="0"/>
        <w:numPr>
          <w:ilvl w:val="0"/>
          <w:numId w:val="5"/>
        </w:numPr>
        <w:spacing w:after="240" w:line="360" w:lineRule="auto"/>
        <w:ind w:left="0" w:hanging="851"/>
        <w:rPr>
          <w:rFonts w:ascii="Arial" w:hAnsi="Arial" w:cs="Arial"/>
          <w:sz w:val="22"/>
          <w:szCs w:val="22"/>
          <w:lang w:val="es-ES_tradnl" w:eastAsia="ar-SA"/>
        </w:rPr>
      </w:pPr>
      <w:r w:rsidRPr="00865FB3">
        <w:rPr>
          <w:rFonts w:ascii="Arial" w:hAnsi="Arial" w:cs="Arial"/>
          <w:sz w:val="22"/>
          <w:szCs w:val="22"/>
          <w:lang w:val="es-ES_tradnl"/>
        </w:rPr>
        <w:t>Por ello, no es posible aceptar la prescripción cuando estamos ante el art. 1303 del CC, para negarla cuando nos encontramos ante un supuesto como el art. 3 de la LRU (que opera con la misma automaticidad e imperatividad que el art. 1303 del CC). Y ello porque, en efecto, la prescripción de la acción restitutoria opera por igual en todos los casos. Veámoslo.</w:t>
      </w:r>
    </w:p>
    <w:p w14:paraId="70C64C7E" w14:textId="0802D615" w:rsidR="006E140A" w:rsidRPr="00865FB3" w:rsidRDefault="006E140A" w:rsidP="00865FB3">
      <w:pPr>
        <w:pStyle w:val="Prrafodelista"/>
        <w:widowControl w:val="0"/>
        <w:numPr>
          <w:ilvl w:val="0"/>
          <w:numId w:val="5"/>
        </w:numPr>
        <w:spacing w:after="240" w:line="360" w:lineRule="auto"/>
        <w:ind w:left="0" w:hanging="851"/>
        <w:rPr>
          <w:rFonts w:ascii="Arial" w:hAnsi="Arial" w:cs="Arial"/>
          <w:sz w:val="22"/>
          <w:szCs w:val="22"/>
          <w:lang w:val="es-ES_tradnl" w:eastAsia="ar-SA"/>
        </w:rPr>
      </w:pPr>
      <w:r w:rsidRPr="00865FB3">
        <w:rPr>
          <w:rFonts w:ascii="Arial" w:hAnsi="Arial" w:cs="Arial"/>
          <w:sz w:val="22"/>
          <w:szCs w:val="22"/>
          <w:lang w:val="es-ES_tradnl" w:eastAsia="ar-SA"/>
        </w:rPr>
        <w:t>Como se ha anticipado, el Tribunal Supremo</w:t>
      </w:r>
      <w:r w:rsidRPr="00865FB3">
        <w:rPr>
          <w:rFonts w:ascii="Arial" w:hAnsi="Arial" w:cs="Arial"/>
          <w:sz w:val="22"/>
          <w:szCs w:val="22"/>
        </w:rPr>
        <w:t xml:space="preserve">, en su reciente </w:t>
      </w:r>
      <w:r w:rsidRPr="00865FB3">
        <w:rPr>
          <w:rFonts w:ascii="Arial" w:hAnsi="Arial" w:cs="Arial"/>
          <w:b/>
          <w:sz w:val="22"/>
          <w:szCs w:val="22"/>
        </w:rPr>
        <w:t>Auto de 22 de julio de 2021</w:t>
      </w:r>
      <w:r w:rsidRPr="00865FB3">
        <w:rPr>
          <w:rFonts w:ascii="Arial" w:hAnsi="Arial" w:cs="Arial"/>
          <w:sz w:val="22"/>
          <w:szCs w:val="22"/>
        </w:rPr>
        <w:t xml:space="preserve"> (Recurso núm. 1799/2020), </w:t>
      </w:r>
      <w:r w:rsidR="002B3DEC" w:rsidRPr="00865FB3">
        <w:rPr>
          <w:rFonts w:ascii="Arial" w:hAnsi="Arial" w:cs="Arial"/>
          <w:sz w:val="22"/>
          <w:szCs w:val="22"/>
          <w:lang w:val="es-ES_tradnl" w:eastAsia="ar-SA"/>
        </w:rPr>
        <w:t>se refiere precisamente a la prescripción de “</w:t>
      </w:r>
      <w:r w:rsidR="002B3DEC" w:rsidRPr="00865FB3">
        <w:rPr>
          <w:rFonts w:ascii="Arial" w:hAnsi="Arial" w:cs="Arial"/>
          <w:i/>
          <w:sz w:val="22"/>
          <w:szCs w:val="22"/>
          <w:lang w:val="es-ES_tradnl" w:eastAsia="ar-SA"/>
        </w:rPr>
        <w:t>la acción de restitución de las prestaciones realizadas en ejecución del contrato nulo</w:t>
      </w:r>
      <w:r w:rsidR="002B3DEC" w:rsidRPr="00865FB3">
        <w:rPr>
          <w:rFonts w:ascii="Arial" w:hAnsi="Arial" w:cs="Arial"/>
          <w:sz w:val="22"/>
          <w:szCs w:val="22"/>
          <w:lang w:val="es-ES_tradnl" w:eastAsia="ar-SA"/>
        </w:rPr>
        <w:t>”, tras la “</w:t>
      </w:r>
      <w:r w:rsidR="002B3DEC" w:rsidRPr="00865FB3">
        <w:rPr>
          <w:rFonts w:ascii="Arial" w:hAnsi="Arial" w:cs="Arial"/>
          <w:i/>
          <w:sz w:val="22"/>
          <w:szCs w:val="22"/>
          <w:lang w:val="es-ES_tradnl" w:eastAsia="ar-SA"/>
        </w:rPr>
        <w:t>declaración de nulidad absoluta del contrato</w:t>
      </w:r>
      <w:r w:rsidR="002B3DEC" w:rsidRPr="00865FB3">
        <w:rPr>
          <w:rFonts w:ascii="Arial" w:hAnsi="Arial" w:cs="Arial"/>
          <w:sz w:val="22"/>
          <w:szCs w:val="22"/>
          <w:lang w:val="es-ES_tradnl" w:eastAsia="ar-SA"/>
        </w:rPr>
        <w:t>”, que es precisamente lo que ocurre en el caso de la declaración de nulidad por usura, por lo que no cabe afirmar que en es estos supuestos no cabe la prescripción de las acciones restitutorias</w:t>
      </w:r>
      <w:r w:rsidRPr="00865FB3">
        <w:rPr>
          <w:rFonts w:ascii="Arial" w:hAnsi="Arial" w:cs="Arial"/>
          <w:sz w:val="22"/>
          <w:szCs w:val="22"/>
        </w:rPr>
        <w:t>.</w:t>
      </w:r>
    </w:p>
    <w:p w14:paraId="02716F85" w14:textId="77777777" w:rsidR="006E140A" w:rsidRPr="00865FB3" w:rsidRDefault="006E140A" w:rsidP="00865FB3">
      <w:pPr>
        <w:pStyle w:val="Prrafodelista"/>
        <w:widowControl w:val="0"/>
        <w:numPr>
          <w:ilvl w:val="0"/>
          <w:numId w:val="5"/>
        </w:numPr>
        <w:spacing w:after="240" w:line="360" w:lineRule="auto"/>
        <w:ind w:left="0" w:hanging="851"/>
        <w:rPr>
          <w:rFonts w:ascii="Arial" w:hAnsi="Arial" w:cs="Arial"/>
          <w:sz w:val="22"/>
          <w:szCs w:val="22"/>
          <w:lang w:val="es-ES_tradnl" w:eastAsia="ar-SA"/>
        </w:rPr>
      </w:pPr>
      <w:r w:rsidRPr="00865FB3">
        <w:rPr>
          <w:rFonts w:ascii="Arial" w:hAnsi="Arial" w:cs="Arial"/>
          <w:sz w:val="22"/>
          <w:szCs w:val="22"/>
          <w:lang w:val="es-ES_tradnl" w:eastAsia="ar-SA"/>
        </w:rPr>
        <w:lastRenderedPageBreak/>
        <w:t xml:space="preserve">Y en este punto, en contra de razonamientos que suponen una posición claramente minoritaria (y, dicho sea respetuosamente, incorrecta y que debe ser corregida a la luz de la doctrina de la Sala Primera), como puede ser el de la Sentencia núm. 348/2021, de 25 de marzo, de la Secc. 5.ª de la Audiencia Provincial de Zaragoza, </w:t>
      </w:r>
      <w:r w:rsidRPr="00865FB3">
        <w:rPr>
          <w:rFonts w:ascii="Arial" w:hAnsi="Arial" w:cs="Arial"/>
          <w:b/>
          <w:sz w:val="22"/>
          <w:szCs w:val="22"/>
        </w:rPr>
        <w:t xml:space="preserve">el Tribunal Supremo </w:t>
      </w:r>
      <w:r w:rsidRPr="00865FB3">
        <w:rPr>
          <w:rFonts w:ascii="Arial" w:hAnsi="Arial" w:cs="Arial"/>
          <w:b/>
          <w:sz w:val="22"/>
          <w:szCs w:val="22"/>
          <w:u w:val="single"/>
        </w:rPr>
        <w:t>no</w:t>
      </w:r>
      <w:r w:rsidRPr="00865FB3">
        <w:rPr>
          <w:rFonts w:ascii="Arial" w:hAnsi="Arial" w:cs="Arial"/>
          <w:b/>
          <w:sz w:val="22"/>
          <w:szCs w:val="22"/>
        </w:rPr>
        <w:t xml:space="preserve"> distingue entre la prescripción de la acción restitutoria derivada de la nulidad de absoluta de un contrato (como en el caso de la usura) o de una cláusula de la derivada de otro tipo de nulidades</w:t>
      </w:r>
      <w:r w:rsidRPr="00865FB3">
        <w:rPr>
          <w:rFonts w:ascii="Arial" w:hAnsi="Arial" w:cs="Arial"/>
          <w:sz w:val="22"/>
          <w:szCs w:val="22"/>
        </w:rPr>
        <w:t>:</w:t>
      </w:r>
    </w:p>
    <w:p w14:paraId="54CFEA9A" w14:textId="77777777" w:rsidR="006E140A" w:rsidRPr="00865FB3" w:rsidRDefault="006E140A" w:rsidP="00865FB3">
      <w:pPr>
        <w:pStyle w:val="Prrafodelista"/>
        <w:widowControl w:val="0"/>
        <w:spacing w:after="240" w:line="360" w:lineRule="auto"/>
        <w:ind w:left="567"/>
        <w:rPr>
          <w:rFonts w:ascii="Arial" w:hAnsi="Arial" w:cs="Arial"/>
          <w:i/>
          <w:sz w:val="22"/>
          <w:szCs w:val="22"/>
        </w:rPr>
      </w:pPr>
      <w:r w:rsidRPr="00865FB3">
        <w:rPr>
          <w:rFonts w:ascii="Arial" w:hAnsi="Arial" w:cs="Arial"/>
          <w:sz w:val="22"/>
          <w:szCs w:val="22"/>
        </w:rPr>
        <w:t>“</w:t>
      </w:r>
      <w:r w:rsidRPr="00865FB3">
        <w:rPr>
          <w:rFonts w:ascii="Arial" w:hAnsi="Arial" w:cs="Arial"/>
          <w:i/>
          <w:iCs/>
          <w:sz w:val="22"/>
          <w:szCs w:val="22"/>
        </w:rPr>
        <w:t>E</w:t>
      </w:r>
      <w:r w:rsidRPr="00865FB3">
        <w:rPr>
          <w:rFonts w:ascii="Arial" w:hAnsi="Arial" w:cs="Arial"/>
          <w:i/>
          <w:sz w:val="22"/>
          <w:szCs w:val="22"/>
        </w:rPr>
        <w:t>n las pocas ocasiones en que tal cuestión se ha planteado, este Tribunal ha distinguido entre la acción por la que se solicita la nulidad del contrato, que no prescribe en el caso de tratarse de una nulidad absoluta, y la acción de restitución de las cosas y el precio entregados recíprocamente por las partes al ejecutar el contrato nulo, que es una acción de naturaleza personal sometida al plazo de prescripción previsto en el art. 1964 del Código Civil, que antes de octubre de 2015 era de 15 años y en la actualidad es de 5 años.</w:t>
      </w:r>
    </w:p>
    <w:p w14:paraId="4767F302" w14:textId="77777777" w:rsidR="006E140A" w:rsidRPr="00865FB3" w:rsidRDefault="006E140A" w:rsidP="00865FB3">
      <w:pPr>
        <w:pStyle w:val="Prrafodelista"/>
        <w:widowControl w:val="0"/>
        <w:spacing w:after="240" w:line="360" w:lineRule="auto"/>
        <w:ind w:left="567"/>
        <w:rPr>
          <w:rFonts w:ascii="Arial" w:hAnsi="Arial" w:cs="Arial"/>
          <w:sz w:val="22"/>
          <w:szCs w:val="22"/>
        </w:rPr>
      </w:pPr>
      <w:r w:rsidRPr="00865FB3">
        <w:rPr>
          <w:rFonts w:ascii="Arial" w:hAnsi="Arial" w:cs="Arial"/>
          <w:i/>
          <w:sz w:val="22"/>
          <w:szCs w:val="22"/>
        </w:rPr>
        <w:t>En efecto, en la sentencia de 27 de febrero de 1964 y en la más reciente sentencia 747/2010, de 30 de diciembre, hemos distinguido entre la acción de declaración de nulidad absoluta del contrato, que hemos considerado imprescriptible, y la acción de restitución de las prestaciones realizadas en ejecución del contrato nulo, a la que hemos aplicado el régimen de prescripción de las acciones personales</w:t>
      </w:r>
      <w:r w:rsidRPr="00865FB3">
        <w:rPr>
          <w:rFonts w:ascii="Arial" w:hAnsi="Arial" w:cs="Arial"/>
          <w:sz w:val="22"/>
          <w:szCs w:val="22"/>
        </w:rPr>
        <w:t>” (Auto de 22 de julio de 2021, FD 4.º).</w:t>
      </w:r>
    </w:p>
    <w:p w14:paraId="7B7AC345" w14:textId="7FB47848" w:rsidR="006E140A" w:rsidRPr="00865FB3" w:rsidRDefault="006E140A" w:rsidP="00865FB3">
      <w:pPr>
        <w:pStyle w:val="Prrafodelista"/>
        <w:widowControl w:val="0"/>
        <w:numPr>
          <w:ilvl w:val="0"/>
          <w:numId w:val="5"/>
        </w:numPr>
        <w:spacing w:after="240" w:line="360" w:lineRule="auto"/>
        <w:ind w:left="0" w:hanging="851"/>
        <w:rPr>
          <w:rFonts w:ascii="Arial" w:hAnsi="Arial" w:cs="Arial"/>
          <w:sz w:val="22"/>
          <w:szCs w:val="22"/>
          <w:lang w:val="es-ES_tradnl" w:eastAsia="ar-SA"/>
        </w:rPr>
      </w:pPr>
      <w:r w:rsidRPr="00865FB3">
        <w:rPr>
          <w:rFonts w:ascii="Arial" w:hAnsi="Arial" w:cs="Arial"/>
          <w:sz w:val="22"/>
          <w:szCs w:val="22"/>
          <w:lang w:val="es-ES_tradnl" w:eastAsia="ar-SA"/>
        </w:rPr>
        <w:t>Por lo demás, hasta donde conoce esta parte, ningún autor ni ningún tribunal que sostenga que la acción restitutoria prescribe con carácter general, distingue posteriormente entre acciones restitutorias que prescriben y otras que no en función de si la nulidad radical afecta a todo el contrato o solo a una parte de él (como en el caso de las cláusulas abusivas) o al tipo de norma o materia que prescribe tal nulidad radical</w:t>
      </w:r>
      <w:r w:rsidRPr="00865FB3">
        <w:rPr>
          <w:rStyle w:val="Refdenotaalpie"/>
          <w:rFonts w:ascii="Arial" w:hAnsi="Arial" w:cs="Arial"/>
          <w:sz w:val="22"/>
          <w:szCs w:val="22"/>
          <w:lang w:val="es-ES_tradnl" w:eastAsia="ar-SA"/>
        </w:rPr>
        <w:footnoteReference w:id="9"/>
      </w:r>
      <w:r w:rsidRPr="00865FB3">
        <w:rPr>
          <w:rFonts w:ascii="Arial" w:hAnsi="Arial" w:cs="Arial"/>
          <w:sz w:val="22"/>
          <w:szCs w:val="22"/>
          <w:lang w:val="es-ES_tradnl" w:eastAsia="ar-SA"/>
        </w:rPr>
        <w:t>.</w:t>
      </w:r>
    </w:p>
    <w:p w14:paraId="56FECCE2" w14:textId="500118C1" w:rsidR="009F5AD9" w:rsidRPr="00865FB3" w:rsidRDefault="008D7CAE" w:rsidP="00865FB3">
      <w:pPr>
        <w:pStyle w:val="Prrafodelista"/>
        <w:widowControl w:val="0"/>
        <w:numPr>
          <w:ilvl w:val="0"/>
          <w:numId w:val="5"/>
        </w:numPr>
        <w:spacing w:after="240" w:line="360" w:lineRule="auto"/>
        <w:ind w:left="0" w:hanging="851"/>
        <w:rPr>
          <w:rFonts w:ascii="Arial" w:hAnsi="Arial" w:cs="Arial"/>
          <w:sz w:val="22"/>
          <w:szCs w:val="22"/>
          <w:lang w:val="es-ES_tradnl" w:eastAsia="ar-SA"/>
        </w:rPr>
      </w:pPr>
      <w:r w:rsidRPr="00865FB3">
        <w:rPr>
          <w:rFonts w:ascii="Arial" w:hAnsi="Arial" w:cs="Arial"/>
          <w:sz w:val="22"/>
          <w:szCs w:val="22"/>
          <w:lang w:val="es-ES_tradnl" w:eastAsia="ar-SA"/>
        </w:rPr>
        <w:t>En otro orden de ideas</w:t>
      </w:r>
      <w:r w:rsidR="009F5AD9" w:rsidRPr="00865FB3">
        <w:rPr>
          <w:rFonts w:ascii="Arial" w:hAnsi="Arial" w:cs="Arial"/>
          <w:sz w:val="22"/>
          <w:szCs w:val="22"/>
          <w:lang w:val="es-ES_tradnl" w:eastAsia="ar-SA"/>
        </w:rPr>
        <w:t xml:space="preserve">, tampoco es cierto que antes de que se declare judicialmente la usura el cliente no conozca la cantidad a cuya restitución tendría derecho, porque conoce precisamente la cantidad de intereses que ha abonado mensualmente, y que se corresponde con la cantidad que debería ser restituida con la declaración de la usura de su contrato. Así, </w:t>
      </w:r>
      <w:r w:rsidR="00111780" w:rsidRPr="00865FB3">
        <w:rPr>
          <w:rFonts w:ascii="Arial" w:hAnsi="Arial" w:cs="Arial"/>
          <w:sz w:val="22"/>
          <w:szCs w:val="22"/>
          <w:lang w:val="es-ES_tradnl" w:eastAsia="ar-SA"/>
        </w:rPr>
        <w:lastRenderedPageBreak/>
        <w:t>el demandante</w:t>
      </w:r>
      <w:r w:rsidR="009F5AD9" w:rsidRPr="00865FB3">
        <w:rPr>
          <w:rFonts w:ascii="Arial" w:hAnsi="Arial" w:cs="Arial"/>
          <w:sz w:val="22"/>
          <w:szCs w:val="22"/>
          <w:lang w:val="es-ES_tradnl" w:eastAsia="ar-SA"/>
        </w:rPr>
        <w:t xml:space="preserve"> conoce, </w:t>
      </w:r>
      <w:r w:rsidR="00D25E1F" w:rsidRPr="00865FB3">
        <w:rPr>
          <w:rFonts w:ascii="Arial" w:hAnsi="Arial" w:cs="Arial"/>
          <w:sz w:val="22"/>
          <w:szCs w:val="22"/>
          <w:lang w:val="es-ES_tradnl" w:eastAsia="ar-SA"/>
        </w:rPr>
        <w:t xml:space="preserve">por ejemplo, </w:t>
      </w:r>
      <w:r w:rsidR="009F5AD9" w:rsidRPr="00865FB3">
        <w:rPr>
          <w:rFonts w:ascii="Arial" w:hAnsi="Arial" w:cs="Arial"/>
          <w:sz w:val="22"/>
          <w:szCs w:val="22"/>
          <w:lang w:val="es-ES_tradnl" w:eastAsia="ar-SA"/>
        </w:rPr>
        <w:t>a través de los extractos que recibe mensualmente, qué tipo de interés resulta aplicable en cada cuota, qué cantidad concreta de intereses ha pagado o tiene que pagar y, por tanto, qué cantidad tendría derecho a reclamar que le fuese devuelta.</w:t>
      </w:r>
    </w:p>
    <w:p w14:paraId="779F359C" w14:textId="0FF6DC87" w:rsidR="009F5AD9" w:rsidRPr="00865FB3" w:rsidRDefault="009F5AD9" w:rsidP="00865FB3">
      <w:pPr>
        <w:pStyle w:val="Prrafodelista"/>
        <w:widowControl w:val="0"/>
        <w:numPr>
          <w:ilvl w:val="0"/>
          <w:numId w:val="5"/>
        </w:numPr>
        <w:spacing w:after="240" w:line="360" w:lineRule="auto"/>
        <w:ind w:left="0" w:hanging="851"/>
        <w:rPr>
          <w:rFonts w:ascii="Arial" w:hAnsi="Arial" w:cs="Arial"/>
          <w:sz w:val="22"/>
          <w:szCs w:val="22"/>
          <w:lang w:val="es-ES_tradnl" w:eastAsia="ar-SA"/>
        </w:rPr>
      </w:pPr>
      <w:r w:rsidRPr="00865FB3">
        <w:rPr>
          <w:rFonts w:ascii="Arial" w:hAnsi="Arial" w:cs="Arial"/>
          <w:sz w:val="22"/>
          <w:szCs w:val="22"/>
          <w:lang w:val="es-ES_tradnl" w:eastAsia="ar-SA"/>
        </w:rPr>
        <w:t>Por tanto, como es lógico, la parte Demandante ya conocía qué cantidades estaba abonando y su concepto, gracias a los extractos que recibía mensualmente de Wizink</w:t>
      </w:r>
      <w:r w:rsidR="007F6907" w:rsidRPr="00865FB3">
        <w:rPr>
          <w:rFonts w:ascii="Arial" w:hAnsi="Arial" w:cs="Arial"/>
          <w:sz w:val="22"/>
          <w:szCs w:val="22"/>
          <w:lang w:val="es-ES_tradnl" w:eastAsia="ar-SA"/>
        </w:rPr>
        <w:t>,</w:t>
      </w:r>
      <w:r w:rsidRPr="00865FB3">
        <w:rPr>
          <w:rFonts w:ascii="Arial" w:hAnsi="Arial" w:cs="Arial"/>
          <w:sz w:val="22"/>
          <w:szCs w:val="22"/>
          <w:lang w:val="es-ES_tradnl" w:eastAsia="ar-SA"/>
        </w:rPr>
        <w:t xml:space="preserve"> por lo que el </w:t>
      </w:r>
      <w:proofErr w:type="spellStart"/>
      <w:r w:rsidRPr="00865FB3">
        <w:rPr>
          <w:rFonts w:ascii="Arial" w:hAnsi="Arial" w:cs="Arial"/>
          <w:i/>
          <w:iCs/>
          <w:sz w:val="22"/>
          <w:szCs w:val="22"/>
          <w:lang w:val="es-ES_tradnl" w:eastAsia="ar-SA"/>
        </w:rPr>
        <w:t>dies</w:t>
      </w:r>
      <w:proofErr w:type="spellEnd"/>
      <w:r w:rsidRPr="00865FB3">
        <w:rPr>
          <w:rFonts w:ascii="Arial" w:hAnsi="Arial" w:cs="Arial"/>
          <w:i/>
          <w:iCs/>
          <w:sz w:val="22"/>
          <w:szCs w:val="22"/>
          <w:lang w:val="es-ES_tradnl" w:eastAsia="ar-SA"/>
        </w:rPr>
        <w:t xml:space="preserve"> a quo</w:t>
      </w:r>
      <w:r w:rsidRPr="00865FB3">
        <w:rPr>
          <w:rFonts w:ascii="Arial" w:hAnsi="Arial" w:cs="Arial"/>
          <w:sz w:val="22"/>
          <w:szCs w:val="22"/>
          <w:lang w:val="es-ES_tradnl" w:eastAsia="ar-SA"/>
        </w:rPr>
        <w:t xml:space="preserve"> no puede fijarse conforme a las reglas que </w:t>
      </w:r>
      <w:r w:rsidR="001F395C" w:rsidRPr="00865FB3">
        <w:rPr>
          <w:rFonts w:ascii="Arial" w:hAnsi="Arial" w:cs="Arial"/>
          <w:sz w:val="22"/>
          <w:szCs w:val="22"/>
          <w:lang w:val="es-ES_tradnl" w:eastAsia="ar-SA"/>
        </w:rPr>
        <w:t>se indican en la Sentencia recurrida</w:t>
      </w:r>
      <w:r w:rsidRPr="00865FB3">
        <w:rPr>
          <w:rFonts w:ascii="Arial" w:hAnsi="Arial" w:cs="Arial"/>
          <w:sz w:val="22"/>
          <w:szCs w:val="22"/>
          <w:lang w:val="es-ES_tradnl" w:eastAsia="ar-SA"/>
        </w:rPr>
        <w:t>.</w:t>
      </w:r>
    </w:p>
    <w:p w14:paraId="51271566" w14:textId="0C3F5D3C" w:rsidR="009F5AD9" w:rsidRPr="00865FB3" w:rsidRDefault="003E1D17" w:rsidP="00865FB3">
      <w:pPr>
        <w:widowControl w:val="0"/>
        <w:tabs>
          <w:tab w:val="left" w:pos="708"/>
        </w:tabs>
        <w:spacing w:after="240" w:line="360" w:lineRule="auto"/>
        <w:outlineLvl w:val="0"/>
        <w:rPr>
          <w:rFonts w:ascii="Arial" w:eastAsiaTheme="majorEastAsia" w:hAnsi="Arial" w:cs="Arial"/>
          <w:b/>
          <w:bCs/>
          <w:caps/>
          <w:sz w:val="22"/>
          <w:szCs w:val="22"/>
          <w:lang w:val="es-ES_tradnl"/>
        </w:rPr>
      </w:pPr>
      <w:r w:rsidRPr="00865FB3">
        <w:rPr>
          <w:rFonts w:ascii="Arial" w:eastAsiaTheme="majorEastAsia" w:hAnsi="Arial" w:cs="Arial"/>
          <w:b/>
          <w:bCs/>
          <w:caps/>
          <w:sz w:val="22"/>
          <w:szCs w:val="22"/>
          <w:u w:val="single"/>
          <w:lang w:val="es-ES_tradnl"/>
        </w:rPr>
        <w:t>SEGUNDA</w:t>
      </w:r>
      <w:r w:rsidRPr="00865FB3">
        <w:rPr>
          <w:rFonts w:ascii="Arial" w:eastAsiaTheme="majorEastAsia" w:hAnsi="Arial" w:cs="Arial"/>
          <w:b/>
          <w:bCs/>
          <w:caps/>
          <w:sz w:val="22"/>
          <w:szCs w:val="22"/>
          <w:lang w:val="es-ES_tradnl"/>
        </w:rPr>
        <w:t xml:space="preserve">. – EL </w:t>
      </w:r>
      <w:r w:rsidRPr="00865FB3">
        <w:rPr>
          <w:rFonts w:ascii="Arial" w:eastAsiaTheme="majorEastAsia" w:hAnsi="Arial" w:cs="Arial"/>
          <w:b/>
          <w:bCs/>
          <w:i/>
          <w:caps/>
          <w:sz w:val="22"/>
          <w:szCs w:val="22"/>
          <w:lang w:val="es-ES_tradnl"/>
        </w:rPr>
        <w:t xml:space="preserve">DIES A QUO </w:t>
      </w:r>
      <w:r w:rsidRPr="00865FB3">
        <w:rPr>
          <w:rFonts w:ascii="Arial" w:eastAsiaTheme="majorEastAsia" w:hAnsi="Arial" w:cs="Arial"/>
          <w:b/>
          <w:bCs/>
          <w:caps/>
          <w:sz w:val="22"/>
          <w:szCs w:val="22"/>
          <w:lang w:val="es-ES_tradnl"/>
        </w:rPr>
        <w:t>DEL PLAZO DE PRESCRIPCIÓN DE LA ACCIÓN RESTITUTORIA DEBE ESTABLECERSE EN EL MOMENTO DEL PAGO DE LOS INTERESES</w:t>
      </w:r>
    </w:p>
    <w:p w14:paraId="1BFF16AB" w14:textId="52BDA2C1" w:rsidR="00AF4C4E" w:rsidRPr="00865FB3" w:rsidRDefault="003E1D17" w:rsidP="00865FB3">
      <w:pPr>
        <w:pStyle w:val="Prrafodelista"/>
        <w:widowControl w:val="0"/>
        <w:numPr>
          <w:ilvl w:val="0"/>
          <w:numId w:val="6"/>
        </w:numPr>
        <w:spacing w:after="240" w:line="360" w:lineRule="auto"/>
        <w:ind w:left="0" w:hanging="851"/>
        <w:rPr>
          <w:rFonts w:ascii="Arial" w:hAnsi="Arial" w:cs="Arial"/>
          <w:sz w:val="22"/>
          <w:szCs w:val="22"/>
          <w:lang w:val="es-ES_tradnl" w:eastAsia="ar-SA"/>
        </w:rPr>
      </w:pPr>
      <w:r w:rsidRPr="00865FB3">
        <w:rPr>
          <w:rFonts w:ascii="Arial" w:hAnsi="Arial" w:cs="Arial"/>
          <w:sz w:val="22"/>
          <w:szCs w:val="22"/>
          <w:lang w:val="es-ES_tradnl" w:eastAsia="ar-SA"/>
        </w:rPr>
        <w:t xml:space="preserve">En Segundo lugar, </w:t>
      </w:r>
      <w:r w:rsidR="00B32FF4" w:rsidRPr="00865FB3">
        <w:rPr>
          <w:rFonts w:ascii="Arial" w:hAnsi="Arial" w:cs="Arial"/>
          <w:sz w:val="22"/>
          <w:szCs w:val="22"/>
          <w:lang w:val="es-ES_tradnl" w:eastAsia="ar-SA"/>
        </w:rPr>
        <w:t>una vez explicado</w:t>
      </w:r>
      <w:r w:rsidR="00C47053" w:rsidRPr="00865FB3">
        <w:rPr>
          <w:rFonts w:ascii="Arial" w:hAnsi="Arial" w:cs="Arial"/>
          <w:sz w:val="22"/>
          <w:szCs w:val="22"/>
          <w:lang w:val="es-ES_tradnl" w:eastAsia="ar-SA"/>
        </w:rPr>
        <w:t>s</w:t>
      </w:r>
      <w:r w:rsidR="00B32FF4" w:rsidRPr="00865FB3">
        <w:rPr>
          <w:rFonts w:ascii="Arial" w:hAnsi="Arial" w:cs="Arial"/>
          <w:sz w:val="22"/>
          <w:szCs w:val="22"/>
          <w:lang w:val="es-ES_tradnl" w:eastAsia="ar-SA"/>
        </w:rPr>
        <w:t xml:space="preserve"> </w:t>
      </w:r>
      <w:r w:rsidR="00C47053" w:rsidRPr="00865FB3">
        <w:rPr>
          <w:rFonts w:ascii="Arial" w:hAnsi="Arial" w:cs="Arial"/>
          <w:sz w:val="22"/>
          <w:szCs w:val="22"/>
          <w:lang w:val="es-ES_tradnl" w:eastAsia="ar-SA"/>
        </w:rPr>
        <w:t>los motivos por los</w:t>
      </w:r>
      <w:r w:rsidR="00B32FF4" w:rsidRPr="00865FB3">
        <w:rPr>
          <w:rFonts w:ascii="Arial" w:hAnsi="Arial" w:cs="Arial"/>
          <w:sz w:val="22"/>
          <w:szCs w:val="22"/>
          <w:lang w:val="es-ES_tradnl" w:eastAsia="ar-SA"/>
        </w:rPr>
        <w:t xml:space="preserve"> cual</w:t>
      </w:r>
      <w:r w:rsidR="00C47053" w:rsidRPr="00865FB3">
        <w:rPr>
          <w:rFonts w:ascii="Arial" w:hAnsi="Arial" w:cs="Arial"/>
          <w:sz w:val="22"/>
          <w:szCs w:val="22"/>
          <w:lang w:val="es-ES_tradnl" w:eastAsia="ar-SA"/>
        </w:rPr>
        <w:t>es</w:t>
      </w:r>
      <w:r w:rsidR="00B32FF4" w:rsidRPr="00865FB3">
        <w:rPr>
          <w:rFonts w:ascii="Arial" w:hAnsi="Arial" w:cs="Arial"/>
          <w:sz w:val="22"/>
          <w:szCs w:val="22"/>
          <w:lang w:val="es-ES_tradnl" w:eastAsia="ar-SA"/>
        </w:rPr>
        <w:t xml:space="preserve"> no puede acogerse el </w:t>
      </w:r>
      <w:proofErr w:type="spellStart"/>
      <w:r w:rsidR="00B32FF4" w:rsidRPr="00865FB3">
        <w:rPr>
          <w:rFonts w:ascii="Arial" w:hAnsi="Arial" w:cs="Arial"/>
          <w:i/>
          <w:iCs/>
          <w:sz w:val="22"/>
          <w:szCs w:val="22"/>
          <w:lang w:val="es-ES_tradnl" w:eastAsia="ar-SA"/>
        </w:rPr>
        <w:t>dies</w:t>
      </w:r>
      <w:proofErr w:type="spellEnd"/>
      <w:r w:rsidR="00B32FF4" w:rsidRPr="00865FB3">
        <w:rPr>
          <w:rFonts w:ascii="Arial" w:hAnsi="Arial" w:cs="Arial"/>
          <w:i/>
          <w:iCs/>
          <w:sz w:val="22"/>
          <w:szCs w:val="22"/>
          <w:lang w:val="es-ES_tradnl" w:eastAsia="ar-SA"/>
        </w:rPr>
        <w:t xml:space="preserve"> a quo</w:t>
      </w:r>
      <w:r w:rsidR="00B32FF4" w:rsidRPr="00865FB3">
        <w:rPr>
          <w:rFonts w:ascii="Arial" w:hAnsi="Arial" w:cs="Arial"/>
          <w:sz w:val="22"/>
          <w:szCs w:val="22"/>
          <w:lang w:val="es-ES_tradnl" w:eastAsia="ar-SA"/>
        </w:rPr>
        <w:t xml:space="preserve"> </w:t>
      </w:r>
      <w:r w:rsidR="00C47053" w:rsidRPr="00865FB3">
        <w:rPr>
          <w:rFonts w:ascii="Arial" w:hAnsi="Arial" w:cs="Arial"/>
          <w:sz w:val="22"/>
          <w:szCs w:val="22"/>
          <w:lang w:val="es-ES_tradnl" w:eastAsia="ar-SA"/>
        </w:rPr>
        <w:t xml:space="preserve">del plazo de prescripción </w:t>
      </w:r>
      <w:r w:rsidR="00B32FF4" w:rsidRPr="00865FB3">
        <w:rPr>
          <w:rFonts w:ascii="Arial" w:hAnsi="Arial" w:cs="Arial"/>
          <w:sz w:val="22"/>
          <w:szCs w:val="22"/>
          <w:lang w:val="es-ES_tradnl" w:eastAsia="ar-SA"/>
        </w:rPr>
        <w:t xml:space="preserve">fijado en la Sentencia recurrida, </w:t>
      </w:r>
      <w:r w:rsidR="00C47053" w:rsidRPr="00865FB3">
        <w:rPr>
          <w:rFonts w:ascii="Arial" w:hAnsi="Arial" w:cs="Arial"/>
          <w:sz w:val="22"/>
          <w:szCs w:val="22"/>
          <w:lang w:val="es-ES_tradnl" w:eastAsia="ar-SA"/>
        </w:rPr>
        <w:t>es</w:t>
      </w:r>
      <w:r w:rsidR="00871CE0" w:rsidRPr="00865FB3">
        <w:rPr>
          <w:rFonts w:ascii="Arial" w:hAnsi="Arial" w:cs="Arial"/>
          <w:sz w:val="22"/>
          <w:szCs w:val="22"/>
          <w:lang w:val="es-ES_tradnl" w:eastAsia="ar-SA"/>
        </w:rPr>
        <w:t xml:space="preserve"> necesario </w:t>
      </w:r>
      <w:r w:rsidR="00C47053" w:rsidRPr="00865FB3">
        <w:rPr>
          <w:rFonts w:ascii="Arial" w:hAnsi="Arial" w:cs="Arial"/>
          <w:sz w:val="22"/>
          <w:szCs w:val="22"/>
          <w:lang w:val="es-ES_tradnl" w:eastAsia="ar-SA"/>
        </w:rPr>
        <w:t xml:space="preserve">tener en cuenta </w:t>
      </w:r>
      <w:r w:rsidR="00871CE0" w:rsidRPr="00865FB3">
        <w:rPr>
          <w:rFonts w:ascii="Arial" w:hAnsi="Arial" w:cs="Arial"/>
          <w:sz w:val="22"/>
          <w:szCs w:val="22"/>
          <w:lang w:val="es-ES_tradnl" w:eastAsia="ar-SA"/>
        </w:rPr>
        <w:t>que</w:t>
      </w:r>
      <w:r w:rsidR="006B5419" w:rsidRPr="00865FB3">
        <w:rPr>
          <w:rFonts w:ascii="Arial" w:hAnsi="Arial" w:cs="Arial"/>
          <w:sz w:val="22"/>
          <w:szCs w:val="22"/>
          <w:lang w:val="es-ES_tradnl" w:eastAsia="ar-SA"/>
        </w:rPr>
        <w:t xml:space="preserve">, </w:t>
      </w:r>
      <w:r w:rsidR="00C72957" w:rsidRPr="00865FB3">
        <w:rPr>
          <w:rFonts w:ascii="Arial" w:hAnsi="Arial" w:cs="Arial"/>
          <w:sz w:val="22"/>
          <w:szCs w:val="22"/>
          <w:lang w:val="es-ES_tradnl" w:eastAsia="ar-SA"/>
        </w:rPr>
        <w:t xml:space="preserve">si se sigue </w:t>
      </w:r>
      <w:r w:rsidR="00685BBB" w:rsidRPr="00865FB3">
        <w:rPr>
          <w:rFonts w:ascii="Arial" w:hAnsi="Arial" w:cs="Arial"/>
          <w:sz w:val="22"/>
          <w:szCs w:val="22"/>
          <w:lang w:val="es-ES_tradnl" w:eastAsia="ar-SA"/>
        </w:rPr>
        <w:t>una aplicación correcta de la doctrina</w:t>
      </w:r>
      <w:r w:rsidR="00C47053" w:rsidRPr="00865FB3">
        <w:rPr>
          <w:rFonts w:ascii="Arial" w:hAnsi="Arial" w:cs="Arial"/>
          <w:sz w:val="22"/>
          <w:szCs w:val="22"/>
          <w:lang w:val="es-ES_tradnl" w:eastAsia="ar-SA"/>
        </w:rPr>
        <w:t xml:space="preserve"> y la jurisprudencia</w:t>
      </w:r>
      <w:r w:rsidR="00C72957" w:rsidRPr="00865FB3">
        <w:rPr>
          <w:rFonts w:ascii="Arial" w:hAnsi="Arial" w:cs="Arial"/>
          <w:sz w:val="22"/>
          <w:szCs w:val="22"/>
          <w:lang w:val="es-ES_tradnl" w:eastAsia="ar-SA"/>
        </w:rPr>
        <w:t xml:space="preserve">, </w:t>
      </w:r>
      <w:r w:rsidR="00985FC1" w:rsidRPr="00865FB3">
        <w:rPr>
          <w:rFonts w:ascii="Arial" w:hAnsi="Arial" w:cs="Arial"/>
          <w:sz w:val="22"/>
          <w:szCs w:val="22"/>
          <w:lang w:val="es-ES_tradnl" w:eastAsia="ar-SA"/>
        </w:rPr>
        <w:t>l</w:t>
      </w:r>
      <w:r w:rsidR="00C72957" w:rsidRPr="00865FB3">
        <w:rPr>
          <w:rFonts w:ascii="Arial" w:hAnsi="Arial" w:cs="Arial"/>
          <w:sz w:val="22"/>
          <w:szCs w:val="22"/>
          <w:lang w:val="es-ES_tradnl" w:eastAsia="ar-SA"/>
        </w:rPr>
        <w:t xml:space="preserve">a fecha a la que debe atenderse como </w:t>
      </w:r>
      <w:proofErr w:type="spellStart"/>
      <w:r w:rsidR="00C72957" w:rsidRPr="00865FB3">
        <w:rPr>
          <w:rFonts w:ascii="Arial" w:hAnsi="Arial" w:cs="Arial"/>
          <w:i/>
          <w:sz w:val="22"/>
          <w:szCs w:val="22"/>
          <w:lang w:val="es-ES_tradnl" w:eastAsia="ar-SA"/>
        </w:rPr>
        <w:t>dies</w:t>
      </w:r>
      <w:proofErr w:type="spellEnd"/>
      <w:r w:rsidR="00C72957" w:rsidRPr="00865FB3">
        <w:rPr>
          <w:rFonts w:ascii="Arial" w:hAnsi="Arial" w:cs="Arial"/>
          <w:i/>
          <w:sz w:val="22"/>
          <w:szCs w:val="22"/>
          <w:lang w:val="es-ES_tradnl" w:eastAsia="ar-SA"/>
        </w:rPr>
        <w:t xml:space="preserve"> a quo</w:t>
      </w:r>
      <w:r w:rsidR="00C72957" w:rsidRPr="00865FB3">
        <w:rPr>
          <w:rFonts w:ascii="Arial" w:hAnsi="Arial" w:cs="Arial"/>
          <w:sz w:val="22"/>
          <w:szCs w:val="22"/>
          <w:lang w:val="es-ES_tradnl" w:eastAsia="ar-SA"/>
        </w:rPr>
        <w:t xml:space="preserve"> es el momento de cada pago de </w:t>
      </w:r>
      <w:r w:rsidR="00C47053" w:rsidRPr="00865FB3">
        <w:rPr>
          <w:rFonts w:ascii="Arial" w:hAnsi="Arial" w:cs="Arial"/>
          <w:sz w:val="22"/>
          <w:szCs w:val="22"/>
          <w:lang w:val="es-ES_tradnl" w:eastAsia="ar-SA"/>
        </w:rPr>
        <w:t xml:space="preserve">los </w:t>
      </w:r>
      <w:r w:rsidR="00C72957" w:rsidRPr="00865FB3">
        <w:rPr>
          <w:rFonts w:ascii="Arial" w:hAnsi="Arial" w:cs="Arial"/>
          <w:sz w:val="22"/>
          <w:szCs w:val="22"/>
          <w:lang w:val="es-ES_tradnl" w:eastAsia="ar-SA"/>
        </w:rPr>
        <w:t xml:space="preserve">intereses considerados usurarios. De este modo, atendiendo al plazo de prescripción </w:t>
      </w:r>
      <w:r w:rsidR="00AF4C4E" w:rsidRPr="00865FB3">
        <w:rPr>
          <w:rFonts w:ascii="Arial" w:hAnsi="Arial" w:cs="Arial"/>
          <w:sz w:val="22"/>
          <w:szCs w:val="22"/>
          <w:lang w:val="es-ES_tradnl" w:eastAsia="ar-SA"/>
        </w:rPr>
        <w:t>de</w:t>
      </w:r>
      <w:r w:rsidR="00AF4C4E" w:rsidRPr="00865FB3">
        <w:rPr>
          <w:rFonts w:ascii="Arial" w:hAnsi="Arial" w:cs="Arial"/>
          <w:sz w:val="22"/>
          <w:szCs w:val="22"/>
        </w:rPr>
        <w:t xml:space="preserve">l art. 1964 CC, la parte actora solo puede pretender la restitución de los intereses pagados en los 5 años anteriores a su reclamación extrajudicial (realmente, 5 años y 82 días por la suspensión de los plazos de prescripción establecida por el Real Decreto 463/2020, de 14 de marzo). Siendo la reclamación extrajudicial de </w:t>
      </w:r>
      <w:r w:rsidR="00016572" w:rsidRPr="00865FB3">
        <w:rPr>
          <w:rFonts w:ascii="Arial" w:hAnsi="Arial" w:cs="Arial"/>
          <w:sz w:val="22"/>
          <w:szCs w:val="22"/>
          <w:highlight w:val="yellow"/>
        </w:rPr>
        <w:t xml:space="preserve">13 de junio de </w:t>
      </w:r>
      <w:r w:rsidR="00F10A3C" w:rsidRPr="00865FB3">
        <w:rPr>
          <w:rFonts w:ascii="Arial" w:hAnsi="Arial" w:cs="Arial"/>
          <w:sz w:val="22"/>
          <w:szCs w:val="22"/>
          <w:highlight w:val="yellow"/>
        </w:rPr>
        <w:t>2021</w:t>
      </w:r>
      <w:r w:rsidR="00493FF9" w:rsidRPr="00865FB3">
        <w:rPr>
          <w:rStyle w:val="Refdenotaalpie"/>
          <w:rFonts w:ascii="Arial" w:hAnsi="Arial" w:cs="Arial"/>
          <w:sz w:val="22"/>
          <w:szCs w:val="22"/>
          <w:highlight w:val="yellow"/>
        </w:rPr>
        <w:footnoteReference w:id="10"/>
      </w:r>
      <w:r w:rsidR="00AF4C4E" w:rsidRPr="00865FB3">
        <w:rPr>
          <w:rFonts w:ascii="Arial" w:hAnsi="Arial" w:cs="Arial"/>
          <w:sz w:val="22"/>
          <w:szCs w:val="22"/>
          <w:highlight w:val="yellow"/>
        </w:rPr>
        <w:t>, la Parte actora solo podría reclamar los pagos realizados después del</w:t>
      </w:r>
      <w:r w:rsidR="00D96C2F" w:rsidRPr="00865FB3">
        <w:rPr>
          <w:rFonts w:ascii="Arial" w:hAnsi="Arial" w:cs="Arial"/>
          <w:sz w:val="22"/>
          <w:szCs w:val="22"/>
          <w:highlight w:val="yellow"/>
        </w:rPr>
        <w:t xml:space="preserve"> </w:t>
      </w:r>
      <w:r w:rsidR="00F10A3C" w:rsidRPr="00865FB3">
        <w:rPr>
          <w:rFonts w:ascii="Arial" w:hAnsi="Arial" w:cs="Arial"/>
          <w:sz w:val="22"/>
          <w:szCs w:val="22"/>
          <w:highlight w:val="yellow"/>
        </w:rPr>
        <w:t>13 de junio de 2016</w:t>
      </w:r>
      <w:r w:rsidR="00894A9D" w:rsidRPr="00865FB3">
        <w:rPr>
          <w:rFonts w:ascii="Arial" w:hAnsi="Arial" w:cs="Arial"/>
          <w:sz w:val="22"/>
          <w:szCs w:val="22"/>
          <w:highlight w:val="yellow"/>
        </w:rPr>
        <w:t xml:space="preserve"> más 82 días de suspensión por el Estado de Alarma</w:t>
      </w:r>
      <w:r w:rsidR="00537A4F" w:rsidRPr="00865FB3">
        <w:rPr>
          <w:rFonts w:ascii="Arial" w:hAnsi="Arial" w:cs="Arial"/>
          <w:sz w:val="22"/>
          <w:szCs w:val="22"/>
          <w:highlight w:val="yellow"/>
        </w:rPr>
        <w:t xml:space="preserve">, esto es </w:t>
      </w:r>
      <w:r w:rsidR="004B0C78" w:rsidRPr="00865FB3">
        <w:rPr>
          <w:rFonts w:ascii="Arial" w:hAnsi="Arial" w:cs="Arial"/>
          <w:sz w:val="22"/>
          <w:szCs w:val="22"/>
          <w:highlight w:val="yellow"/>
        </w:rPr>
        <w:t xml:space="preserve">desde el </w:t>
      </w:r>
      <w:r w:rsidR="00CE388F" w:rsidRPr="00865FB3">
        <w:rPr>
          <w:rFonts w:ascii="Arial" w:hAnsi="Arial" w:cs="Arial"/>
          <w:sz w:val="22"/>
          <w:szCs w:val="22"/>
          <w:highlight w:val="yellow"/>
        </w:rPr>
        <w:t>24 de marzo de 2016</w:t>
      </w:r>
      <w:r w:rsidR="00D96C2F" w:rsidRPr="00865FB3">
        <w:rPr>
          <w:rFonts w:ascii="Arial" w:hAnsi="Arial" w:cs="Arial"/>
          <w:sz w:val="22"/>
          <w:szCs w:val="22"/>
          <w:highlight w:val="yellow"/>
        </w:rPr>
        <w:t>.</w:t>
      </w:r>
    </w:p>
    <w:p w14:paraId="0540234B" w14:textId="4B2D4A7A" w:rsidR="00C72957" w:rsidRPr="00865FB3" w:rsidRDefault="00B41C6F" w:rsidP="00865FB3">
      <w:pPr>
        <w:pStyle w:val="Prrafodelista"/>
        <w:widowControl w:val="0"/>
        <w:numPr>
          <w:ilvl w:val="0"/>
          <w:numId w:val="6"/>
        </w:numPr>
        <w:spacing w:after="240" w:line="360" w:lineRule="auto"/>
        <w:ind w:left="0" w:hanging="851"/>
        <w:rPr>
          <w:rFonts w:ascii="Arial" w:hAnsi="Arial" w:cs="Arial"/>
          <w:sz w:val="22"/>
          <w:szCs w:val="22"/>
          <w:lang w:val="es-ES_tradnl" w:eastAsia="ar-SA"/>
        </w:rPr>
      </w:pPr>
      <w:r w:rsidRPr="00865FB3">
        <w:rPr>
          <w:rFonts w:ascii="Arial" w:hAnsi="Arial" w:cs="Arial"/>
          <w:sz w:val="22"/>
          <w:szCs w:val="22"/>
        </w:rPr>
        <w:t xml:space="preserve">Así, </w:t>
      </w:r>
      <w:r w:rsidR="00C72957" w:rsidRPr="00865FB3">
        <w:rPr>
          <w:rFonts w:ascii="Arial" w:hAnsi="Arial" w:cs="Arial"/>
          <w:sz w:val="22"/>
          <w:szCs w:val="22"/>
        </w:rPr>
        <w:t xml:space="preserve">el </w:t>
      </w:r>
      <w:proofErr w:type="spellStart"/>
      <w:r w:rsidR="00C72957" w:rsidRPr="00865FB3">
        <w:rPr>
          <w:rFonts w:ascii="Arial" w:hAnsi="Arial" w:cs="Arial"/>
          <w:i/>
          <w:sz w:val="22"/>
          <w:szCs w:val="22"/>
        </w:rPr>
        <w:t>dies</w:t>
      </w:r>
      <w:proofErr w:type="spellEnd"/>
      <w:r w:rsidR="00C72957" w:rsidRPr="00865FB3">
        <w:rPr>
          <w:rFonts w:ascii="Arial" w:hAnsi="Arial" w:cs="Arial"/>
          <w:i/>
          <w:sz w:val="22"/>
          <w:szCs w:val="22"/>
        </w:rPr>
        <w:t xml:space="preserve"> a quo</w:t>
      </w:r>
      <w:r w:rsidR="00C72957" w:rsidRPr="00865FB3">
        <w:rPr>
          <w:rFonts w:ascii="Arial" w:hAnsi="Arial" w:cs="Arial"/>
          <w:sz w:val="22"/>
          <w:szCs w:val="22"/>
        </w:rPr>
        <w:t xml:space="preserve"> de la acción restitutoria de los intereses usurarios </w:t>
      </w:r>
      <w:r w:rsidRPr="00865FB3">
        <w:rPr>
          <w:rFonts w:ascii="Arial" w:hAnsi="Arial" w:cs="Arial"/>
          <w:sz w:val="22"/>
          <w:szCs w:val="22"/>
        </w:rPr>
        <w:t xml:space="preserve">debe fijarse </w:t>
      </w:r>
      <w:r w:rsidR="00C72957" w:rsidRPr="00865FB3">
        <w:rPr>
          <w:rFonts w:ascii="Arial" w:hAnsi="Arial" w:cs="Arial"/>
          <w:sz w:val="22"/>
          <w:szCs w:val="22"/>
        </w:rPr>
        <w:t>conforme al art</w:t>
      </w:r>
      <w:r w:rsidR="00C72957" w:rsidRPr="00865FB3">
        <w:rPr>
          <w:rFonts w:ascii="Arial" w:hAnsi="Arial" w:cs="Arial"/>
          <w:sz w:val="22"/>
          <w:szCs w:val="22"/>
          <w:lang w:val="es-ES_tradnl" w:eastAsia="ar-SA"/>
        </w:rPr>
        <w:t xml:space="preserve">. 1969 CC, que determina que el </w:t>
      </w:r>
      <w:proofErr w:type="spellStart"/>
      <w:r w:rsidR="00C72957" w:rsidRPr="00865FB3">
        <w:rPr>
          <w:rFonts w:ascii="Arial" w:hAnsi="Arial" w:cs="Arial"/>
          <w:i/>
          <w:sz w:val="22"/>
          <w:szCs w:val="22"/>
          <w:lang w:val="es-ES_tradnl" w:eastAsia="ar-SA"/>
        </w:rPr>
        <w:t>dies</w:t>
      </w:r>
      <w:proofErr w:type="spellEnd"/>
      <w:r w:rsidR="00C72957" w:rsidRPr="00865FB3">
        <w:rPr>
          <w:rFonts w:ascii="Arial" w:hAnsi="Arial" w:cs="Arial"/>
          <w:i/>
          <w:sz w:val="22"/>
          <w:szCs w:val="22"/>
          <w:lang w:val="es-ES_tradnl" w:eastAsia="ar-SA"/>
        </w:rPr>
        <w:t xml:space="preserve"> a quo</w:t>
      </w:r>
      <w:r w:rsidR="00C72957" w:rsidRPr="00865FB3">
        <w:rPr>
          <w:rFonts w:ascii="Arial" w:hAnsi="Arial" w:cs="Arial"/>
          <w:sz w:val="22"/>
          <w:szCs w:val="22"/>
          <w:lang w:val="es-ES_tradnl" w:eastAsia="ar-SA"/>
        </w:rPr>
        <w:t xml:space="preserve"> debe ser necesariamente el momento en el que se realizaron los pagos.</w:t>
      </w:r>
    </w:p>
    <w:p w14:paraId="0896AE78" w14:textId="77777777" w:rsidR="00C72957" w:rsidRPr="00865FB3" w:rsidRDefault="00C72957" w:rsidP="00865FB3">
      <w:pPr>
        <w:pStyle w:val="Prrafodelista"/>
        <w:widowControl w:val="0"/>
        <w:numPr>
          <w:ilvl w:val="0"/>
          <w:numId w:val="6"/>
        </w:numPr>
        <w:spacing w:after="240" w:line="360" w:lineRule="auto"/>
        <w:ind w:left="0" w:hanging="851"/>
        <w:rPr>
          <w:rFonts w:ascii="Arial" w:hAnsi="Arial" w:cs="Arial"/>
          <w:sz w:val="22"/>
          <w:szCs w:val="22"/>
          <w:lang w:val="es-ES_tradnl" w:eastAsia="ar-SA"/>
        </w:rPr>
      </w:pPr>
      <w:r w:rsidRPr="00865FB3">
        <w:rPr>
          <w:rFonts w:ascii="Arial" w:hAnsi="Arial" w:cs="Arial"/>
          <w:sz w:val="22"/>
          <w:szCs w:val="22"/>
        </w:rPr>
        <w:t>Es evidente que, cuando atendemos puramente a Derecho interno español, el art</w:t>
      </w:r>
      <w:r w:rsidRPr="00865FB3">
        <w:rPr>
          <w:rFonts w:ascii="Arial" w:hAnsi="Arial" w:cs="Arial"/>
          <w:sz w:val="22"/>
          <w:szCs w:val="22"/>
          <w:lang w:val="es-ES_tradnl" w:eastAsia="ar-SA"/>
        </w:rPr>
        <w:t>. 1969 CC impone que, con carácter general, el</w:t>
      </w:r>
      <w:r w:rsidRPr="00865FB3">
        <w:rPr>
          <w:rFonts w:ascii="Arial" w:hAnsi="Arial" w:cs="Arial"/>
          <w:sz w:val="22"/>
          <w:szCs w:val="22"/>
        </w:rPr>
        <w:t xml:space="preserve"> </w:t>
      </w:r>
      <w:proofErr w:type="spellStart"/>
      <w:r w:rsidRPr="00865FB3">
        <w:rPr>
          <w:rFonts w:ascii="Arial" w:hAnsi="Arial" w:cs="Arial"/>
          <w:i/>
          <w:sz w:val="22"/>
          <w:szCs w:val="22"/>
        </w:rPr>
        <w:t>dies</w:t>
      </w:r>
      <w:proofErr w:type="spellEnd"/>
      <w:r w:rsidRPr="00865FB3">
        <w:rPr>
          <w:rFonts w:ascii="Arial" w:hAnsi="Arial" w:cs="Arial"/>
          <w:i/>
          <w:sz w:val="22"/>
          <w:szCs w:val="22"/>
        </w:rPr>
        <w:t xml:space="preserve"> a quo </w:t>
      </w:r>
      <w:r w:rsidRPr="00865FB3">
        <w:rPr>
          <w:rFonts w:ascii="Arial" w:hAnsi="Arial" w:cs="Arial"/>
          <w:sz w:val="22"/>
          <w:szCs w:val="22"/>
        </w:rPr>
        <w:t xml:space="preserve">deba ser entendido de forma objetiva, como ha considerado nuestra mejor doctrina. En este sentido, es especialmente clara la explicación del Prof. </w:t>
      </w:r>
      <w:r w:rsidRPr="00865FB3">
        <w:rPr>
          <w:rFonts w:ascii="Arial" w:hAnsi="Arial" w:cs="Arial"/>
          <w:smallCaps/>
          <w:sz w:val="22"/>
          <w:szCs w:val="22"/>
        </w:rPr>
        <w:t>L. Díez-Picazo</w:t>
      </w:r>
      <w:r w:rsidRPr="00865FB3">
        <w:rPr>
          <w:rFonts w:ascii="Arial" w:hAnsi="Arial" w:cs="Arial"/>
          <w:sz w:val="22"/>
          <w:szCs w:val="22"/>
        </w:rPr>
        <w:t xml:space="preserve">: </w:t>
      </w:r>
    </w:p>
    <w:p w14:paraId="23BF8B18" w14:textId="77777777" w:rsidR="007E68AD" w:rsidRPr="00865FB3" w:rsidRDefault="007E68AD" w:rsidP="00865FB3">
      <w:pPr>
        <w:pStyle w:val="Prrafodelista"/>
        <w:spacing w:line="360" w:lineRule="auto"/>
        <w:ind w:left="567" w:right="-2"/>
        <w:rPr>
          <w:rFonts w:ascii="Arial" w:hAnsi="Arial" w:cs="Arial"/>
          <w:i/>
          <w:sz w:val="22"/>
          <w:szCs w:val="22"/>
        </w:rPr>
      </w:pPr>
      <w:r w:rsidRPr="00865FB3">
        <w:rPr>
          <w:rFonts w:ascii="Arial" w:hAnsi="Arial" w:cs="Arial"/>
          <w:i/>
          <w:sz w:val="22"/>
          <w:szCs w:val="22"/>
        </w:rPr>
        <w:lastRenderedPageBreak/>
        <w:t>“La jurisprudencia se ha cuidado de puntualizar que la «posibilidad» a la que alude el art. 1969, es la «posibilidad legal» y que, por tanto, las condiciones materiales del interesado u otras circunstancias puramente personales solo podrán tenerse en cuenta excepcionalmente cuando la ley así lo determine. De esta proposición pueden extraerse algunas consecuencias.</w:t>
      </w:r>
    </w:p>
    <w:p w14:paraId="0647D4A4" w14:textId="77777777" w:rsidR="007E68AD" w:rsidRPr="00865FB3" w:rsidRDefault="007E68AD" w:rsidP="00865FB3">
      <w:pPr>
        <w:pStyle w:val="Prrafodelista"/>
        <w:spacing w:line="360" w:lineRule="auto"/>
        <w:ind w:left="567" w:right="-2"/>
        <w:rPr>
          <w:rFonts w:ascii="Arial" w:hAnsi="Arial" w:cs="Arial"/>
          <w:i/>
          <w:sz w:val="22"/>
          <w:szCs w:val="22"/>
        </w:rPr>
      </w:pPr>
      <w:r w:rsidRPr="00865FB3">
        <w:rPr>
          <w:rFonts w:ascii="Arial" w:hAnsi="Arial" w:cs="Arial"/>
          <w:i/>
          <w:sz w:val="22"/>
          <w:szCs w:val="22"/>
        </w:rPr>
        <w:t>1º La imposibilidad material en que una persona se encuentra para ejercitar una acción no es tenida en cuenta a efectos de la prescripción. El hecho de que el titular del derecho se encontrara ausente, incomunicado o físicamente imposibilitado para dirigirse contra el demandado no tiene relevancia, como tampoco la tiene, según sabemos, el que fuera incapaz o careciera de representación legal (cfr. art. 1932).</w:t>
      </w:r>
    </w:p>
    <w:p w14:paraId="0CB53E8B" w14:textId="77777777" w:rsidR="007E68AD" w:rsidRPr="00865FB3" w:rsidRDefault="007E68AD" w:rsidP="00865FB3">
      <w:pPr>
        <w:pStyle w:val="Prrafodelista"/>
        <w:spacing w:line="360" w:lineRule="auto"/>
        <w:ind w:left="567" w:right="-2"/>
        <w:rPr>
          <w:rFonts w:ascii="Arial" w:hAnsi="Arial" w:cs="Arial"/>
          <w:i/>
          <w:sz w:val="22"/>
          <w:szCs w:val="22"/>
        </w:rPr>
      </w:pPr>
      <w:r w:rsidRPr="00865FB3">
        <w:rPr>
          <w:rFonts w:ascii="Arial" w:hAnsi="Arial" w:cs="Arial"/>
          <w:i/>
          <w:sz w:val="22"/>
          <w:szCs w:val="22"/>
        </w:rPr>
        <w:t>2º El desconocimiento del titular del derecho respecto a la posibilidad de ejercicio tampoco debe, por regla general, ser tomado en consideración. Aquellos supuestos en los cuales el momento inicial de la prescripción se coloca en el conocimiento del hecho o de la situación (cfr. 1968) son de carácter excepcional.</w:t>
      </w:r>
    </w:p>
    <w:p w14:paraId="202D1F5C" w14:textId="77777777" w:rsidR="007E68AD" w:rsidRPr="00865FB3" w:rsidRDefault="007E68AD" w:rsidP="00865FB3">
      <w:pPr>
        <w:pStyle w:val="Prrafodelista"/>
        <w:spacing w:line="360" w:lineRule="auto"/>
        <w:ind w:left="567" w:right="-2"/>
        <w:rPr>
          <w:rFonts w:ascii="Arial" w:hAnsi="Arial" w:cs="Arial"/>
          <w:i/>
          <w:sz w:val="22"/>
          <w:szCs w:val="22"/>
        </w:rPr>
      </w:pPr>
      <w:r w:rsidRPr="00865FB3">
        <w:rPr>
          <w:rFonts w:ascii="Arial" w:hAnsi="Arial" w:cs="Arial"/>
          <w:i/>
          <w:sz w:val="22"/>
          <w:szCs w:val="22"/>
        </w:rPr>
        <w:t>3º La fuerza mayor o, acaso mejor, el impedimento debido a fuerza mayor tampoco es relevante en nuestro Derecho en relación con la prescripción, a diferencia de lo que ocurre en otros ordenamientos jurídicos”</w:t>
      </w:r>
      <w:r w:rsidRPr="00865FB3">
        <w:rPr>
          <w:rStyle w:val="Refdenotaalpie"/>
          <w:rFonts w:ascii="Arial" w:hAnsi="Arial" w:cs="Arial"/>
          <w:sz w:val="22"/>
          <w:szCs w:val="22"/>
        </w:rPr>
        <w:t xml:space="preserve"> </w:t>
      </w:r>
      <w:r w:rsidRPr="00865FB3">
        <w:rPr>
          <w:rStyle w:val="Refdenotaalpie"/>
          <w:rFonts w:ascii="Arial" w:hAnsi="Arial" w:cs="Arial"/>
          <w:sz w:val="22"/>
          <w:szCs w:val="22"/>
        </w:rPr>
        <w:footnoteReference w:id="11"/>
      </w:r>
      <w:r w:rsidRPr="00865FB3">
        <w:rPr>
          <w:rFonts w:ascii="Arial" w:hAnsi="Arial" w:cs="Arial"/>
          <w:i/>
          <w:sz w:val="22"/>
          <w:szCs w:val="22"/>
        </w:rPr>
        <w:t>.</w:t>
      </w:r>
    </w:p>
    <w:p w14:paraId="38B7D5F0" w14:textId="77777777" w:rsidR="007E68AD" w:rsidRPr="00865FB3" w:rsidRDefault="007E68AD" w:rsidP="00865FB3">
      <w:pPr>
        <w:pStyle w:val="Prrafodelista"/>
        <w:widowControl w:val="0"/>
        <w:numPr>
          <w:ilvl w:val="0"/>
          <w:numId w:val="6"/>
        </w:numPr>
        <w:spacing w:after="240" w:line="360" w:lineRule="auto"/>
        <w:ind w:left="0" w:hanging="851"/>
        <w:rPr>
          <w:rFonts w:ascii="Arial" w:hAnsi="Arial" w:cs="Arial"/>
          <w:sz w:val="22"/>
          <w:szCs w:val="22"/>
        </w:rPr>
      </w:pPr>
      <w:r w:rsidRPr="00865FB3">
        <w:rPr>
          <w:rFonts w:ascii="Arial" w:hAnsi="Arial" w:cs="Arial"/>
          <w:sz w:val="22"/>
          <w:szCs w:val="22"/>
        </w:rPr>
        <w:t xml:space="preserve">De igual manera, el Prof. </w:t>
      </w:r>
      <w:r w:rsidRPr="00865FB3">
        <w:rPr>
          <w:rFonts w:ascii="Arial" w:hAnsi="Arial" w:cs="Arial"/>
          <w:smallCaps/>
          <w:sz w:val="22"/>
          <w:szCs w:val="22"/>
        </w:rPr>
        <w:t>J. Delgado Echeverría</w:t>
      </w:r>
      <w:r w:rsidRPr="00865FB3">
        <w:rPr>
          <w:rFonts w:ascii="Arial" w:hAnsi="Arial" w:cs="Arial"/>
          <w:sz w:val="22"/>
          <w:szCs w:val="22"/>
        </w:rPr>
        <w:t xml:space="preserve"> también ha apoyado una lectura objetiva del artículo 1969 del Código Civil: </w:t>
      </w:r>
    </w:p>
    <w:p w14:paraId="63B10804" w14:textId="77777777" w:rsidR="007E68AD" w:rsidRPr="00865FB3" w:rsidRDefault="007E68AD" w:rsidP="00865FB3">
      <w:pPr>
        <w:pStyle w:val="Prrafodelista"/>
        <w:spacing w:line="360" w:lineRule="auto"/>
        <w:ind w:left="567" w:right="-2"/>
        <w:rPr>
          <w:rFonts w:ascii="Arial" w:hAnsi="Arial" w:cs="Arial"/>
          <w:sz w:val="22"/>
          <w:szCs w:val="22"/>
        </w:rPr>
      </w:pPr>
      <w:r w:rsidRPr="00865FB3">
        <w:rPr>
          <w:rFonts w:ascii="Arial" w:hAnsi="Arial" w:cs="Arial"/>
          <w:sz w:val="22"/>
          <w:szCs w:val="22"/>
        </w:rPr>
        <w:t>“</w:t>
      </w:r>
      <w:r w:rsidRPr="00865FB3">
        <w:rPr>
          <w:rFonts w:ascii="Arial" w:hAnsi="Arial" w:cs="Arial"/>
          <w:i/>
          <w:sz w:val="22"/>
          <w:szCs w:val="22"/>
        </w:rPr>
        <w:t>Así planteada la cuestión, tanto la doctrina (</w:t>
      </w:r>
      <w:proofErr w:type="spellStart"/>
      <w:r w:rsidRPr="00865FB3">
        <w:rPr>
          <w:rFonts w:ascii="Arial" w:hAnsi="Arial" w:cs="Arial"/>
          <w:i/>
          <w:smallCaps/>
          <w:sz w:val="22"/>
          <w:szCs w:val="22"/>
        </w:rPr>
        <w:t>dÍez</w:t>
      </w:r>
      <w:proofErr w:type="spellEnd"/>
      <w:r w:rsidRPr="00865FB3">
        <w:rPr>
          <w:rFonts w:ascii="Arial" w:hAnsi="Arial" w:cs="Arial"/>
          <w:i/>
          <w:smallCaps/>
          <w:sz w:val="22"/>
          <w:szCs w:val="22"/>
        </w:rPr>
        <w:t xml:space="preserve"> picazo</w:t>
      </w:r>
      <w:r w:rsidRPr="00865FB3">
        <w:rPr>
          <w:rFonts w:ascii="Arial" w:hAnsi="Arial" w:cs="Arial"/>
          <w:i/>
          <w:sz w:val="22"/>
          <w:szCs w:val="22"/>
        </w:rPr>
        <w:t xml:space="preserve">, </w:t>
      </w:r>
      <w:proofErr w:type="spellStart"/>
      <w:r w:rsidRPr="00865FB3">
        <w:rPr>
          <w:rFonts w:ascii="Arial" w:hAnsi="Arial" w:cs="Arial"/>
          <w:i/>
          <w:smallCaps/>
          <w:sz w:val="22"/>
          <w:szCs w:val="22"/>
        </w:rPr>
        <w:t>puig</w:t>
      </w:r>
      <w:proofErr w:type="spellEnd"/>
      <w:r w:rsidRPr="00865FB3">
        <w:rPr>
          <w:rFonts w:ascii="Arial" w:hAnsi="Arial" w:cs="Arial"/>
          <w:i/>
          <w:smallCaps/>
          <w:sz w:val="22"/>
          <w:szCs w:val="22"/>
        </w:rPr>
        <w:t xml:space="preserve"> </w:t>
      </w:r>
      <w:proofErr w:type="spellStart"/>
      <w:r w:rsidRPr="00865FB3">
        <w:rPr>
          <w:rFonts w:ascii="Arial" w:hAnsi="Arial" w:cs="Arial"/>
          <w:i/>
          <w:smallCaps/>
          <w:sz w:val="22"/>
          <w:szCs w:val="22"/>
        </w:rPr>
        <w:t>ferriol</w:t>
      </w:r>
      <w:proofErr w:type="spellEnd"/>
      <w:r w:rsidRPr="00865FB3">
        <w:rPr>
          <w:rFonts w:ascii="Arial" w:hAnsi="Arial" w:cs="Arial"/>
          <w:i/>
          <w:sz w:val="22"/>
          <w:szCs w:val="22"/>
        </w:rPr>
        <w:t xml:space="preserve">) como la jurisprudencia vienen a entender que frente al criterio subjetivo que subyace en el art. 1.968-2º </w:t>
      </w:r>
      <w:proofErr w:type="spellStart"/>
      <w:r w:rsidRPr="00865FB3">
        <w:rPr>
          <w:rFonts w:ascii="Arial" w:hAnsi="Arial" w:cs="Arial"/>
          <w:i/>
          <w:sz w:val="22"/>
          <w:szCs w:val="22"/>
        </w:rPr>
        <w:t>Cc</w:t>
      </w:r>
      <w:proofErr w:type="spellEnd"/>
      <w:r w:rsidRPr="00865FB3">
        <w:rPr>
          <w:rFonts w:ascii="Arial" w:hAnsi="Arial" w:cs="Arial"/>
          <w:i/>
          <w:sz w:val="22"/>
          <w:szCs w:val="22"/>
        </w:rPr>
        <w:t xml:space="preserve"> como un caso particular (S. 5 diciembre 1960), la regla general sería la del criterio objetivo que parece presidir la filosofía del art. 1.969: así, la ya citada S. 24 septiembre 1965, donde se dice que el referido precepto (1968-2º) «tiene naturaleza excepcional y se ciñe al nacimiento de la acción derivada del daño, no a las posibles causas de interrupción del lapso del tiempo necesario para la prescripción, que han de regirse por la regla general que se establece en el art. 1969, el cual, siguiendo un criterio predominantemente objetivo, obliga a contar el tiempo necesario para la prescripción de toda clase de acciones desde el día en que pudieron ejercitarse, atendiendo con ello a la posibilidad legal de hacerlo». En principio, por tanto, no han de tenerse en cuenta las </w:t>
      </w:r>
      <w:r w:rsidRPr="00865FB3">
        <w:rPr>
          <w:rFonts w:ascii="Arial" w:hAnsi="Arial" w:cs="Arial"/>
          <w:i/>
          <w:sz w:val="22"/>
          <w:szCs w:val="22"/>
        </w:rPr>
        <w:lastRenderedPageBreak/>
        <w:t>condiciones personales del titular (vid. art. 1.932) o las circunstancias de hecho que acaso impidan tal ejercicio</w:t>
      </w:r>
      <w:r w:rsidRPr="00865FB3">
        <w:rPr>
          <w:rFonts w:ascii="Arial" w:hAnsi="Arial" w:cs="Arial"/>
          <w:sz w:val="22"/>
          <w:szCs w:val="22"/>
        </w:rPr>
        <w:t>”</w:t>
      </w:r>
      <w:r w:rsidRPr="00865FB3">
        <w:rPr>
          <w:rStyle w:val="Refdenotaalpie"/>
          <w:rFonts w:ascii="Arial" w:hAnsi="Arial" w:cs="Arial"/>
          <w:sz w:val="22"/>
          <w:szCs w:val="22"/>
        </w:rPr>
        <w:footnoteReference w:id="12"/>
      </w:r>
      <w:r w:rsidRPr="00865FB3">
        <w:rPr>
          <w:rFonts w:ascii="Arial" w:hAnsi="Arial" w:cs="Arial"/>
          <w:sz w:val="22"/>
          <w:szCs w:val="22"/>
        </w:rPr>
        <w:t>.</w:t>
      </w:r>
    </w:p>
    <w:p w14:paraId="56F4B6B4" w14:textId="61D43ACC" w:rsidR="007E68AD" w:rsidRPr="00865FB3" w:rsidRDefault="007E68AD" w:rsidP="00865FB3">
      <w:pPr>
        <w:pStyle w:val="Prrafodelista"/>
        <w:widowControl w:val="0"/>
        <w:numPr>
          <w:ilvl w:val="0"/>
          <w:numId w:val="6"/>
        </w:numPr>
        <w:spacing w:after="240" w:line="360" w:lineRule="auto"/>
        <w:ind w:left="0" w:hanging="851"/>
        <w:rPr>
          <w:rFonts w:ascii="Arial" w:hAnsi="Arial" w:cs="Arial"/>
          <w:sz w:val="22"/>
          <w:szCs w:val="22"/>
          <w:lang w:val="es-ES_tradnl" w:eastAsia="ar-SA"/>
        </w:rPr>
      </w:pPr>
      <w:r w:rsidRPr="00865FB3">
        <w:rPr>
          <w:rFonts w:ascii="Arial" w:hAnsi="Arial" w:cs="Arial"/>
          <w:sz w:val="22"/>
          <w:szCs w:val="22"/>
          <w:lang w:val="es-ES_tradnl" w:eastAsia="ar-SA"/>
        </w:rPr>
        <w:t xml:space="preserve">También el Prof. </w:t>
      </w:r>
      <w:r w:rsidRPr="00865FB3">
        <w:rPr>
          <w:rFonts w:ascii="Arial" w:hAnsi="Arial" w:cs="Arial"/>
          <w:smallCaps/>
          <w:sz w:val="22"/>
          <w:szCs w:val="22"/>
          <w:lang w:val="es-ES_tradnl" w:eastAsia="ar-SA"/>
        </w:rPr>
        <w:t>F. Pantaleón Prieto</w:t>
      </w:r>
      <w:r w:rsidRPr="00865FB3">
        <w:rPr>
          <w:rFonts w:ascii="Arial" w:hAnsi="Arial" w:cs="Arial"/>
          <w:sz w:val="22"/>
          <w:szCs w:val="22"/>
          <w:lang w:val="es-ES_tradnl" w:eastAsia="ar-SA"/>
        </w:rPr>
        <w:t xml:space="preserve"> ha sostenido que </w:t>
      </w:r>
      <w:r w:rsidRPr="00865FB3">
        <w:rPr>
          <w:rFonts w:ascii="Arial" w:hAnsi="Arial" w:cs="Arial"/>
          <w:sz w:val="22"/>
          <w:szCs w:val="22"/>
        </w:rPr>
        <w:t>“[l]</w:t>
      </w:r>
      <w:r w:rsidRPr="00865FB3">
        <w:rPr>
          <w:rFonts w:ascii="Arial" w:hAnsi="Arial" w:cs="Arial"/>
          <w:i/>
          <w:sz w:val="22"/>
          <w:szCs w:val="22"/>
        </w:rPr>
        <w:t xml:space="preserve">a posibilidad de ejercicio a la que alude </w:t>
      </w:r>
      <w:r w:rsidRPr="00865FB3">
        <w:rPr>
          <w:rFonts w:ascii="Arial" w:hAnsi="Arial" w:cs="Arial"/>
          <w:sz w:val="22"/>
          <w:szCs w:val="22"/>
        </w:rPr>
        <w:t>[el artículo 1969 del Código Civil]</w:t>
      </w:r>
      <w:r w:rsidRPr="00865FB3">
        <w:rPr>
          <w:rFonts w:ascii="Arial" w:hAnsi="Arial" w:cs="Arial"/>
          <w:i/>
          <w:sz w:val="22"/>
          <w:szCs w:val="22"/>
        </w:rPr>
        <w:t xml:space="preserve"> es la posibilidad «legal» u «objetiva»: que la pretensión sea exigible</w:t>
      </w:r>
      <w:r w:rsidRPr="00865FB3">
        <w:rPr>
          <w:rFonts w:ascii="Arial" w:hAnsi="Arial" w:cs="Arial"/>
          <w:sz w:val="22"/>
          <w:szCs w:val="22"/>
        </w:rPr>
        <w:t>” y que “[c]</w:t>
      </w:r>
      <w:proofErr w:type="spellStart"/>
      <w:r w:rsidRPr="00865FB3">
        <w:rPr>
          <w:rFonts w:ascii="Arial" w:hAnsi="Arial" w:cs="Arial"/>
          <w:i/>
          <w:sz w:val="22"/>
          <w:szCs w:val="22"/>
        </w:rPr>
        <w:t>omo</w:t>
      </w:r>
      <w:proofErr w:type="spellEnd"/>
      <w:r w:rsidRPr="00865FB3">
        <w:rPr>
          <w:rFonts w:ascii="Arial" w:hAnsi="Arial" w:cs="Arial"/>
          <w:i/>
          <w:sz w:val="22"/>
          <w:szCs w:val="22"/>
        </w:rPr>
        <w:t xml:space="preserve"> regla, los obstáculos «fácticos» o «subjetivos» al ejercicio de la pretensión no impiden el comienzo de la prescripción</w:t>
      </w:r>
      <w:r w:rsidRPr="00865FB3">
        <w:rPr>
          <w:rFonts w:ascii="Arial" w:hAnsi="Arial" w:cs="Arial"/>
          <w:sz w:val="22"/>
          <w:szCs w:val="22"/>
        </w:rPr>
        <w:t>”</w:t>
      </w:r>
      <w:r w:rsidRPr="00865FB3">
        <w:rPr>
          <w:rStyle w:val="Refdenotaalpie"/>
          <w:rFonts w:ascii="Arial" w:hAnsi="Arial" w:cs="Arial"/>
          <w:sz w:val="22"/>
          <w:szCs w:val="22"/>
        </w:rPr>
        <w:footnoteReference w:id="13"/>
      </w:r>
      <w:r w:rsidRPr="00865FB3">
        <w:rPr>
          <w:rFonts w:ascii="Arial" w:hAnsi="Arial" w:cs="Arial"/>
          <w:sz w:val="22"/>
          <w:szCs w:val="22"/>
        </w:rPr>
        <w:t>.</w:t>
      </w:r>
    </w:p>
    <w:p w14:paraId="5D029994" w14:textId="3C262BAE" w:rsidR="007E68AD" w:rsidRPr="00865FB3" w:rsidRDefault="007E68AD" w:rsidP="00865FB3">
      <w:pPr>
        <w:pStyle w:val="Prrafodelista"/>
        <w:widowControl w:val="0"/>
        <w:numPr>
          <w:ilvl w:val="0"/>
          <w:numId w:val="6"/>
        </w:numPr>
        <w:spacing w:after="240" w:line="360" w:lineRule="auto"/>
        <w:ind w:left="0" w:hanging="851"/>
        <w:rPr>
          <w:rFonts w:ascii="Arial" w:hAnsi="Arial" w:cs="Arial"/>
          <w:sz w:val="22"/>
          <w:szCs w:val="22"/>
          <w:lang w:val="es-ES_tradnl" w:eastAsia="ar-SA"/>
        </w:rPr>
      </w:pPr>
      <w:r w:rsidRPr="00865FB3">
        <w:rPr>
          <w:rFonts w:ascii="Arial" w:hAnsi="Arial" w:cs="Arial"/>
          <w:sz w:val="22"/>
          <w:szCs w:val="22"/>
          <w:lang w:val="es-ES_tradnl" w:eastAsia="ar-SA"/>
        </w:rPr>
        <w:t>La solución podría ser distinta si lo que se hubiera estimado fuera la acción de nulidad de las cláusulas que regulan los intereses remuneratorios por falta de transparencia. Sin embargo, este no es el caso</w:t>
      </w:r>
      <w:r w:rsidR="00C47053" w:rsidRPr="00865FB3">
        <w:rPr>
          <w:rFonts w:ascii="Arial" w:hAnsi="Arial" w:cs="Arial"/>
          <w:sz w:val="22"/>
          <w:szCs w:val="22"/>
          <w:lang w:val="es-ES_tradnl" w:eastAsia="ar-SA"/>
        </w:rPr>
        <w:t>,</w:t>
      </w:r>
      <w:r w:rsidR="003E040C" w:rsidRPr="00865FB3">
        <w:rPr>
          <w:rFonts w:ascii="Arial" w:hAnsi="Arial" w:cs="Arial"/>
          <w:sz w:val="22"/>
          <w:szCs w:val="22"/>
          <w:lang w:val="es-ES_tradnl" w:eastAsia="ar-SA"/>
        </w:rPr>
        <w:t xml:space="preserve"> dado que esta acción no fue ejercitada de contrario </w:t>
      </w:r>
      <w:r w:rsidR="006E3831" w:rsidRPr="00865FB3">
        <w:rPr>
          <w:rFonts w:ascii="Arial" w:hAnsi="Arial" w:cs="Arial"/>
          <w:sz w:val="22"/>
          <w:szCs w:val="22"/>
          <w:lang w:val="es-ES_tradnl" w:eastAsia="ar-SA"/>
        </w:rPr>
        <w:t xml:space="preserve">y </w:t>
      </w:r>
      <w:r w:rsidRPr="00865FB3">
        <w:rPr>
          <w:rFonts w:ascii="Arial" w:hAnsi="Arial" w:cs="Arial"/>
          <w:sz w:val="22"/>
          <w:szCs w:val="22"/>
          <w:lang w:val="es-ES_tradnl" w:eastAsia="ar-SA"/>
        </w:rPr>
        <w:t xml:space="preserve">la Sentencia recurrida ha estimado </w:t>
      </w:r>
      <w:r w:rsidR="00C47053" w:rsidRPr="00865FB3">
        <w:rPr>
          <w:rFonts w:ascii="Arial" w:hAnsi="Arial" w:cs="Arial"/>
          <w:sz w:val="22"/>
          <w:szCs w:val="22"/>
          <w:lang w:val="es-ES_tradnl" w:eastAsia="ar-SA"/>
        </w:rPr>
        <w:t xml:space="preserve">únicamente </w:t>
      </w:r>
      <w:r w:rsidRPr="00865FB3">
        <w:rPr>
          <w:rFonts w:ascii="Arial" w:hAnsi="Arial" w:cs="Arial"/>
          <w:sz w:val="22"/>
          <w:szCs w:val="22"/>
          <w:lang w:val="es-ES_tradnl" w:eastAsia="ar-SA"/>
        </w:rPr>
        <w:t>la acción ejercitada</w:t>
      </w:r>
      <w:r w:rsidR="00C47053" w:rsidRPr="00865FB3">
        <w:rPr>
          <w:rFonts w:ascii="Arial" w:hAnsi="Arial" w:cs="Arial"/>
          <w:sz w:val="22"/>
          <w:szCs w:val="22"/>
          <w:lang w:val="es-ES_tradnl" w:eastAsia="ar-SA"/>
        </w:rPr>
        <w:t>,</w:t>
      </w:r>
      <w:r w:rsidRPr="00865FB3">
        <w:rPr>
          <w:rFonts w:ascii="Arial" w:hAnsi="Arial" w:cs="Arial"/>
          <w:sz w:val="22"/>
          <w:szCs w:val="22"/>
          <w:lang w:val="es-ES_tradnl" w:eastAsia="ar-SA"/>
        </w:rPr>
        <w:t xml:space="preserve"> que es la de nulidad por usura.</w:t>
      </w:r>
    </w:p>
    <w:p w14:paraId="47CAADB0" w14:textId="311964B2" w:rsidR="007E68AD" w:rsidRPr="00865FB3" w:rsidRDefault="003729C1" w:rsidP="00865FB3">
      <w:pPr>
        <w:pStyle w:val="Prrafodelista"/>
        <w:widowControl w:val="0"/>
        <w:numPr>
          <w:ilvl w:val="0"/>
          <w:numId w:val="6"/>
        </w:numPr>
        <w:spacing w:after="240" w:line="360" w:lineRule="auto"/>
        <w:ind w:left="0" w:hanging="851"/>
        <w:rPr>
          <w:rFonts w:ascii="Arial" w:hAnsi="Arial" w:cs="Arial"/>
          <w:sz w:val="22"/>
          <w:szCs w:val="22"/>
          <w:lang w:val="es-ES_tradnl" w:eastAsia="ar-SA"/>
        </w:rPr>
      </w:pPr>
      <w:r w:rsidRPr="00865FB3">
        <w:rPr>
          <w:rFonts w:ascii="Arial" w:hAnsi="Arial" w:cs="Arial"/>
          <w:sz w:val="22"/>
          <w:szCs w:val="22"/>
          <w:lang w:val="es-ES_tradnl" w:eastAsia="ar-SA"/>
        </w:rPr>
        <w:t xml:space="preserve">Así las cosas, </w:t>
      </w:r>
      <w:r w:rsidR="00DA7B3F" w:rsidRPr="00865FB3">
        <w:rPr>
          <w:rFonts w:ascii="Arial" w:hAnsi="Arial" w:cs="Arial"/>
          <w:sz w:val="22"/>
          <w:szCs w:val="22"/>
          <w:lang w:val="es-ES_tradnl" w:eastAsia="ar-SA"/>
        </w:rPr>
        <w:t>la fijación d</w:t>
      </w:r>
      <w:r w:rsidR="007E68AD" w:rsidRPr="00865FB3">
        <w:rPr>
          <w:rFonts w:ascii="Arial" w:hAnsi="Arial" w:cs="Arial"/>
          <w:sz w:val="22"/>
          <w:szCs w:val="22"/>
          <w:lang w:val="es-ES_tradnl" w:eastAsia="ar-SA"/>
        </w:rPr>
        <w:t xml:space="preserve">el </w:t>
      </w:r>
      <w:proofErr w:type="spellStart"/>
      <w:r w:rsidR="007E68AD" w:rsidRPr="00865FB3">
        <w:rPr>
          <w:rFonts w:ascii="Arial" w:hAnsi="Arial" w:cs="Arial"/>
          <w:i/>
          <w:sz w:val="22"/>
          <w:szCs w:val="22"/>
          <w:lang w:val="es-ES_tradnl" w:eastAsia="ar-SA"/>
        </w:rPr>
        <w:t>dies</w:t>
      </w:r>
      <w:proofErr w:type="spellEnd"/>
      <w:r w:rsidR="007E68AD" w:rsidRPr="00865FB3">
        <w:rPr>
          <w:rFonts w:ascii="Arial" w:hAnsi="Arial" w:cs="Arial"/>
          <w:i/>
          <w:sz w:val="22"/>
          <w:szCs w:val="22"/>
          <w:lang w:val="es-ES_tradnl" w:eastAsia="ar-SA"/>
        </w:rPr>
        <w:t xml:space="preserve"> a quo</w:t>
      </w:r>
      <w:r w:rsidR="007E68AD" w:rsidRPr="00865FB3">
        <w:rPr>
          <w:rFonts w:ascii="Arial" w:hAnsi="Arial" w:cs="Arial"/>
          <w:sz w:val="22"/>
          <w:szCs w:val="22"/>
          <w:lang w:val="es-ES_tradnl" w:eastAsia="ar-SA"/>
        </w:rPr>
        <w:t xml:space="preserve"> del plazo de prescripción de la acción restitutoria en el momento de cada pago es </w:t>
      </w:r>
      <w:r w:rsidR="007E68AD" w:rsidRPr="00865FB3">
        <w:rPr>
          <w:rFonts w:ascii="Arial" w:hAnsi="Arial" w:cs="Arial"/>
          <w:b/>
          <w:sz w:val="22"/>
          <w:szCs w:val="22"/>
          <w:lang w:val="es-ES_tradnl" w:eastAsia="ar-SA"/>
        </w:rPr>
        <w:t>proporcionada</w:t>
      </w:r>
      <w:r w:rsidR="00DA7B3F" w:rsidRPr="00865FB3">
        <w:rPr>
          <w:rFonts w:ascii="Arial" w:hAnsi="Arial" w:cs="Arial"/>
          <w:b/>
          <w:sz w:val="22"/>
          <w:szCs w:val="22"/>
          <w:lang w:val="es-ES_tradnl" w:eastAsia="ar-SA"/>
        </w:rPr>
        <w:t xml:space="preserve"> y conforme a Derecho</w:t>
      </w:r>
      <w:r w:rsidR="007E68AD" w:rsidRPr="00865FB3">
        <w:rPr>
          <w:rFonts w:ascii="Arial" w:hAnsi="Arial" w:cs="Arial"/>
          <w:sz w:val="22"/>
          <w:szCs w:val="22"/>
          <w:lang w:val="es-ES_tradnl" w:eastAsia="ar-SA"/>
        </w:rPr>
        <w:t xml:space="preserve">, en tanto que no establece un único plazo de prescripción que parta de la fecha de celebración del Contrato (fecha a partir de la cual, verdaderamente, se puede solicitar la declaración de nulidad por usura) y que determinaría que, trascurridos cinco años desde ese momento, el cliente ya no podría recuperar ninguna cantidad. Al establecerse el </w:t>
      </w:r>
      <w:proofErr w:type="spellStart"/>
      <w:r w:rsidR="007E68AD" w:rsidRPr="00865FB3">
        <w:rPr>
          <w:rFonts w:ascii="Arial" w:hAnsi="Arial" w:cs="Arial"/>
          <w:i/>
          <w:sz w:val="22"/>
          <w:szCs w:val="22"/>
          <w:lang w:val="es-ES_tradnl" w:eastAsia="ar-SA"/>
        </w:rPr>
        <w:t>dies</w:t>
      </w:r>
      <w:proofErr w:type="spellEnd"/>
      <w:r w:rsidR="007E68AD" w:rsidRPr="00865FB3">
        <w:rPr>
          <w:rFonts w:ascii="Arial" w:hAnsi="Arial" w:cs="Arial"/>
          <w:i/>
          <w:sz w:val="22"/>
          <w:szCs w:val="22"/>
          <w:lang w:val="es-ES_tradnl" w:eastAsia="ar-SA"/>
        </w:rPr>
        <w:t xml:space="preserve"> a quo</w:t>
      </w:r>
      <w:r w:rsidR="007E68AD" w:rsidRPr="00865FB3">
        <w:rPr>
          <w:rFonts w:ascii="Arial" w:hAnsi="Arial" w:cs="Arial"/>
          <w:sz w:val="22"/>
          <w:szCs w:val="22"/>
          <w:lang w:val="es-ES_tradnl" w:eastAsia="ar-SA"/>
        </w:rPr>
        <w:t xml:space="preserve"> en el momento de cada pago, se garantiza que el prestatario siempre podrá recuperar las cantidades pagadas en los últimos cinco años antes de la interposición de su demanda (más todos aquellos pagos anteriores para los cuales la prescripción fuera interrumpida con la facilidad que caracteriza a nuestro ordenamiento y que consiste en una simple reclamación extrajudicial en la que ni siquiera es necesario cuantificar lo reclamado).</w:t>
      </w:r>
    </w:p>
    <w:p w14:paraId="45761A7E" w14:textId="48F0B79D" w:rsidR="007E68AD" w:rsidRPr="00865FB3" w:rsidRDefault="000224B2" w:rsidP="00865FB3">
      <w:pPr>
        <w:pStyle w:val="Prrafodelista"/>
        <w:widowControl w:val="0"/>
        <w:numPr>
          <w:ilvl w:val="0"/>
          <w:numId w:val="6"/>
        </w:numPr>
        <w:spacing w:after="240" w:line="360" w:lineRule="auto"/>
        <w:ind w:left="0" w:hanging="851"/>
        <w:rPr>
          <w:rFonts w:ascii="Arial" w:hAnsi="Arial" w:cs="Arial"/>
          <w:sz w:val="22"/>
          <w:szCs w:val="22"/>
          <w:lang w:val="es-ES_tradnl" w:eastAsia="ar-SA"/>
        </w:rPr>
      </w:pPr>
      <w:r w:rsidRPr="00865FB3">
        <w:rPr>
          <w:rFonts w:ascii="Arial" w:hAnsi="Arial" w:cs="Arial"/>
          <w:sz w:val="22"/>
          <w:szCs w:val="22"/>
          <w:lang w:val="es-ES_tradnl" w:eastAsia="ar-SA"/>
        </w:rPr>
        <w:t>Es más</w:t>
      </w:r>
      <w:r w:rsidR="007E68AD" w:rsidRPr="00865FB3">
        <w:rPr>
          <w:rFonts w:ascii="Arial" w:hAnsi="Arial" w:cs="Arial"/>
          <w:sz w:val="22"/>
          <w:szCs w:val="22"/>
          <w:lang w:val="es-ES_tradnl" w:eastAsia="ar-SA"/>
        </w:rPr>
        <w:t xml:space="preserve">, </w:t>
      </w:r>
      <w:r w:rsidR="007E68AD" w:rsidRPr="00865FB3">
        <w:rPr>
          <w:rFonts w:ascii="Arial" w:hAnsi="Arial" w:cs="Arial"/>
          <w:b/>
          <w:sz w:val="22"/>
          <w:szCs w:val="22"/>
          <w:lang w:val="es-ES_tradnl" w:eastAsia="ar-SA"/>
        </w:rPr>
        <w:t>incluso si se considerase que la doctrina del TJUE relativa a los plazos de prescripción es aplicable a las acciones restitutorias derivadas de la declaración de nulidad por usura (</w:t>
      </w:r>
      <w:proofErr w:type="spellStart"/>
      <w:r w:rsidR="007E68AD" w:rsidRPr="00865FB3">
        <w:rPr>
          <w:rFonts w:ascii="Arial" w:hAnsi="Arial" w:cs="Arial"/>
          <w:b/>
          <w:i/>
          <w:sz w:val="22"/>
          <w:szCs w:val="22"/>
          <w:lang w:val="es-ES_tradnl" w:eastAsia="ar-SA"/>
        </w:rPr>
        <w:t>quod</w:t>
      </w:r>
      <w:proofErr w:type="spellEnd"/>
      <w:r w:rsidR="007E68AD" w:rsidRPr="00865FB3">
        <w:rPr>
          <w:rFonts w:ascii="Arial" w:hAnsi="Arial" w:cs="Arial"/>
          <w:b/>
          <w:i/>
          <w:sz w:val="22"/>
          <w:szCs w:val="22"/>
          <w:lang w:val="es-ES_tradnl" w:eastAsia="ar-SA"/>
        </w:rPr>
        <w:t xml:space="preserve"> non</w:t>
      </w:r>
      <w:r w:rsidR="007E68AD" w:rsidRPr="00865FB3">
        <w:rPr>
          <w:rFonts w:ascii="Arial" w:hAnsi="Arial" w:cs="Arial"/>
          <w:b/>
          <w:sz w:val="22"/>
          <w:szCs w:val="22"/>
          <w:lang w:val="es-ES_tradnl" w:eastAsia="ar-SA"/>
        </w:rPr>
        <w:t xml:space="preserve">), esta doctrina tampoco determinaría que la fijación del </w:t>
      </w:r>
      <w:proofErr w:type="spellStart"/>
      <w:r w:rsidR="007E68AD" w:rsidRPr="00865FB3">
        <w:rPr>
          <w:rFonts w:ascii="Arial" w:hAnsi="Arial" w:cs="Arial"/>
          <w:b/>
          <w:i/>
          <w:sz w:val="22"/>
          <w:szCs w:val="22"/>
          <w:lang w:val="es-ES_tradnl" w:eastAsia="ar-SA"/>
        </w:rPr>
        <w:t>dies</w:t>
      </w:r>
      <w:proofErr w:type="spellEnd"/>
      <w:r w:rsidR="007E68AD" w:rsidRPr="00865FB3">
        <w:rPr>
          <w:rFonts w:ascii="Arial" w:hAnsi="Arial" w:cs="Arial"/>
          <w:b/>
          <w:i/>
          <w:sz w:val="22"/>
          <w:szCs w:val="22"/>
          <w:lang w:val="es-ES_tradnl" w:eastAsia="ar-SA"/>
        </w:rPr>
        <w:t xml:space="preserve"> a quo</w:t>
      </w:r>
      <w:r w:rsidR="007E68AD" w:rsidRPr="00865FB3">
        <w:rPr>
          <w:rFonts w:ascii="Arial" w:hAnsi="Arial" w:cs="Arial"/>
          <w:b/>
          <w:sz w:val="22"/>
          <w:szCs w:val="22"/>
          <w:lang w:val="es-ES_tradnl" w:eastAsia="ar-SA"/>
        </w:rPr>
        <w:t xml:space="preserve"> en el momento del pago de los intereses declarados usurarios (</w:t>
      </w:r>
      <w:r w:rsidR="00CE1D78" w:rsidRPr="00865FB3">
        <w:rPr>
          <w:rFonts w:ascii="Arial" w:hAnsi="Arial" w:cs="Arial"/>
          <w:b/>
          <w:sz w:val="22"/>
          <w:szCs w:val="22"/>
          <w:lang w:val="es-ES_tradnl" w:eastAsia="ar-SA"/>
        </w:rPr>
        <w:t>no tomada en consideración</w:t>
      </w:r>
      <w:r w:rsidR="007E68AD" w:rsidRPr="00865FB3">
        <w:rPr>
          <w:rFonts w:ascii="Arial" w:hAnsi="Arial" w:cs="Arial"/>
          <w:b/>
          <w:sz w:val="22"/>
          <w:szCs w:val="22"/>
          <w:lang w:val="es-ES_tradnl" w:eastAsia="ar-SA"/>
        </w:rPr>
        <w:t xml:space="preserve"> por la Sentencia recurrida) fuese incorrecta</w:t>
      </w:r>
      <w:r w:rsidR="007E68AD" w:rsidRPr="00865FB3">
        <w:rPr>
          <w:rFonts w:ascii="Arial" w:hAnsi="Arial" w:cs="Arial"/>
          <w:sz w:val="22"/>
          <w:szCs w:val="22"/>
          <w:lang w:val="es-ES_tradnl" w:eastAsia="ar-SA"/>
        </w:rPr>
        <w:t xml:space="preserve">. Como se ha indicado, </w:t>
      </w:r>
      <w:r w:rsidR="007E68AD" w:rsidRPr="00865FB3">
        <w:rPr>
          <w:rFonts w:ascii="Arial" w:hAnsi="Arial" w:cs="Arial"/>
          <w:sz w:val="22"/>
          <w:szCs w:val="22"/>
          <w:u w:val="single"/>
          <w:lang w:val="es-ES_tradnl" w:eastAsia="ar-SA"/>
        </w:rPr>
        <w:t xml:space="preserve">el TJUE no es contrario a la fijación del </w:t>
      </w:r>
      <w:proofErr w:type="spellStart"/>
      <w:r w:rsidR="007E68AD" w:rsidRPr="00865FB3">
        <w:rPr>
          <w:rFonts w:ascii="Arial" w:hAnsi="Arial" w:cs="Arial"/>
          <w:i/>
          <w:sz w:val="22"/>
          <w:szCs w:val="22"/>
          <w:u w:val="single"/>
          <w:lang w:val="es-ES_tradnl" w:eastAsia="ar-SA"/>
        </w:rPr>
        <w:t>dies</w:t>
      </w:r>
      <w:proofErr w:type="spellEnd"/>
      <w:r w:rsidR="007E68AD" w:rsidRPr="00865FB3">
        <w:rPr>
          <w:rFonts w:ascii="Arial" w:hAnsi="Arial" w:cs="Arial"/>
          <w:i/>
          <w:sz w:val="22"/>
          <w:szCs w:val="22"/>
          <w:u w:val="single"/>
          <w:lang w:val="es-ES_tradnl" w:eastAsia="ar-SA"/>
        </w:rPr>
        <w:t xml:space="preserve"> a quo</w:t>
      </w:r>
      <w:r w:rsidR="007E68AD" w:rsidRPr="00865FB3">
        <w:rPr>
          <w:rFonts w:ascii="Arial" w:hAnsi="Arial" w:cs="Arial"/>
          <w:sz w:val="22"/>
          <w:szCs w:val="22"/>
          <w:u w:val="single"/>
          <w:lang w:val="es-ES_tradnl" w:eastAsia="ar-SA"/>
        </w:rPr>
        <w:t xml:space="preserve"> de forma objetiva con carácter general, sino solo en aquellos casos en los que esa concepción del </w:t>
      </w:r>
      <w:proofErr w:type="spellStart"/>
      <w:r w:rsidR="007E68AD" w:rsidRPr="00865FB3">
        <w:rPr>
          <w:rFonts w:ascii="Arial" w:hAnsi="Arial" w:cs="Arial"/>
          <w:i/>
          <w:sz w:val="22"/>
          <w:szCs w:val="22"/>
          <w:u w:val="single"/>
          <w:lang w:val="es-ES_tradnl" w:eastAsia="ar-SA"/>
        </w:rPr>
        <w:t>dies</w:t>
      </w:r>
      <w:proofErr w:type="spellEnd"/>
      <w:r w:rsidR="007E68AD" w:rsidRPr="00865FB3">
        <w:rPr>
          <w:rFonts w:ascii="Arial" w:hAnsi="Arial" w:cs="Arial"/>
          <w:i/>
          <w:sz w:val="22"/>
          <w:szCs w:val="22"/>
          <w:u w:val="single"/>
          <w:lang w:val="es-ES_tradnl" w:eastAsia="ar-SA"/>
        </w:rPr>
        <w:t xml:space="preserve"> a quo</w:t>
      </w:r>
      <w:r w:rsidR="007E68AD" w:rsidRPr="00865FB3">
        <w:rPr>
          <w:rFonts w:ascii="Arial" w:hAnsi="Arial" w:cs="Arial"/>
          <w:sz w:val="22"/>
          <w:szCs w:val="22"/>
          <w:u w:val="single"/>
          <w:lang w:val="es-ES_tradnl" w:eastAsia="ar-SA"/>
        </w:rPr>
        <w:t xml:space="preserve">, unida a plazos de prescripción cortos y difíciles de interrumpir, haga </w:t>
      </w:r>
      <w:r w:rsidR="007E68AD" w:rsidRPr="00865FB3">
        <w:rPr>
          <w:rFonts w:ascii="Arial" w:hAnsi="Arial" w:cs="Arial"/>
          <w:sz w:val="22"/>
          <w:szCs w:val="22"/>
          <w:u w:val="single"/>
        </w:rPr>
        <w:t xml:space="preserve">excesivamente difícil o imposible en la </w:t>
      </w:r>
      <w:r w:rsidR="007E68AD" w:rsidRPr="00865FB3">
        <w:rPr>
          <w:rFonts w:ascii="Arial" w:hAnsi="Arial" w:cs="Arial"/>
          <w:sz w:val="22"/>
          <w:szCs w:val="22"/>
          <w:u w:val="single"/>
        </w:rPr>
        <w:lastRenderedPageBreak/>
        <w:t>práctica que el consumidor pueda ejercitar los derechos</w:t>
      </w:r>
      <w:r w:rsidR="007E68AD" w:rsidRPr="00865FB3">
        <w:rPr>
          <w:rFonts w:ascii="Arial" w:hAnsi="Arial" w:cs="Arial"/>
          <w:sz w:val="22"/>
          <w:szCs w:val="22"/>
          <w:u w:val="single"/>
          <w:lang w:val="es-ES_tradnl" w:eastAsia="ar-SA"/>
        </w:rPr>
        <w:t xml:space="preserve"> conferidos por la Directiva 93/13</w:t>
      </w:r>
      <w:r w:rsidR="007E68AD" w:rsidRPr="00865FB3">
        <w:rPr>
          <w:rFonts w:ascii="Arial" w:hAnsi="Arial" w:cs="Arial"/>
          <w:sz w:val="22"/>
          <w:szCs w:val="22"/>
          <w:lang w:val="es-ES_tradnl" w:eastAsia="ar-SA"/>
        </w:rPr>
        <w:t xml:space="preserve">. En este sentido, el TJUE, en la Sentencia de 10 de junio de 2021, BNP </w:t>
      </w:r>
      <w:proofErr w:type="spellStart"/>
      <w:r w:rsidR="007E68AD" w:rsidRPr="00865FB3">
        <w:rPr>
          <w:rFonts w:ascii="Arial" w:hAnsi="Arial" w:cs="Arial"/>
          <w:sz w:val="22"/>
          <w:szCs w:val="22"/>
          <w:lang w:val="es-ES_tradnl" w:eastAsia="ar-SA"/>
        </w:rPr>
        <w:t>Paribas</w:t>
      </w:r>
      <w:proofErr w:type="spellEnd"/>
      <w:r w:rsidR="007E68AD" w:rsidRPr="00865FB3">
        <w:rPr>
          <w:rFonts w:ascii="Arial" w:hAnsi="Arial" w:cs="Arial"/>
          <w:sz w:val="22"/>
          <w:szCs w:val="22"/>
          <w:lang w:val="es-ES_tradnl" w:eastAsia="ar-SA"/>
        </w:rPr>
        <w:t xml:space="preserve"> Personal Finance, SA, C-776/19 a C-782/19 ha dictaminado que “</w:t>
      </w:r>
      <w:r w:rsidR="007E68AD" w:rsidRPr="00865FB3">
        <w:rPr>
          <w:rFonts w:ascii="Arial" w:hAnsi="Arial" w:cs="Arial"/>
          <w:i/>
          <w:sz w:val="22"/>
          <w:szCs w:val="22"/>
          <w:lang w:val="es-ES_tradnl" w:eastAsia="ar-SA"/>
        </w:rPr>
        <w:t xml:space="preserve">un plazo de prescripción únicamente puede ser compatible con el principio de efectividad si el consumidor pudo conocer sus derechos antes de que dicho plazo empezase a correr </w:t>
      </w:r>
      <w:r w:rsidR="007E68AD" w:rsidRPr="00865FB3">
        <w:rPr>
          <w:rFonts w:ascii="Arial" w:hAnsi="Arial" w:cs="Arial"/>
          <w:b/>
          <w:i/>
          <w:sz w:val="22"/>
          <w:szCs w:val="22"/>
          <w:u w:val="single"/>
          <w:lang w:val="es-ES_tradnl" w:eastAsia="ar-SA"/>
        </w:rPr>
        <w:t>o de que expirase</w:t>
      </w:r>
      <w:r w:rsidR="007E68AD" w:rsidRPr="00865FB3">
        <w:rPr>
          <w:rFonts w:ascii="Arial" w:hAnsi="Arial" w:cs="Arial"/>
          <w:sz w:val="22"/>
          <w:szCs w:val="22"/>
          <w:lang w:val="es-ES_tradnl" w:eastAsia="ar-SA"/>
        </w:rPr>
        <w:t>” (apdo. 46). Por ello, según el TJUE, un plazo de prescripción de cinco años a contar desde la fecha de la aceptación de la oferta de préstamo, “</w:t>
      </w:r>
      <w:r w:rsidR="007E68AD" w:rsidRPr="00865FB3">
        <w:rPr>
          <w:rFonts w:ascii="Arial" w:hAnsi="Arial" w:cs="Arial"/>
          <w:i/>
          <w:sz w:val="22"/>
          <w:szCs w:val="22"/>
          <w:lang w:val="es-ES_tradnl" w:eastAsia="ar-SA"/>
        </w:rPr>
        <w:t>no garantiza a dicho consumidor una protección efectiva, ya que ese plazo puede haber expirado antes incluso de que el consumidor pueda tener conocimiento del carácter abusivo de una cláusula contenida en el contrato en cuestión</w:t>
      </w:r>
      <w:r w:rsidR="007E68AD" w:rsidRPr="00865FB3">
        <w:rPr>
          <w:rFonts w:ascii="Arial" w:hAnsi="Arial" w:cs="Arial"/>
          <w:sz w:val="22"/>
          <w:szCs w:val="22"/>
          <w:lang w:val="es-ES_tradnl" w:eastAsia="ar-SA"/>
        </w:rPr>
        <w:t xml:space="preserve">” (apdo. 47). </w:t>
      </w:r>
    </w:p>
    <w:p w14:paraId="5EE340A5" w14:textId="6041CEC1" w:rsidR="007E68AD" w:rsidRPr="00865FB3" w:rsidRDefault="007E68AD" w:rsidP="00865FB3">
      <w:pPr>
        <w:pStyle w:val="Prrafodelista"/>
        <w:widowControl w:val="0"/>
        <w:numPr>
          <w:ilvl w:val="0"/>
          <w:numId w:val="6"/>
        </w:numPr>
        <w:spacing w:after="240" w:line="360" w:lineRule="auto"/>
        <w:ind w:left="0" w:hanging="851"/>
        <w:rPr>
          <w:rFonts w:ascii="Arial" w:hAnsi="Arial" w:cs="Arial"/>
          <w:sz w:val="22"/>
          <w:szCs w:val="22"/>
          <w:lang w:val="es-ES_tradnl" w:eastAsia="ar-SA"/>
        </w:rPr>
      </w:pPr>
      <w:r w:rsidRPr="00865FB3">
        <w:rPr>
          <w:rFonts w:ascii="Arial" w:hAnsi="Arial" w:cs="Arial"/>
          <w:sz w:val="22"/>
          <w:szCs w:val="22"/>
          <w:lang w:val="es-ES_tradnl" w:eastAsia="ar-SA"/>
        </w:rPr>
        <w:t xml:space="preserve">De este modo, el TJUE manifiesta que </w:t>
      </w:r>
      <w:r w:rsidRPr="00865FB3">
        <w:rPr>
          <w:rFonts w:ascii="Arial" w:hAnsi="Arial" w:cs="Arial"/>
          <w:b/>
          <w:sz w:val="22"/>
          <w:szCs w:val="22"/>
          <w:lang w:val="es-ES_tradnl" w:eastAsia="ar-SA"/>
        </w:rPr>
        <w:t xml:space="preserve">el principio de efectividad ha de atender a si el consumidor pudo razonablemente conocer el carácter abusivo de la cláusula y hacer </w:t>
      </w:r>
      <w:r w:rsidR="00CE1D78" w:rsidRPr="00865FB3">
        <w:rPr>
          <w:rFonts w:ascii="Arial" w:hAnsi="Arial" w:cs="Arial"/>
          <w:b/>
          <w:sz w:val="22"/>
          <w:szCs w:val="22"/>
          <w:lang w:val="es-ES_tradnl" w:eastAsia="ar-SA"/>
        </w:rPr>
        <w:t>valer los</w:t>
      </w:r>
      <w:r w:rsidRPr="00865FB3">
        <w:rPr>
          <w:rFonts w:ascii="Arial" w:hAnsi="Arial" w:cs="Arial"/>
          <w:b/>
          <w:sz w:val="22"/>
          <w:szCs w:val="22"/>
          <w:lang w:val="es-ES_tradnl" w:eastAsia="ar-SA"/>
        </w:rPr>
        <w:t xml:space="preserve"> derechos que le confiere la Directiva 93/13 dentro del marco temporal de ejercicio de las acciones de restitución señalado por el régimen nacional de prescripción, esto es, </w:t>
      </w:r>
      <w:r w:rsidRPr="00865FB3">
        <w:rPr>
          <w:rFonts w:ascii="Arial" w:hAnsi="Arial" w:cs="Arial"/>
          <w:b/>
          <w:sz w:val="22"/>
          <w:szCs w:val="22"/>
          <w:u w:val="single"/>
          <w:lang w:val="es-ES_tradnl" w:eastAsia="ar-SA"/>
        </w:rPr>
        <w:t>antes “</w:t>
      </w:r>
      <w:r w:rsidRPr="00865FB3">
        <w:rPr>
          <w:rFonts w:ascii="Arial" w:hAnsi="Arial" w:cs="Arial"/>
          <w:b/>
          <w:i/>
          <w:sz w:val="22"/>
          <w:szCs w:val="22"/>
          <w:u w:val="single"/>
          <w:lang w:val="es-ES_tradnl" w:eastAsia="ar-SA"/>
        </w:rPr>
        <w:t>de que expirase</w:t>
      </w:r>
      <w:r w:rsidRPr="00865FB3">
        <w:rPr>
          <w:rFonts w:ascii="Arial" w:hAnsi="Arial" w:cs="Arial"/>
          <w:b/>
          <w:sz w:val="22"/>
          <w:szCs w:val="22"/>
          <w:u w:val="single"/>
          <w:lang w:val="es-ES_tradnl" w:eastAsia="ar-SA"/>
        </w:rPr>
        <w:t>” el plazo de prescripción de la acción de restitución</w:t>
      </w:r>
      <w:r w:rsidRPr="00865FB3">
        <w:rPr>
          <w:rFonts w:ascii="Arial" w:hAnsi="Arial" w:cs="Arial"/>
          <w:sz w:val="22"/>
          <w:szCs w:val="22"/>
          <w:lang w:val="es-ES_tradnl" w:eastAsia="ar-SA"/>
        </w:rPr>
        <w:t>. El TJUE no analiza de forma aislada y descontextualizada del conjunto del régimen prescriptivo el dato de la fijación del momento inaugural del cómputo del plazo de prescripción, y por ello no impone a los Derechos civiles nacionales que necesariamente el día inicial del plazo de prescripción deba comenzar a computarse en términos subjetivos, en el momento en que el consumidor conoció o pudo razonablemente conocer el carácter abusivo de la cláusula. Lo que exige, para la salvaguarda del principio de efectividad de la protección del consumidor por el Derecho de la Unión, es que, en todo caso, el régimen de prescripción del Derecho nacional —recuérdese: no armonizado por la Directiva 93/13 ni por otras normas del Derecho de la Unión— sea predecible, en primer lugar (esto es, que se establezca y conozca con antelación, para así responder al principio de seguridad jurídica) y, en segundo lugar, que se module, en su caso, por medio de un juicio adicional (que corresponde al órgano jurisdiccional nacional) que garantice que la aplicación de ese régimen no imposibilite o dificulte excesivamente la reclamación del consumidor al amparo del Derecho europeo.</w:t>
      </w:r>
    </w:p>
    <w:p w14:paraId="4F33D0DC" w14:textId="77777777" w:rsidR="007E68AD" w:rsidRPr="00865FB3" w:rsidRDefault="007E68AD" w:rsidP="00865FB3">
      <w:pPr>
        <w:pStyle w:val="Prrafodelista"/>
        <w:widowControl w:val="0"/>
        <w:numPr>
          <w:ilvl w:val="0"/>
          <w:numId w:val="6"/>
        </w:numPr>
        <w:spacing w:after="240" w:line="360" w:lineRule="auto"/>
        <w:ind w:left="0" w:hanging="851"/>
        <w:rPr>
          <w:rFonts w:ascii="Arial" w:hAnsi="Arial" w:cs="Arial"/>
          <w:sz w:val="22"/>
          <w:szCs w:val="22"/>
          <w:lang w:val="es-ES_tradnl" w:eastAsia="ar-SA"/>
        </w:rPr>
      </w:pPr>
      <w:r w:rsidRPr="00865FB3">
        <w:rPr>
          <w:rFonts w:ascii="Arial" w:hAnsi="Arial" w:cs="Arial"/>
          <w:sz w:val="22"/>
          <w:szCs w:val="22"/>
          <w:lang w:val="es-ES_tradnl" w:eastAsia="ar-SA"/>
        </w:rPr>
        <w:t xml:space="preserve">Dicho de otra forma, el TJUE no impone, so capa del principio de efectividad, que en todo caso los Derechos civiles nacionales adopten un criterio puramente subjetivo en la fijación del </w:t>
      </w:r>
      <w:proofErr w:type="spellStart"/>
      <w:r w:rsidRPr="00865FB3">
        <w:rPr>
          <w:rFonts w:ascii="Arial" w:hAnsi="Arial" w:cs="Arial"/>
          <w:i/>
          <w:sz w:val="22"/>
          <w:szCs w:val="22"/>
          <w:lang w:val="es-ES_tradnl" w:eastAsia="ar-SA"/>
        </w:rPr>
        <w:t>dies</w:t>
      </w:r>
      <w:proofErr w:type="spellEnd"/>
      <w:r w:rsidRPr="00865FB3">
        <w:rPr>
          <w:rFonts w:ascii="Arial" w:hAnsi="Arial" w:cs="Arial"/>
          <w:i/>
          <w:sz w:val="22"/>
          <w:szCs w:val="22"/>
          <w:lang w:val="es-ES_tradnl" w:eastAsia="ar-SA"/>
        </w:rPr>
        <w:t xml:space="preserve"> a quo</w:t>
      </w:r>
      <w:r w:rsidRPr="00865FB3">
        <w:rPr>
          <w:rFonts w:ascii="Arial" w:hAnsi="Arial" w:cs="Arial"/>
          <w:sz w:val="22"/>
          <w:szCs w:val="22"/>
          <w:lang w:val="es-ES_tradnl" w:eastAsia="ar-SA"/>
        </w:rPr>
        <w:t xml:space="preserve"> del plazo de prescripción. Es neutro en cuanto al criterio —puramente subjetivo u objetivo— en la determinación de ese día por el Derecho nacional. Lo único que exige es que el conjunto del régimen prescriptivo aplicable, en el que interviene la determinación del inicio del cómputo del plazo (y que no se excluye que pueda ser, en determinadas circunstancias, </w:t>
      </w:r>
      <w:r w:rsidRPr="00865FB3">
        <w:rPr>
          <w:rFonts w:ascii="Arial" w:hAnsi="Arial" w:cs="Arial"/>
          <w:sz w:val="22"/>
          <w:szCs w:val="22"/>
          <w:lang w:val="es-ES_tradnl" w:eastAsia="ar-SA"/>
        </w:rPr>
        <w:lastRenderedPageBreak/>
        <w:t>un criterio objetivo como la fecha del pago de los gastos u otro relevante según el Derecho civil nacional), pero en el que tienen peso relevante otros elementos, como la propia duración del plazo o las facilidades ofrecidas para su interrupción —lo que supone su extensión efectiva— no suponga de hecho imposibilitar o dificultar excesivamente los derechos del consumidor. Pero el contraste con el principio de efectividad ha de hacerse no en relación con cada elemento por separado del régimen de prescripción, sino con el resultado práctico de su aplicación para la posición del consumidor, lo cual supone atender, entre otros, a la extensión del plazo de prescripción, sus reglas sobre interrupción y el grado de conocimiento potencial sobre el carácter abusivo de la cláusula que el consumidor pudo adquirir durante el transcurso del plazo de prescripción.</w:t>
      </w:r>
    </w:p>
    <w:p w14:paraId="1AE7AB51" w14:textId="77777777" w:rsidR="00864175" w:rsidRPr="00865FB3" w:rsidRDefault="00365A7E" w:rsidP="00865FB3">
      <w:pPr>
        <w:pStyle w:val="Prrafodelista"/>
        <w:widowControl w:val="0"/>
        <w:numPr>
          <w:ilvl w:val="0"/>
          <w:numId w:val="6"/>
        </w:numPr>
        <w:spacing w:after="240" w:line="360" w:lineRule="auto"/>
        <w:ind w:left="0" w:hanging="851"/>
        <w:rPr>
          <w:rFonts w:ascii="Arial" w:hAnsi="Arial" w:cs="Arial"/>
          <w:sz w:val="22"/>
          <w:szCs w:val="22"/>
          <w:lang w:val="es-ES_tradnl" w:eastAsia="ar-SA"/>
        </w:rPr>
      </w:pPr>
      <w:r w:rsidRPr="00865FB3">
        <w:rPr>
          <w:rFonts w:ascii="Arial" w:hAnsi="Arial" w:cs="Arial"/>
          <w:sz w:val="22"/>
          <w:szCs w:val="22"/>
          <w:lang w:val="es-ES_tradnl" w:eastAsia="ar-SA"/>
        </w:rPr>
        <w:t xml:space="preserve">Por todo lo anterior, </w:t>
      </w:r>
      <w:r w:rsidR="00BC0B54" w:rsidRPr="00865FB3">
        <w:rPr>
          <w:rFonts w:ascii="Arial" w:hAnsi="Arial" w:cs="Arial"/>
          <w:sz w:val="22"/>
          <w:szCs w:val="22"/>
          <w:lang w:val="es-ES_tradnl" w:eastAsia="ar-SA"/>
        </w:rPr>
        <w:t xml:space="preserve">debe concluirse necesariamente que, en contra del criterio seguido por la Sentencia recurrida, el </w:t>
      </w:r>
      <w:proofErr w:type="spellStart"/>
      <w:r w:rsidR="00BC0B54" w:rsidRPr="00865FB3">
        <w:rPr>
          <w:rFonts w:ascii="Arial" w:hAnsi="Arial" w:cs="Arial"/>
          <w:i/>
          <w:sz w:val="22"/>
          <w:szCs w:val="22"/>
          <w:lang w:val="es-ES_tradnl" w:eastAsia="ar-SA"/>
        </w:rPr>
        <w:t>dies</w:t>
      </w:r>
      <w:proofErr w:type="spellEnd"/>
      <w:r w:rsidR="00BC0B54" w:rsidRPr="00865FB3">
        <w:rPr>
          <w:rFonts w:ascii="Arial" w:hAnsi="Arial" w:cs="Arial"/>
          <w:i/>
          <w:sz w:val="22"/>
          <w:szCs w:val="22"/>
          <w:lang w:val="es-ES_tradnl" w:eastAsia="ar-SA"/>
        </w:rPr>
        <w:t xml:space="preserve"> a quo </w:t>
      </w:r>
      <w:r w:rsidR="00BC0B54" w:rsidRPr="00865FB3">
        <w:rPr>
          <w:rFonts w:ascii="Arial" w:hAnsi="Arial" w:cs="Arial"/>
          <w:sz w:val="22"/>
          <w:szCs w:val="22"/>
          <w:lang w:val="es-ES_tradnl" w:eastAsia="ar-SA"/>
        </w:rPr>
        <w:t>del plazo de prescripción de las acciones restitutorias de los intereses declarados usurarios debe fijarse en el momento de cada pago de los intereses, y la Sentencia debe ser revocada en este punto</w:t>
      </w:r>
      <w:r w:rsidR="00D96C2F" w:rsidRPr="00865FB3">
        <w:rPr>
          <w:rFonts w:ascii="Arial" w:hAnsi="Arial" w:cs="Arial"/>
          <w:sz w:val="22"/>
          <w:szCs w:val="22"/>
          <w:lang w:val="es-ES_tradnl" w:eastAsia="ar-SA"/>
        </w:rPr>
        <w:t>. En consecuencia</w:t>
      </w:r>
      <w:r w:rsidR="00D96C2F" w:rsidRPr="00865FB3">
        <w:rPr>
          <w:rFonts w:ascii="Arial" w:hAnsi="Arial" w:cs="Arial"/>
          <w:sz w:val="22"/>
          <w:szCs w:val="22"/>
        </w:rPr>
        <w:t xml:space="preserve">, la parte actora solo puede pretender la restitución de los intereses pagados en los 5 años y 82 días anteriores a su reclamación extrajudicial. </w:t>
      </w:r>
      <w:r w:rsidR="00864175" w:rsidRPr="00865FB3">
        <w:rPr>
          <w:rFonts w:ascii="Arial" w:hAnsi="Arial" w:cs="Arial"/>
          <w:sz w:val="22"/>
          <w:szCs w:val="22"/>
          <w:highlight w:val="yellow"/>
        </w:rPr>
        <w:t>Siendo la reclamación extrajudicial de 13 de junio de 2021</w:t>
      </w:r>
      <w:r w:rsidR="00864175" w:rsidRPr="00865FB3">
        <w:rPr>
          <w:rStyle w:val="Refdenotaalpie"/>
          <w:rFonts w:ascii="Arial" w:hAnsi="Arial" w:cs="Arial"/>
          <w:sz w:val="22"/>
          <w:szCs w:val="22"/>
          <w:highlight w:val="yellow"/>
        </w:rPr>
        <w:footnoteReference w:id="14"/>
      </w:r>
      <w:r w:rsidR="00864175" w:rsidRPr="00865FB3">
        <w:rPr>
          <w:rFonts w:ascii="Arial" w:hAnsi="Arial" w:cs="Arial"/>
          <w:sz w:val="22"/>
          <w:szCs w:val="22"/>
          <w:highlight w:val="yellow"/>
        </w:rPr>
        <w:t>, la Parte actora solo podría reclamar los pagos realizados después del 13 de junio de 2016 más 82 días de suspensión por el Estado de Alarma, esto es desde el 24 de marzo de 2016</w:t>
      </w:r>
      <w:r w:rsidR="00D96C2F" w:rsidRPr="00865FB3">
        <w:rPr>
          <w:rFonts w:ascii="Arial" w:hAnsi="Arial" w:cs="Arial"/>
          <w:sz w:val="22"/>
          <w:szCs w:val="22"/>
          <w:highlight w:val="yellow"/>
        </w:rPr>
        <w:t>.</w:t>
      </w:r>
    </w:p>
    <w:p w14:paraId="6743D219" w14:textId="77777777" w:rsidR="00695CE8" w:rsidRPr="00865FB3" w:rsidRDefault="00695CE8" w:rsidP="00865FB3">
      <w:pPr>
        <w:pStyle w:val="Prrafodelista"/>
        <w:widowControl w:val="0"/>
        <w:spacing w:after="240" w:line="360" w:lineRule="auto"/>
        <w:ind w:left="0"/>
        <w:rPr>
          <w:rFonts w:ascii="Arial" w:hAnsi="Arial" w:cs="Arial"/>
          <w:b/>
          <w:bCs/>
          <w:sz w:val="22"/>
          <w:szCs w:val="22"/>
          <w:highlight w:val="red"/>
          <w:u w:val="single"/>
          <w:lang w:val="es-ES_tradnl"/>
        </w:rPr>
      </w:pPr>
    </w:p>
    <w:p w14:paraId="02FF8F5B" w14:textId="0F375F30" w:rsidR="00695CE8" w:rsidRPr="00865FB3" w:rsidRDefault="00695CE8" w:rsidP="00865FB3">
      <w:pPr>
        <w:pStyle w:val="Prrafodelista"/>
        <w:widowControl w:val="0"/>
        <w:spacing w:after="240" w:line="360" w:lineRule="auto"/>
        <w:ind w:left="0"/>
        <w:rPr>
          <w:rFonts w:ascii="Arial" w:hAnsi="Arial" w:cs="Arial"/>
          <w:b/>
          <w:bCs/>
          <w:sz w:val="22"/>
          <w:szCs w:val="22"/>
          <w:u w:val="single"/>
          <w:lang w:val="es-ES_tradnl" w:eastAsia="ar-SA"/>
        </w:rPr>
      </w:pPr>
      <w:r w:rsidRPr="00865FB3">
        <w:rPr>
          <w:rFonts w:ascii="Arial" w:hAnsi="Arial" w:cs="Arial"/>
          <w:b/>
          <w:bCs/>
          <w:sz w:val="22"/>
          <w:szCs w:val="22"/>
          <w:highlight w:val="red"/>
          <w:u w:val="single"/>
          <w:lang w:val="es-ES_tradnl"/>
        </w:rPr>
        <w:t>ESTE HECHO TERCERO SOLO INCLUIR CUANDO LA RECLAMACIÓN EXTRAJUDICIAL SEA POSTERIOR AL 20 DE FEBRERO DE 2021 (5 AÑOS + 82 DÍAS DESDE EL 30 DE NOVIEMBRE DE 2015)</w:t>
      </w:r>
      <w:r w:rsidRPr="00865FB3">
        <w:rPr>
          <w:rFonts w:ascii="Arial" w:hAnsi="Arial" w:cs="Arial"/>
          <w:sz w:val="22"/>
          <w:szCs w:val="22"/>
          <w:highlight w:val="red"/>
          <w:lang w:val="es-ES_tradnl"/>
        </w:rPr>
        <w:t>.</w:t>
      </w:r>
    </w:p>
    <w:p w14:paraId="5B13DB13" w14:textId="6DAF8EA0" w:rsidR="00D96C2F" w:rsidRPr="00865FB3" w:rsidRDefault="00864175" w:rsidP="00865FB3">
      <w:pPr>
        <w:pStyle w:val="Prrafodelista"/>
        <w:widowControl w:val="0"/>
        <w:spacing w:after="240" w:line="360" w:lineRule="auto"/>
        <w:ind w:left="0"/>
        <w:rPr>
          <w:rFonts w:ascii="Arial" w:eastAsiaTheme="majorEastAsia" w:hAnsi="Arial" w:cs="Arial"/>
          <w:b/>
          <w:bCs/>
          <w:caps/>
          <w:sz w:val="22"/>
          <w:szCs w:val="22"/>
          <w:lang w:val="es-ES_tradnl"/>
        </w:rPr>
      </w:pPr>
      <w:r w:rsidRPr="00865FB3">
        <w:rPr>
          <w:rFonts w:ascii="Arial" w:hAnsi="Arial" w:cs="Arial"/>
          <w:b/>
          <w:bCs/>
          <w:sz w:val="22"/>
          <w:szCs w:val="22"/>
          <w:u w:val="single"/>
          <w:lang w:val="es-ES_tradnl" w:eastAsia="ar-SA"/>
        </w:rPr>
        <w:t>TERCERO</w:t>
      </w:r>
      <w:r w:rsidRPr="00865FB3">
        <w:rPr>
          <w:rFonts w:ascii="Arial" w:hAnsi="Arial" w:cs="Arial"/>
          <w:sz w:val="22"/>
          <w:szCs w:val="22"/>
          <w:lang w:val="es-ES_tradnl" w:eastAsia="ar-SA"/>
        </w:rPr>
        <w:t xml:space="preserve">. – </w:t>
      </w:r>
      <w:r w:rsidRPr="00865FB3">
        <w:rPr>
          <w:rFonts w:ascii="Arial" w:hAnsi="Arial" w:cs="Arial"/>
          <w:b/>
          <w:bCs/>
          <w:sz w:val="22"/>
          <w:szCs w:val="22"/>
          <w:lang w:val="es-ES_tradnl" w:eastAsia="ar-SA"/>
        </w:rPr>
        <w:t xml:space="preserve">SUBSIDIARIAMENTE </w:t>
      </w:r>
      <w:r w:rsidRPr="00865FB3">
        <w:rPr>
          <w:rFonts w:ascii="Arial" w:eastAsiaTheme="majorEastAsia" w:hAnsi="Arial" w:cs="Arial"/>
          <w:b/>
          <w:bCs/>
          <w:caps/>
          <w:sz w:val="22"/>
          <w:szCs w:val="22"/>
          <w:lang w:val="es-ES_tradnl"/>
        </w:rPr>
        <w:t xml:space="preserve">EL </w:t>
      </w:r>
      <w:r w:rsidRPr="00865FB3">
        <w:rPr>
          <w:rFonts w:ascii="Arial" w:eastAsiaTheme="majorEastAsia" w:hAnsi="Arial" w:cs="Arial"/>
          <w:b/>
          <w:bCs/>
          <w:i/>
          <w:caps/>
          <w:sz w:val="22"/>
          <w:szCs w:val="22"/>
          <w:lang w:val="es-ES_tradnl"/>
        </w:rPr>
        <w:t xml:space="preserve">DIES A QUO </w:t>
      </w:r>
      <w:r w:rsidRPr="00865FB3">
        <w:rPr>
          <w:rFonts w:ascii="Arial" w:eastAsiaTheme="majorEastAsia" w:hAnsi="Arial" w:cs="Arial"/>
          <w:b/>
          <w:bCs/>
          <w:caps/>
          <w:sz w:val="22"/>
          <w:szCs w:val="22"/>
          <w:lang w:val="es-ES_tradnl"/>
        </w:rPr>
        <w:t xml:space="preserve">DEL PLAZO DE PRESCRIPCIÓN DE LA ACCIÓN RESTITUTORIA DEBE ESTABLECERSE </w:t>
      </w:r>
      <w:r w:rsidR="001E07A2" w:rsidRPr="00865FB3">
        <w:rPr>
          <w:rFonts w:ascii="Arial" w:eastAsiaTheme="majorEastAsia" w:hAnsi="Arial" w:cs="Arial"/>
          <w:b/>
          <w:bCs/>
          <w:caps/>
          <w:sz w:val="22"/>
          <w:szCs w:val="22"/>
          <w:lang w:val="es-ES_tradnl"/>
        </w:rPr>
        <w:t>en</w:t>
      </w:r>
      <w:r w:rsidRPr="00865FB3">
        <w:rPr>
          <w:rFonts w:ascii="Arial" w:eastAsiaTheme="majorEastAsia" w:hAnsi="Arial" w:cs="Arial"/>
          <w:b/>
          <w:bCs/>
          <w:caps/>
          <w:sz w:val="22"/>
          <w:szCs w:val="22"/>
          <w:lang w:val="es-ES_tradnl"/>
        </w:rPr>
        <w:t xml:space="preserve"> LA SENTENCIA DEL TRIBUNAL SUPREMO DE 25 DE NOVIEMBRE DE 2015</w:t>
      </w:r>
    </w:p>
    <w:p w14:paraId="573A0CA6" w14:textId="0D5DF9FF" w:rsidR="00583FD0" w:rsidRPr="00865FB3" w:rsidRDefault="009B15BF" w:rsidP="00865FB3">
      <w:pPr>
        <w:widowControl w:val="0"/>
        <w:numPr>
          <w:ilvl w:val="0"/>
          <w:numId w:val="5"/>
        </w:numPr>
        <w:spacing w:after="240" w:line="360" w:lineRule="auto"/>
        <w:ind w:left="0" w:hanging="851"/>
        <w:rPr>
          <w:rFonts w:ascii="Arial" w:hAnsi="Arial" w:cs="Arial"/>
          <w:sz w:val="22"/>
          <w:szCs w:val="22"/>
          <w:lang w:val="es-ES_tradnl" w:eastAsia="ar-SA"/>
        </w:rPr>
      </w:pPr>
      <w:r w:rsidRPr="00865FB3">
        <w:rPr>
          <w:rFonts w:ascii="Arial" w:hAnsi="Arial" w:cs="Arial"/>
          <w:sz w:val="22"/>
          <w:szCs w:val="22"/>
          <w:lang w:val="es-ES_tradnl" w:eastAsia="ar-SA"/>
        </w:rPr>
        <w:t xml:space="preserve">Subsidiariamente a lo </w:t>
      </w:r>
      <w:r w:rsidR="004275D9" w:rsidRPr="00865FB3">
        <w:rPr>
          <w:rFonts w:ascii="Arial" w:hAnsi="Arial" w:cs="Arial"/>
          <w:sz w:val="22"/>
          <w:szCs w:val="22"/>
          <w:lang w:val="es-ES_tradnl" w:eastAsia="ar-SA"/>
        </w:rPr>
        <w:t xml:space="preserve">anterior, </w:t>
      </w:r>
      <w:r w:rsidR="0096423F" w:rsidRPr="00865FB3">
        <w:rPr>
          <w:rFonts w:ascii="Arial" w:hAnsi="Arial" w:cs="Arial"/>
          <w:sz w:val="22"/>
          <w:szCs w:val="22"/>
          <w:lang w:val="es-ES_tradnl" w:eastAsia="ar-SA"/>
        </w:rPr>
        <w:t>y para el hipotético caso en el que la Ilma. Audiencia Provincial considere que</w:t>
      </w:r>
      <w:r w:rsidR="006B3879" w:rsidRPr="00865FB3">
        <w:rPr>
          <w:rFonts w:ascii="Arial" w:hAnsi="Arial" w:cs="Arial"/>
          <w:sz w:val="22"/>
          <w:szCs w:val="22"/>
          <w:lang w:val="es-ES_tradnl" w:eastAsia="ar-SA"/>
        </w:rPr>
        <w:t xml:space="preserve"> el momento del pago de </w:t>
      </w:r>
      <w:r w:rsidR="00F54509" w:rsidRPr="00865FB3">
        <w:rPr>
          <w:rFonts w:ascii="Arial" w:hAnsi="Arial" w:cs="Arial"/>
          <w:sz w:val="22"/>
          <w:szCs w:val="22"/>
          <w:lang w:val="es-ES_tradnl" w:eastAsia="ar-SA"/>
        </w:rPr>
        <w:t>cada</w:t>
      </w:r>
      <w:r w:rsidR="006B3879" w:rsidRPr="00865FB3">
        <w:rPr>
          <w:rFonts w:ascii="Arial" w:hAnsi="Arial" w:cs="Arial"/>
          <w:sz w:val="22"/>
          <w:szCs w:val="22"/>
          <w:lang w:val="es-ES_tradnl" w:eastAsia="ar-SA"/>
        </w:rPr>
        <w:t xml:space="preserve"> cuota no es </w:t>
      </w:r>
      <w:r w:rsidR="00F1289D" w:rsidRPr="00865FB3">
        <w:rPr>
          <w:rFonts w:ascii="Arial" w:hAnsi="Arial" w:cs="Arial"/>
          <w:sz w:val="22"/>
          <w:szCs w:val="22"/>
          <w:lang w:val="es-ES_tradnl" w:eastAsia="ar-SA"/>
        </w:rPr>
        <w:t>hito bastante</w:t>
      </w:r>
      <w:r w:rsidR="006B3879" w:rsidRPr="00865FB3">
        <w:rPr>
          <w:rFonts w:ascii="Arial" w:hAnsi="Arial" w:cs="Arial"/>
          <w:sz w:val="22"/>
          <w:szCs w:val="22"/>
          <w:lang w:val="es-ES_tradnl" w:eastAsia="ar-SA"/>
        </w:rPr>
        <w:t xml:space="preserve"> para concretar que desde </w:t>
      </w:r>
      <w:r w:rsidR="00F1289D" w:rsidRPr="00865FB3">
        <w:rPr>
          <w:rFonts w:ascii="Arial" w:hAnsi="Arial" w:cs="Arial"/>
          <w:sz w:val="22"/>
          <w:szCs w:val="22"/>
          <w:lang w:val="es-ES_tradnl" w:eastAsia="ar-SA"/>
        </w:rPr>
        <w:t>ese</w:t>
      </w:r>
      <w:r w:rsidR="006B3879" w:rsidRPr="00865FB3">
        <w:rPr>
          <w:rFonts w:ascii="Arial" w:hAnsi="Arial" w:cs="Arial"/>
          <w:sz w:val="22"/>
          <w:szCs w:val="22"/>
          <w:lang w:val="es-ES_tradnl" w:eastAsia="ar-SA"/>
        </w:rPr>
        <w:t xml:space="preserve"> momento la acción ya pudo ser ejercitada por la Recurrente, </w:t>
      </w:r>
      <w:r w:rsidR="00972DFB" w:rsidRPr="00865FB3">
        <w:rPr>
          <w:rFonts w:ascii="Arial" w:hAnsi="Arial" w:cs="Arial"/>
          <w:sz w:val="22"/>
          <w:szCs w:val="22"/>
          <w:lang w:val="es-ES_tradnl" w:eastAsia="ar-SA"/>
        </w:rPr>
        <w:t xml:space="preserve">se debe </w:t>
      </w:r>
      <w:r w:rsidR="00F1289D" w:rsidRPr="00865FB3">
        <w:rPr>
          <w:rFonts w:ascii="Arial" w:hAnsi="Arial" w:cs="Arial"/>
          <w:sz w:val="22"/>
          <w:szCs w:val="22"/>
          <w:lang w:val="es-ES_tradnl" w:eastAsia="ar-SA"/>
        </w:rPr>
        <w:t xml:space="preserve">atender </w:t>
      </w:r>
      <w:r w:rsidR="00690FCF" w:rsidRPr="00865FB3">
        <w:rPr>
          <w:rFonts w:ascii="Arial" w:hAnsi="Arial" w:cs="Arial"/>
          <w:sz w:val="22"/>
          <w:szCs w:val="22"/>
          <w:lang w:val="es-ES_tradnl" w:eastAsia="ar-SA"/>
        </w:rPr>
        <w:t xml:space="preserve">en todo caso a </w:t>
      </w:r>
      <w:r w:rsidR="00972DFB" w:rsidRPr="00865FB3">
        <w:rPr>
          <w:rFonts w:ascii="Arial" w:hAnsi="Arial" w:cs="Arial"/>
          <w:sz w:val="22"/>
          <w:szCs w:val="22"/>
          <w:lang w:val="es-ES_tradnl" w:eastAsia="ar-SA"/>
        </w:rPr>
        <w:t xml:space="preserve">la </w:t>
      </w:r>
      <w:r w:rsidR="00690FCF" w:rsidRPr="00865FB3">
        <w:rPr>
          <w:rFonts w:ascii="Arial" w:hAnsi="Arial" w:cs="Arial"/>
          <w:sz w:val="22"/>
          <w:szCs w:val="22"/>
          <w:lang w:val="es-ES_tradnl" w:eastAsia="ar-SA"/>
        </w:rPr>
        <w:t xml:space="preserve">publicación de la </w:t>
      </w:r>
      <w:r w:rsidR="00972DFB" w:rsidRPr="00865FB3">
        <w:rPr>
          <w:rFonts w:ascii="Arial" w:hAnsi="Arial" w:cs="Arial"/>
          <w:sz w:val="22"/>
          <w:szCs w:val="22"/>
          <w:lang w:val="es-ES_tradnl" w:eastAsia="ar-SA"/>
        </w:rPr>
        <w:t>Sentencia del Tribunal Supremo de 25 de noviembre de 2015</w:t>
      </w:r>
      <w:r w:rsidR="008A1675" w:rsidRPr="00865FB3">
        <w:rPr>
          <w:rFonts w:ascii="Arial" w:hAnsi="Arial" w:cs="Arial"/>
          <w:sz w:val="22"/>
          <w:szCs w:val="22"/>
          <w:lang w:val="es-ES_tradnl" w:eastAsia="ar-SA"/>
        </w:rPr>
        <w:t xml:space="preserve"> </w:t>
      </w:r>
      <w:r w:rsidR="008A1675" w:rsidRPr="00865FB3">
        <w:rPr>
          <w:rFonts w:ascii="Arial" w:hAnsi="Arial" w:cs="Arial"/>
          <w:sz w:val="22"/>
          <w:szCs w:val="22"/>
          <w:lang w:val="es-ES_tradnl" w:eastAsia="ar-SA"/>
        </w:rPr>
        <w:lastRenderedPageBreak/>
        <w:t>(“</w:t>
      </w:r>
      <w:r w:rsidR="008A1675" w:rsidRPr="00865FB3">
        <w:rPr>
          <w:rFonts w:ascii="Arial" w:hAnsi="Arial" w:cs="Arial"/>
          <w:b/>
          <w:bCs/>
          <w:sz w:val="22"/>
          <w:szCs w:val="22"/>
          <w:lang w:val="es-ES_tradnl" w:eastAsia="ar-SA"/>
        </w:rPr>
        <w:t>Sentencia de 25 de noviembre</w:t>
      </w:r>
      <w:r w:rsidR="008A1675" w:rsidRPr="00865FB3">
        <w:rPr>
          <w:rFonts w:ascii="Arial" w:hAnsi="Arial" w:cs="Arial"/>
          <w:sz w:val="22"/>
          <w:szCs w:val="22"/>
          <w:lang w:val="es-ES_tradnl" w:eastAsia="ar-SA"/>
        </w:rPr>
        <w:t>”</w:t>
      </w:r>
      <w:r w:rsidR="00CF0DE0" w:rsidRPr="00865FB3">
        <w:rPr>
          <w:rFonts w:ascii="Arial" w:hAnsi="Arial" w:cs="Arial"/>
          <w:sz w:val="22"/>
          <w:szCs w:val="22"/>
          <w:lang w:val="es-ES_tradnl" w:eastAsia="ar-SA"/>
        </w:rPr>
        <w:t xml:space="preserve"> </w:t>
      </w:r>
      <w:r w:rsidR="00703D59" w:rsidRPr="00865FB3">
        <w:rPr>
          <w:rFonts w:ascii="Arial" w:hAnsi="Arial" w:cs="Arial"/>
          <w:sz w:val="22"/>
          <w:szCs w:val="22"/>
          <w:lang w:val="es-ES_tradnl" w:eastAsia="ar-SA"/>
        </w:rPr>
        <w:t>o</w:t>
      </w:r>
      <w:r w:rsidR="00CF0DE0" w:rsidRPr="00865FB3">
        <w:rPr>
          <w:rFonts w:ascii="Arial" w:hAnsi="Arial" w:cs="Arial"/>
          <w:sz w:val="22"/>
          <w:szCs w:val="22"/>
          <w:lang w:val="es-ES_tradnl" w:eastAsia="ar-SA"/>
        </w:rPr>
        <w:t xml:space="preserve"> “</w:t>
      </w:r>
      <w:r w:rsidR="00CF0DE0" w:rsidRPr="00865FB3">
        <w:rPr>
          <w:rFonts w:ascii="Arial" w:hAnsi="Arial" w:cs="Arial"/>
          <w:b/>
          <w:bCs/>
          <w:sz w:val="22"/>
          <w:szCs w:val="22"/>
          <w:lang w:val="es-ES_tradnl" w:eastAsia="ar-SA"/>
        </w:rPr>
        <w:t>STS núm.628/2015</w:t>
      </w:r>
      <w:r w:rsidR="00CF0DE0" w:rsidRPr="00865FB3">
        <w:rPr>
          <w:rFonts w:ascii="Arial" w:hAnsi="Arial" w:cs="Arial"/>
          <w:sz w:val="22"/>
          <w:szCs w:val="22"/>
          <w:lang w:val="es-ES_tradnl" w:eastAsia="ar-SA"/>
        </w:rPr>
        <w:t>”</w:t>
      </w:r>
      <w:r w:rsidR="008A1675" w:rsidRPr="00865FB3">
        <w:rPr>
          <w:rFonts w:ascii="Arial" w:hAnsi="Arial" w:cs="Arial"/>
          <w:sz w:val="22"/>
          <w:szCs w:val="22"/>
          <w:lang w:val="es-ES_tradnl" w:eastAsia="ar-SA"/>
        </w:rPr>
        <w:t>)</w:t>
      </w:r>
      <w:r w:rsidR="00972DFB" w:rsidRPr="00865FB3">
        <w:rPr>
          <w:rFonts w:ascii="Arial" w:hAnsi="Arial" w:cs="Arial"/>
          <w:sz w:val="22"/>
          <w:szCs w:val="22"/>
          <w:lang w:val="es-ES_tradnl" w:eastAsia="ar-SA"/>
        </w:rPr>
        <w:t>, donde, a todas luces, la Recurrente ya conocía toda la información</w:t>
      </w:r>
      <w:r w:rsidR="00703D59" w:rsidRPr="00865FB3">
        <w:rPr>
          <w:rFonts w:ascii="Arial" w:hAnsi="Arial" w:cs="Arial"/>
          <w:sz w:val="22"/>
          <w:szCs w:val="22"/>
          <w:lang w:val="es-ES_tradnl" w:eastAsia="ar-SA"/>
        </w:rPr>
        <w:t xml:space="preserve"> necesaria</w:t>
      </w:r>
      <w:r w:rsidR="00972DFB" w:rsidRPr="00865FB3">
        <w:rPr>
          <w:rFonts w:ascii="Arial" w:hAnsi="Arial" w:cs="Arial"/>
          <w:sz w:val="22"/>
          <w:szCs w:val="22"/>
          <w:lang w:val="es-ES_tradnl" w:eastAsia="ar-SA"/>
        </w:rPr>
        <w:t xml:space="preserve"> para ejercer dicha acción. </w:t>
      </w:r>
    </w:p>
    <w:p w14:paraId="387BD9A4" w14:textId="133F941A" w:rsidR="00972DFB" w:rsidRPr="00865FB3" w:rsidRDefault="00690FCF" w:rsidP="00865FB3">
      <w:pPr>
        <w:widowControl w:val="0"/>
        <w:numPr>
          <w:ilvl w:val="0"/>
          <w:numId w:val="5"/>
        </w:numPr>
        <w:spacing w:after="240" w:line="360" w:lineRule="auto"/>
        <w:ind w:left="0" w:hanging="851"/>
        <w:rPr>
          <w:rFonts w:ascii="Arial" w:hAnsi="Arial" w:cs="Arial"/>
          <w:sz w:val="22"/>
          <w:szCs w:val="22"/>
        </w:rPr>
      </w:pPr>
      <w:r w:rsidRPr="00865FB3">
        <w:rPr>
          <w:rFonts w:ascii="Arial" w:hAnsi="Arial" w:cs="Arial"/>
          <w:sz w:val="22"/>
          <w:szCs w:val="22"/>
          <w:lang w:val="es-ES_tradnl" w:eastAsia="ar-SA"/>
        </w:rPr>
        <w:t>Así, l</w:t>
      </w:r>
      <w:r w:rsidR="00972DFB" w:rsidRPr="00865FB3">
        <w:rPr>
          <w:rFonts w:ascii="Arial" w:hAnsi="Arial" w:cs="Arial"/>
          <w:sz w:val="22"/>
          <w:szCs w:val="22"/>
          <w:lang w:val="es-ES_tradnl" w:eastAsia="ar-SA"/>
        </w:rPr>
        <w:t>a publicación de la STS núm. 628/2015</w:t>
      </w:r>
      <w:r w:rsidR="00E93AE9" w:rsidRPr="00865FB3">
        <w:rPr>
          <w:rFonts w:ascii="Arial" w:hAnsi="Arial" w:cs="Arial"/>
          <w:sz w:val="22"/>
          <w:szCs w:val="22"/>
          <w:lang w:val="es-ES_tradnl" w:eastAsia="ar-SA"/>
        </w:rPr>
        <w:t xml:space="preserve">, que fue con posterioridad a la suscripción del contrato, y </w:t>
      </w:r>
      <w:r w:rsidR="00972DFB" w:rsidRPr="00865FB3">
        <w:rPr>
          <w:rFonts w:ascii="Arial" w:hAnsi="Arial" w:cs="Arial"/>
          <w:sz w:val="22"/>
          <w:szCs w:val="22"/>
          <w:lang w:val="es-ES_tradnl" w:eastAsia="ar-SA"/>
        </w:rPr>
        <w:t>antes del trascurso del plazo de prescripción para las cantidades abonadas</w:t>
      </w:r>
      <w:r w:rsidR="00E93AE9" w:rsidRPr="00865FB3">
        <w:rPr>
          <w:rFonts w:ascii="Arial" w:hAnsi="Arial" w:cs="Arial"/>
          <w:sz w:val="22"/>
          <w:szCs w:val="22"/>
          <w:lang w:val="es-ES_tradnl" w:eastAsia="ar-SA"/>
        </w:rPr>
        <w:t>,</w:t>
      </w:r>
      <w:r w:rsidR="00972DFB" w:rsidRPr="00865FB3">
        <w:rPr>
          <w:rFonts w:ascii="Arial" w:hAnsi="Arial" w:cs="Arial"/>
          <w:sz w:val="22"/>
          <w:szCs w:val="22"/>
          <w:lang w:val="es-ES_tradnl" w:eastAsia="ar-SA"/>
        </w:rPr>
        <w:t xml:space="preserve"> permitió conocer a los clientes sus derechos “</w:t>
      </w:r>
      <w:r w:rsidR="00972DFB" w:rsidRPr="00865FB3">
        <w:rPr>
          <w:rFonts w:ascii="Arial" w:hAnsi="Arial" w:cs="Arial"/>
          <w:i/>
          <w:sz w:val="22"/>
          <w:szCs w:val="22"/>
          <w:lang w:val="es-ES_tradnl" w:eastAsia="ar-SA"/>
        </w:rPr>
        <w:t>antes de que expirase</w:t>
      </w:r>
      <w:r w:rsidR="00972DFB" w:rsidRPr="00865FB3">
        <w:rPr>
          <w:rFonts w:ascii="Arial" w:hAnsi="Arial" w:cs="Arial"/>
          <w:sz w:val="22"/>
          <w:szCs w:val="22"/>
          <w:lang w:val="es-ES_tradnl" w:eastAsia="ar-SA"/>
        </w:rPr>
        <w:t>” el plazo de prescripción (que, por lo demás, era de 15 años con anterioridad a la reforma del art. 1964 CC y es inusualmente fácil de interrumpir en el Derecho comparado</w:t>
      </w:r>
      <w:r w:rsidR="00972DFB" w:rsidRPr="00865FB3">
        <w:rPr>
          <w:rFonts w:ascii="Arial" w:hAnsi="Arial" w:cs="Arial"/>
          <w:sz w:val="22"/>
          <w:szCs w:val="22"/>
          <w:vertAlign w:val="superscript"/>
          <w:lang w:val="es-ES_tradnl" w:eastAsia="ar-SA"/>
        </w:rPr>
        <w:footnoteReference w:id="15"/>
      </w:r>
      <w:r w:rsidR="00972DFB" w:rsidRPr="00865FB3">
        <w:rPr>
          <w:rFonts w:ascii="Arial" w:hAnsi="Arial" w:cs="Arial"/>
          <w:sz w:val="22"/>
          <w:szCs w:val="22"/>
          <w:lang w:val="es-ES_tradnl" w:eastAsia="ar-SA"/>
        </w:rPr>
        <w:t xml:space="preserve">). </w:t>
      </w:r>
      <w:r w:rsidR="00972DFB" w:rsidRPr="00865FB3">
        <w:rPr>
          <w:rFonts w:ascii="Arial" w:hAnsi="Arial" w:cs="Arial"/>
          <w:sz w:val="22"/>
          <w:szCs w:val="22"/>
        </w:rPr>
        <w:t>Y ello, porque tras la publicación de esta sentencia, que tuvo lugar el 30 de noviembre de 2015</w:t>
      </w:r>
      <w:r w:rsidR="00972DFB" w:rsidRPr="00865FB3">
        <w:rPr>
          <w:rFonts w:ascii="Arial" w:hAnsi="Arial" w:cs="Arial"/>
          <w:sz w:val="22"/>
          <w:szCs w:val="22"/>
          <w:vertAlign w:val="superscript"/>
        </w:rPr>
        <w:footnoteReference w:id="16"/>
      </w:r>
      <w:r w:rsidR="00972DFB" w:rsidRPr="00865FB3">
        <w:rPr>
          <w:rFonts w:ascii="Arial" w:hAnsi="Arial" w:cs="Arial"/>
          <w:sz w:val="22"/>
          <w:szCs w:val="22"/>
        </w:rPr>
        <w:t xml:space="preserve"> (aunque fue difundida incluso antes de esa fecha por alguna asociación de consumidores</w:t>
      </w:r>
      <w:r w:rsidR="00972DFB" w:rsidRPr="00865FB3">
        <w:rPr>
          <w:rFonts w:ascii="Arial" w:hAnsi="Arial" w:cs="Arial"/>
          <w:sz w:val="22"/>
          <w:szCs w:val="22"/>
          <w:vertAlign w:val="superscript"/>
        </w:rPr>
        <w:footnoteReference w:id="17"/>
      </w:r>
      <w:r w:rsidR="00972DFB" w:rsidRPr="00865FB3">
        <w:rPr>
          <w:rFonts w:ascii="Arial" w:hAnsi="Arial" w:cs="Arial"/>
          <w:sz w:val="22"/>
          <w:szCs w:val="22"/>
        </w:rPr>
        <w:t>) y de la que informaron distintos medios de comunicación</w:t>
      </w:r>
      <w:r w:rsidR="00972DFB" w:rsidRPr="00865FB3">
        <w:rPr>
          <w:rFonts w:ascii="Arial" w:hAnsi="Arial" w:cs="Arial"/>
          <w:sz w:val="22"/>
          <w:szCs w:val="22"/>
          <w:vertAlign w:val="superscript"/>
        </w:rPr>
        <w:footnoteReference w:id="18"/>
      </w:r>
      <w:r w:rsidR="00972DFB" w:rsidRPr="00865FB3">
        <w:rPr>
          <w:rFonts w:ascii="Arial" w:hAnsi="Arial" w:cs="Arial"/>
          <w:sz w:val="22"/>
          <w:szCs w:val="22"/>
        </w:rPr>
        <w:t>, así como el Banco de España</w:t>
      </w:r>
      <w:r w:rsidR="00972DFB" w:rsidRPr="00865FB3">
        <w:rPr>
          <w:rFonts w:ascii="Arial" w:hAnsi="Arial" w:cs="Arial"/>
          <w:sz w:val="22"/>
          <w:szCs w:val="22"/>
          <w:vertAlign w:val="superscript"/>
        </w:rPr>
        <w:footnoteReference w:id="19"/>
      </w:r>
      <w:r w:rsidR="00972DFB" w:rsidRPr="00865FB3">
        <w:rPr>
          <w:rFonts w:ascii="Arial" w:hAnsi="Arial" w:cs="Arial"/>
          <w:sz w:val="22"/>
          <w:szCs w:val="22"/>
        </w:rPr>
        <w:t xml:space="preserve">, el consumidor medio debía o podía conocer, razonablemente, el posible carácter usurario o la posible falta de transparencia y </w:t>
      </w:r>
      <w:proofErr w:type="spellStart"/>
      <w:r w:rsidR="00972DFB" w:rsidRPr="00865FB3">
        <w:rPr>
          <w:rFonts w:ascii="Arial" w:hAnsi="Arial" w:cs="Arial"/>
          <w:sz w:val="22"/>
          <w:szCs w:val="22"/>
        </w:rPr>
        <w:t>abusividad</w:t>
      </w:r>
      <w:proofErr w:type="spellEnd"/>
      <w:r w:rsidR="00972DFB" w:rsidRPr="00865FB3">
        <w:rPr>
          <w:rFonts w:ascii="Arial" w:hAnsi="Arial" w:cs="Arial"/>
          <w:sz w:val="22"/>
          <w:szCs w:val="22"/>
        </w:rPr>
        <w:t xml:space="preserve"> del interés remuneratorio de su contrato de tarjeta. Nótese, por ejemplo, la relevancia en el plano del conocimiento generalizado para los consumidores que supuso la difusión dada por la radio televisión pública española y por ASUFIN:</w:t>
      </w:r>
    </w:p>
    <w:p w14:paraId="02594D49" w14:textId="77777777" w:rsidR="00972DFB" w:rsidRPr="00865FB3" w:rsidRDefault="00972DFB" w:rsidP="00865FB3">
      <w:pPr>
        <w:widowControl w:val="0"/>
        <w:spacing w:after="240" w:line="360" w:lineRule="auto"/>
        <w:rPr>
          <w:rFonts w:ascii="Arial" w:hAnsi="Arial" w:cs="Arial"/>
          <w:sz w:val="22"/>
          <w:szCs w:val="22"/>
        </w:rPr>
      </w:pPr>
      <w:r w:rsidRPr="00865FB3">
        <w:rPr>
          <w:rFonts w:ascii="Arial" w:hAnsi="Arial" w:cs="Arial"/>
          <w:noProof/>
          <w:sz w:val="22"/>
          <w:szCs w:val="22"/>
          <w:lang w:eastAsia="es-ES"/>
        </w:rPr>
        <w:lastRenderedPageBreak/>
        <w:drawing>
          <wp:inline distT="0" distB="0" distL="0" distR="0" wp14:anchorId="26DBE7EF" wp14:editId="3DD64DBA">
            <wp:extent cx="5082746" cy="2127804"/>
            <wp:effectExtent l="0" t="0" r="3810" b="6350"/>
            <wp:docPr id="5" name="Imagen 5"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nterfaz de usuario gráfica, Texto, Aplicación&#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93496" cy="2132304"/>
                    </a:xfrm>
                    <a:prstGeom prst="rect">
                      <a:avLst/>
                    </a:prstGeom>
                  </pic:spPr>
                </pic:pic>
              </a:graphicData>
            </a:graphic>
          </wp:inline>
        </w:drawing>
      </w:r>
    </w:p>
    <w:p w14:paraId="50B04406" w14:textId="250E0C61" w:rsidR="00703D59" w:rsidRPr="00865FB3" w:rsidRDefault="00972DFB" w:rsidP="00865FB3">
      <w:pPr>
        <w:widowControl w:val="0"/>
        <w:spacing w:after="240" w:line="360" w:lineRule="auto"/>
        <w:rPr>
          <w:rFonts w:ascii="Arial" w:hAnsi="Arial" w:cs="Arial"/>
          <w:sz w:val="22"/>
          <w:szCs w:val="22"/>
        </w:rPr>
      </w:pPr>
      <w:r w:rsidRPr="00865FB3">
        <w:rPr>
          <w:rFonts w:ascii="Arial" w:hAnsi="Arial" w:cs="Arial"/>
          <w:noProof/>
          <w:sz w:val="22"/>
          <w:szCs w:val="22"/>
          <w:lang w:eastAsia="es-ES"/>
        </w:rPr>
        <w:drawing>
          <wp:inline distT="0" distB="0" distL="0" distR="0" wp14:anchorId="6604DD50" wp14:editId="1705A5A9">
            <wp:extent cx="5206314" cy="3620884"/>
            <wp:effectExtent l="0" t="0" r="0" b="0"/>
            <wp:docPr id="6" name="Imagen 6"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nterfaz de usuario gráfica, Sitio web&#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16729" cy="3628128"/>
                    </a:xfrm>
                    <a:prstGeom prst="rect">
                      <a:avLst/>
                    </a:prstGeom>
                  </pic:spPr>
                </pic:pic>
              </a:graphicData>
            </a:graphic>
          </wp:inline>
        </w:drawing>
      </w:r>
    </w:p>
    <w:p w14:paraId="2EA9AC09" w14:textId="09DDD3A2" w:rsidR="00972DFB" w:rsidRPr="00865FB3" w:rsidRDefault="00972DFB" w:rsidP="00865FB3">
      <w:pPr>
        <w:widowControl w:val="0"/>
        <w:numPr>
          <w:ilvl w:val="0"/>
          <w:numId w:val="5"/>
        </w:numPr>
        <w:spacing w:after="240" w:line="360" w:lineRule="auto"/>
        <w:ind w:left="0" w:hanging="851"/>
        <w:rPr>
          <w:rFonts w:ascii="Arial" w:hAnsi="Arial" w:cs="Arial"/>
          <w:sz w:val="22"/>
          <w:szCs w:val="22"/>
        </w:rPr>
      </w:pPr>
      <w:r w:rsidRPr="00865FB3">
        <w:rPr>
          <w:rFonts w:ascii="Arial" w:hAnsi="Arial" w:cs="Arial"/>
          <w:sz w:val="22"/>
          <w:szCs w:val="22"/>
        </w:rPr>
        <w:t xml:space="preserve">No debe olvidarse que la STS núm. 628/2015, de 25 de noviembre dio lugar a una litigación masiva en la que, con carácter general, se solicitaba no solo la declaración de nulidad por usura de los contratos de tarjeta </w:t>
      </w:r>
      <w:proofErr w:type="spellStart"/>
      <w:r w:rsidRPr="00865FB3">
        <w:rPr>
          <w:rFonts w:ascii="Arial" w:hAnsi="Arial" w:cs="Arial"/>
          <w:i/>
          <w:sz w:val="22"/>
          <w:szCs w:val="22"/>
        </w:rPr>
        <w:t>revolving</w:t>
      </w:r>
      <w:proofErr w:type="spellEnd"/>
      <w:r w:rsidRPr="00865FB3">
        <w:rPr>
          <w:rFonts w:ascii="Arial" w:hAnsi="Arial" w:cs="Arial"/>
          <w:sz w:val="22"/>
          <w:szCs w:val="22"/>
        </w:rPr>
        <w:t xml:space="preserve">, sino también la nulidad por falta de transparencia y </w:t>
      </w:r>
      <w:proofErr w:type="spellStart"/>
      <w:r w:rsidRPr="00865FB3">
        <w:rPr>
          <w:rFonts w:ascii="Arial" w:hAnsi="Arial" w:cs="Arial"/>
          <w:sz w:val="22"/>
          <w:szCs w:val="22"/>
        </w:rPr>
        <w:t>abusividad</w:t>
      </w:r>
      <w:proofErr w:type="spellEnd"/>
      <w:r w:rsidRPr="00865FB3">
        <w:rPr>
          <w:rFonts w:ascii="Arial" w:hAnsi="Arial" w:cs="Arial"/>
          <w:sz w:val="22"/>
          <w:szCs w:val="22"/>
        </w:rPr>
        <w:t xml:space="preserve"> de las cláusulas que establecen el interés remuneratorio de estos contratos. </w:t>
      </w:r>
    </w:p>
    <w:p w14:paraId="3E39A418" w14:textId="0146FA1A" w:rsidR="00972DFB" w:rsidRPr="00865FB3" w:rsidRDefault="00972DFB" w:rsidP="00865FB3">
      <w:pPr>
        <w:widowControl w:val="0"/>
        <w:numPr>
          <w:ilvl w:val="0"/>
          <w:numId w:val="5"/>
        </w:numPr>
        <w:spacing w:after="240" w:line="360" w:lineRule="auto"/>
        <w:ind w:left="0" w:hanging="851"/>
        <w:rPr>
          <w:rFonts w:ascii="Arial" w:hAnsi="Arial" w:cs="Arial"/>
          <w:sz w:val="22"/>
          <w:szCs w:val="22"/>
        </w:rPr>
      </w:pPr>
      <w:r w:rsidRPr="00865FB3">
        <w:rPr>
          <w:rFonts w:ascii="Arial" w:eastAsiaTheme="majorEastAsia" w:hAnsi="Arial" w:cs="Arial"/>
          <w:sz w:val="22"/>
          <w:szCs w:val="22"/>
        </w:rPr>
        <w:t xml:space="preserve">Estas circunstancias alejan la litigación en materia de usura y falta de transparencia en contratos de tarjeta de pago aplazado y </w:t>
      </w:r>
      <w:proofErr w:type="spellStart"/>
      <w:r w:rsidRPr="00865FB3">
        <w:rPr>
          <w:rFonts w:ascii="Arial" w:eastAsiaTheme="majorEastAsia" w:hAnsi="Arial" w:cs="Arial"/>
          <w:sz w:val="22"/>
          <w:szCs w:val="22"/>
        </w:rPr>
        <w:t>revolving</w:t>
      </w:r>
      <w:proofErr w:type="spellEnd"/>
      <w:r w:rsidRPr="00865FB3">
        <w:rPr>
          <w:rFonts w:ascii="Arial" w:eastAsiaTheme="majorEastAsia" w:hAnsi="Arial" w:cs="Arial"/>
          <w:sz w:val="22"/>
          <w:szCs w:val="22"/>
        </w:rPr>
        <w:t xml:space="preserve"> de los casos relativos a la </w:t>
      </w:r>
      <w:proofErr w:type="spellStart"/>
      <w:r w:rsidRPr="00865FB3">
        <w:rPr>
          <w:rFonts w:ascii="Arial" w:eastAsiaTheme="majorEastAsia" w:hAnsi="Arial" w:cs="Arial"/>
          <w:sz w:val="22"/>
          <w:szCs w:val="22"/>
        </w:rPr>
        <w:t>abusividad</w:t>
      </w:r>
      <w:proofErr w:type="spellEnd"/>
      <w:r w:rsidRPr="00865FB3">
        <w:rPr>
          <w:rFonts w:ascii="Arial" w:eastAsiaTheme="majorEastAsia" w:hAnsi="Arial" w:cs="Arial"/>
          <w:sz w:val="22"/>
          <w:szCs w:val="22"/>
        </w:rPr>
        <w:t xml:space="preserve"> de la cláusula de gastos hipotecarios. Recuérdese que, en este segundo grupo de casos, el Auto del Tribunal Supremo de 22 de julio de 2021 parece inclinarse porque el </w:t>
      </w:r>
      <w:proofErr w:type="spellStart"/>
      <w:r w:rsidRPr="00865FB3">
        <w:rPr>
          <w:rFonts w:ascii="Arial" w:eastAsiaTheme="majorEastAsia" w:hAnsi="Arial" w:cs="Arial"/>
          <w:i/>
          <w:sz w:val="22"/>
          <w:szCs w:val="22"/>
        </w:rPr>
        <w:t>dies</w:t>
      </w:r>
      <w:proofErr w:type="spellEnd"/>
      <w:r w:rsidRPr="00865FB3">
        <w:rPr>
          <w:rFonts w:ascii="Arial" w:eastAsiaTheme="majorEastAsia" w:hAnsi="Arial" w:cs="Arial"/>
          <w:i/>
          <w:sz w:val="22"/>
          <w:szCs w:val="22"/>
        </w:rPr>
        <w:t xml:space="preserve"> a quo</w:t>
      </w:r>
      <w:r w:rsidRPr="00865FB3">
        <w:rPr>
          <w:rFonts w:ascii="Arial" w:eastAsiaTheme="majorEastAsia" w:hAnsi="Arial" w:cs="Arial"/>
          <w:sz w:val="22"/>
          <w:szCs w:val="22"/>
        </w:rPr>
        <w:t xml:space="preserve"> del plazo </w:t>
      </w:r>
      <w:r w:rsidRPr="00865FB3">
        <w:rPr>
          <w:rFonts w:ascii="Arial" w:eastAsiaTheme="majorEastAsia" w:hAnsi="Arial" w:cs="Arial"/>
          <w:sz w:val="22"/>
          <w:szCs w:val="22"/>
        </w:rPr>
        <w:lastRenderedPageBreak/>
        <w:t>de prescripción de la acción restitutoria debe fijarse en la publicación de las cinco Sentencias del Tribunal Supremo de 23 de enero de 2019, porque son estas las que por primera vez determinaron los efectos de la declaración de nulidad de la cláusula de gastos y qué gastos, en particular, debían ser restituidos a los prestatarios, mientras que la Sentencia núm. 705/2015 de 23 de diciembre de 2015 no aclaró estos extremos. Esto no sucede con la STS núm. 628/2015, de 25 de noviembre, tras la cual los efectos de la calificación del contrato de crédito como usurario estaban claros.</w:t>
      </w:r>
    </w:p>
    <w:p w14:paraId="1AF5599E" w14:textId="70B4E8D3" w:rsidR="0001017F" w:rsidRPr="00865FB3" w:rsidRDefault="0001017F" w:rsidP="00865FB3">
      <w:pPr>
        <w:widowControl w:val="0"/>
        <w:numPr>
          <w:ilvl w:val="0"/>
          <w:numId w:val="5"/>
        </w:numPr>
        <w:spacing w:after="240" w:line="360" w:lineRule="auto"/>
        <w:ind w:left="0" w:hanging="851"/>
        <w:rPr>
          <w:rFonts w:ascii="Arial" w:hAnsi="Arial" w:cs="Arial"/>
          <w:sz w:val="22"/>
          <w:szCs w:val="22"/>
        </w:rPr>
      </w:pPr>
      <w:r w:rsidRPr="00865FB3">
        <w:rPr>
          <w:rFonts w:ascii="Arial" w:eastAsiaTheme="majorEastAsia" w:hAnsi="Arial" w:cs="Arial"/>
          <w:sz w:val="22"/>
          <w:szCs w:val="22"/>
        </w:rPr>
        <w:t xml:space="preserve">Así las cosas, desde el 30 de noviembre de 2015 (fecha de publicación de la </w:t>
      </w:r>
      <w:r w:rsidR="00856FB5" w:rsidRPr="00865FB3">
        <w:rPr>
          <w:rFonts w:ascii="Arial" w:hAnsi="Arial" w:cs="Arial"/>
          <w:sz w:val="22"/>
          <w:szCs w:val="22"/>
          <w:lang w:val="es-ES_tradnl" w:eastAsia="ar-SA"/>
        </w:rPr>
        <w:t>STS núm. 628/2015</w:t>
      </w:r>
      <w:r w:rsidRPr="00865FB3">
        <w:rPr>
          <w:rFonts w:ascii="Arial" w:eastAsiaTheme="majorEastAsia" w:hAnsi="Arial" w:cs="Arial"/>
          <w:sz w:val="22"/>
          <w:szCs w:val="22"/>
        </w:rPr>
        <w:t xml:space="preserve">), la Recurrente ha </w:t>
      </w:r>
      <w:r w:rsidR="008A1675" w:rsidRPr="00865FB3">
        <w:rPr>
          <w:rFonts w:ascii="Arial" w:eastAsiaTheme="majorEastAsia" w:hAnsi="Arial" w:cs="Arial"/>
          <w:sz w:val="22"/>
          <w:szCs w:val="22"/>
        </w:rPr>
        <w:t>tenido oportunidad de reclamar dichos intereses</w:t>
      </w:r>
      <w:r w:rsidR="00401498" w:rsidRPr="00865FB3">
        <w:rPr>
          <w:rFonts w:ascii="Arial" w:eastAsiaTheme="majorEastAsia" w:hAnsi="Arial" w:cs="Arial"/>
          <w:sz w:val="22"/>
          <w:szCs w:val="22"/>
        </w:rPr>
        <w:t xml:space="preserve"> hasta el </w:t>
      </w:r>
      <w:r w:rsidR="00F40451" w:rsidRPr="00865FB3">
        <w:rPr>
          <w:rFonts w:ascii="Arial" w:eastAsiaTheme="majorEastAsia" w:hAnsi="Arial" w:cs="Arial"/>
          <w:sz w:val="22"/>
          <w:szCs w:val="22"/>
        </w:rPr>
        <w:t>20 de febrero de 2021</w:t>
      </w:r>
      <w:r w:rsidR="00401498" w:rsidRPr="00865FB3">
        <w:rPr>
          <w:rFonts w:ascii="Arial" w:eastAsiaTheme="majorEastAsia" w:hAnsi="Arial" w:cs="Arial"/>
          <w:sz w:val="22"/>
          <w:szCs w:val="22"/>
        </w:rPr>
        <w:t xml:space="preserve">, esto es, durante 5 años más 82 días </w:t>
      </w:r>
      <w:r w:rsidR="00401498" w:rsidRPr="00865FB3">
        <w:rPr>
          <w:rFonts w:ascii="Arial" w:hAnsi="Arial" w:cs="Arial"/>
          <w:sz w:val="22"/>
          <w:szCs w:val="22"/>
        </w:rPr>
        <w:t>por la suspensión de los plazos de prescripción establecida por el Real Decreto 463/2020, de 14 de marzo.</w:t>
      </w:r>
    </w:p>
    <w:p w14:paraId="2BD8D54E" w14:textId="3F7B42F6" w:rsidR="00972DFB" w:rsidRPr="00865FB3" w:rsidRDefault="00972DFB" w:rsidP="00865FB3">
      <w:pPr>
        <w:widowControl w:val="0"/>
        <w:numPr>
          <w:ilvl w:val="0"/>
          <w:numId w:val="5"/>
        </w:numPr>
        <w:spacing w:after="240" w:line="360" w:lineRule="auto"/>
        <w:ind w:left="0" w:hanging="851"/>
        <w:rPr>
          <w:rFonts w:ascii="Arial" w:hAnsi="Arial" w:cs="Arial"/>
          <w:sz w:val="22"/>
          <w:szCs w:val="22"/>
          <w:lang w:val="es-ES_tradnl" w:eastAsia="ar-SA"/>
        </w:rPr>
      </w:pPr>
      <w:r w:rsidRPr="00865FB3">
        <w:rPr>
          <w:rFonts w:ascii="Arial" w:hAnsi="Arial" w:cs="Arial"/>
          <w:sz w:val="22"/>
          <w:szCs w:val="22"/>
          <w:lang w:val="es-ES_tradnl" w:eastAsia="ar-SA"/>
        </w:rPr>
        <w:t>Por todo lo anterior, debe concluirse necesariamente que</w:t>
      </w:r>
      <w:r w:rsidR="00401498" w:rsidRPr="00865FB3">
        <w:rPr>
          <w:rFonts w:ascii="Arial" w:hAnsi="Arial" w:cs="Arial"/>
          <w:sz w:val="22"/>
          <w:szCs w:val="22"/>
          <w:lang w:val="es-ES_tradnl" w:eastAsia="ar-SA"/>
        </w:rPr>
        <w:t xml:space="preserve"> </w:t>
      </w:r>
      <w:r w:rsidR="005D79C5" w:rsidRPr="00865FB3">
        <w:rPr>
          <w:rFonts w:ascii="Arial" w:hAnsi="Arial" w:cs="Arial"/>
          <w:sz w:val="22"/>
          <w:szCs w:val="22"/>
          <w:lang w:val="es-ES_tradnl" w:eastAsia="ar-SA"/>
        </w:rPr>
        <w:t xml:space="preserve">en el momento en el que la Recurrente </w:t>
      </w:r>
      <w:r w:rsidR="007511C6" w:rsidRPr="00865FB3">
        <w:rPr>
          <w:rFonts w:ascii="Arial" w:hAnsi="Arial" w:cs="Arial"/>
          <w:sz w:val="22"/>
          <w:szCs w:val="22"/>
          <w:lang w:val="es-ES_tradnl" w:eastAsia="ar-SA"/>
        </w:rPr>
        <w:t>presentó la</w:t>
      </w:r>
      <w:r w:rsidR="00401498" w:rsidRPr="00865FB3">
        <w:rPr>
          <w:rFonts w:ascii="Arial" w:hAnsi="Arial" w:cs="Arial"/>
          <w:sz w:val="22"/>
          <w:szCs w:val="22"/>
          <w:lang w:val="es-ES_tradnl" w:eastAsia="ar-SA"/>
        </w:rPr>
        <w:t xml:space="preserve"> reclamación extrajudicial</w:t>
      </w:r>
      <w:r w:rsidR="005D79C5" w:rsidRPr="00865FB3">
        <w:rPr>
          <w:rFonts w:ascii="Arial" w:hAnsi="Arial" w:cs="Arial"/>
          <w:sz w:val="22"/>
          <w:szCs w:val="22"/>
          <w:lang w:val="es-ES_tradnl" w:eastAsia="ar-SA"/>
        </w:rPr>
        <w:t>, esto es, el</w:t>
      </w:r>
      <w:r w:rsidR="0059193A" w:rsidRPr="00865FB3">
        <w:rPr>
          <w:rFonts w:ascii="Arial" w:hAnsi="Arial" w:cs="Arial"/>
          <w:sz w:val="22"/>
          <w:szCs w:val="22"/>
        </w:rPr>
        <w:t xml:space="preserve"> </w:t>
      </w:r>
      <w:r w:rsidR="0059193A" w:rsidRPr="00865FB3">
        <w:rPr>
          <w:rFonts w:ascii="Arial" w:hAnsi="Arial" w:cs="Arial"/>
          <w:sz w:val="22"/>
          <w:szCs w:val="22"/>
          <w:highlight w:val="yellow"/>
        </w:rPr>
        <w:t>13 de junio de 2021</w:t>
      </w:r>
      <w:r w:rsidR="0059193A" w:rsidRPr="00865FB3">
        <w:rPr>
          <w:rStyle w:val="Refdenotaalpie"/>
          <w:rFonts w:ascii="Arial" w:hAnsi="Arial" w:cs="Arial"/>
          <w:sz w:val="22"/>
          <w:szCs w:val="22"/>
          <w:highlight w:val="yellow"/>
        </w:rPr>
        <w:footnoteReference w:id="20"/>
      </w:r>
      <w:r w:rsidR="0059193A" w:rsidRPr="00865FB3">
        <w:rPr>
          <w:rFonts w:ascii="Arial" w:hAnsi="Arial" w:cs="Arial"/>
          <w:sz w:val="22"/>
          <w:szCs w:val="22"/>
          <w:highlight w:val="yellow"/>
        </w:rPr>
        <w:t xml:space="preserve">, </w:t>
      </w:r>
      <w:r w:rsidR="005D79C5" w:rsidRPr="00865FB3">
        <w:rPr>
          <w:rFonts w:ascii="Arial" w:hAnsi="Arial" w:cs="Arial"/>
          <w:sz w:val="22"/>
          <w:szCs w:val="22"/>
          <w:highlight w:val="yellow"/>
        </w:rPr>
        <w:t xml:space="preserve">el plazo </w:t>
      </w:r>
      <w:r w:rsidR="00B800D5" w:rsidRPr="00865FB3">
        <w:rPr>
          <w:rFonts w:ascii="Arial" w:hAnsi="Arial" w:cs="Arial"/>
          <w:sz w:val="22"/>
          <w:szCs w:val="22"/>
          <w:highlight w:val="yellow"/>
        </w:rPr>
        <w:t>para ejercitar la acción restitutoria ya había prescrito dado que</w:t>
      </w:r>
      <w:r w:rsidR="00132D22" w:rsidRPr="00865FB3">
        <w:rPr>
          <w:rFonts w:ascii="Arial" w:hAnsi="Arial" w:cs="Arial"/>
          <w:sz w:val="22"/>
          <w:szCs w:val="22"/>
          <w:highlight w:val="yellow"/>
        </w:rPr>
        <w:t>,</w:t>
      </w:r>
      <w:r w:rsidR="00B800D5" w:rsidRPr="00865FB3">
        <w:rPr>
          <w:rFonts w:ascii="Arial" w:hAnsi="Arial" w:cs="Arial"/>
          <w:sz w:val="22"/>
          <w:szCs w:val="22"/>
          <w:highlight w:val="yellow"/>
        </w:rPr>
        <w:t xml:space="preserve"> desde la Sentencia de 25 de noviembre, si </w:t>
      </w:r>
      <w:r w:rsidR="00132D22" w:rsidRPr="00865FB3">
        <w:rPr>
          <w:rFonts w:ascii="Arial" w:hAnsi="Arial" w:cs="Arial"/>
          <w:sz w:val="22"/>
          <w:szCs w:val="22"/>
          <w:highlight w:val="yellow"/>
        </w:rPr>
        <w:t>añadimos</w:t>
      </w:r>
      <w:r w:rsidR="00B800D5" w:rsidRPr="00865FB3">
        <w:rPr>
          <w:rFonts w:ascii="Arial" w:hAnsi="Arial" w:cs="Arial"/>
          <w:sz w:val="22"/>
          <w:szCs w:val="22"/>
          <w:highlight w:val="yellow"/>
        </w:rPr>
        <w:t xml:space="preserve"> 5 años más 82 días, la reclamación </w:t>
      </w:r>
      <w:r w:rsidR="00F07E2D" w:rsidRPr="00865FB3">
        <w:rPr>
          <w:rFonts w:ascii="Arial" w:hAnsi="Arial" w:cs="Arial"/>
          <w:sz w:val="22"/>
          <w:szCs w:val="22"/>
          <w:highlight w:val="yellow"/>
        </w:rPr>
        <w:t>extrajudicial</w:t>
      </w:r>
      <w:r w:rsidR="00132D22" w:rsidRPr="00865FB3">
        <w:rPr>
          <w:rFonts w:ascii="Arial" w:hAnsi="Arial" w:cs="Arial"/>
          <w:sz w:val="22"/>
          <w:szCs w:val="22"/>
          <w:highlight w:val="yellow"/>
        </w:rPr>
        <w:t xml:space="preserve"> interpuesta en fecha </w:t>
      </w:r>
      <w:r w:rsidR="00FD6690" w:rsidRPr="00865FB3">
        <w:rPr>
          <w:rFonts w:ascii="Arial" w:hAnsi="Arial" w:cs="Arial"/>
          <w:sz w:val="22"/>
          <w:szCs w:val="22"/>
          <w:highlight w:val="yellow"/>
        </w:rPr>
        <w:t xml:space="preserve">13 de junio de 2021 </w:t>
      </w:r>
      <w:r w:rsidR="000E5DA5" w:rsidRPr="00865FB3">
        <w:rPr>
          <w:rFonts w:ascii="Arial" w:hAnsi="Arial" w:cs="Arial"/>
          <w:sz w:val="22"/>
          <w:szCs w:val="22"/>
          <w:highlight w:val="yellow"/>
        </w:rPr>
        <w:t xml:space="preserve">llegaría tarde a los efectos </w:t>
      </w:r>
      <w:proofErr w:type="spellStart"/>
      <w:r w:rsidR="000E5DA5" w:rsidRPr="00865FB3">
        <w:rPr>
          <w:rFonts w:ascii="Arial" w:hAnsi="Arial" w:cs="Arial"/>
          <w:sz w:val="22"/>
          <w:szCs w:val="22"/>
          <w:highlight w:val="yellow"/>
        </w:rPr>
        <w:t>interruptivos</w:t>
      </w:r>
      <w:proofErr w:type="spellEnd"/>
      <w:r w:rsidR="000E5DA5" w:rsidRPr="00865FB3">
        <w:rPr>
          <w:rFonts w:ascii="Arial" w:hAnsi="Arial" w:cs="Arial"/>
          <w:sz w:val="22"/>
          <w:szCs w:val="22"/>
          <w:highlight w:val="yellow"/>
        </w:rPr>
        <w:t>.</w:t>
      </w:r>
    </w:p>
    <w:bookmarkEnd w:id="2"/>
    <w:p w14:paraId="110312BF" w14:textId="27452421" w:rsidR="00685BBB" w:rsidRPr="00865FB3" w:rsidRDefault="00864175" w:rsidP="00865FB3">
      <w:pPr>
        <w:pStyle w:val="Prrafodelista"/>
        <w:widowControl w:val="0"/>
        <w:spacing w:after="240" w:line="360" w:lineRule="auto"/>
        <w:ind w:left="0"/>
        <w:rPr>
          <w:rFonts w:ascii="Arial" w:eastAsiaTheme="majorEastAsia" w:hAnsi="Arial" w:cs="Arial"/>
          <w:b/>
          <w:bCs/>
          <w:caps/>
          <w:sz w:val="22"/>
          <w:szCs w:val="22"/>
          <w:lang w:val="es-ES_tradnl"/>
        </w:rPr>
      </w:pPr>
      <w:r w:rsidRPr="00865FB3">
        <w:rPr>
          <w:rFonts w:ascii="Arial" w:eastAsiaTheme="majorEastAsia" w:hAnsi="Arial" w:cs="Arial"/>
          <w:b/>
          <w:bCs/>
          <w:caps/>
          <w:sz w:val="22"/>
          <w:szCs w:val="22"/>
          <w:u w:val="single"/>
          <w:lang w:val="es-ES_tradnl"/>
        </w:rPr>
        <w:t>CUARTO</w:t>
      </w:r>
      <w:r w:rsidR="008D7CAE" w:rsidRPr="00865FB3">
        <w:rPr>
          <w:rFonts w:ascii="Arial" w:eastAsiaTheme="majorEastAsia" w:hAnsi="Arial" w:cs="Arial"/>
          <w:b/>
          <w:bCs/>
          <w:caps/>
          <w:sz w:val="22"/>
          <w:szCs w:val="22"/>
          <w:lang w:val="es-ES_tradnl"/>
        </w:rPr>
        <w:t>.</w:t>
      </w:r>
      <w:r w:rsidR="00D96C2F" w:rsidRPr="00865FB3">
        <w:rPr>
          <w:rFonts w:ascii="Arial" w:eastAsiaTheme="majorEastAsia" w:hAnsi="Arial" w:cs="Arial"/>
          <w:b/>
          <w:bCs/>
          <w:caps/>
          <w:sz w:val="22"/>
          <w:szCs w:val="22"/>
          <w:lang w:val="es-ES_tradnl"/>
        </w:rPr>
        <w:t xml:space="preserve"> </w:t>
      </w:r>
      <w:r w:rsidR="003B00B8" w:rsidRPr="00865FB3">
        <w:rPr>
          <w:rFonts w:ascii="Arial" w:eastAsiaTheme="majorEastAsia" w:hAnsi="Arial" w:cs="Arial"/>
          <w:b/>
          <w:bCs/>
          <w:caps/>
          <w:sz w:val="22"/>
          <w:szCs w:val="22"/>
          <w:lang w:val="es-ES_tradnl"/>
        </w:rPr>
        <w:t>–</w:t>
      </w:r>
      <w:r w:rsidR="00D96C2F" w:rsidRPr="00865FB3">
        <w:rPr>
          <w:rFonts w:ascii="Arial" w:eastAsiaTheme="majorEastAsia" w:hAnsi="Arial" w:cs="Arial"/>
          <w:b/>
          <w:bCs/>
          <w:caps/>
          <w:sz w:val="22"/>
          <w:szCs w:val="22"/>
          <w:lang w:val="es-ES_tradnl"/>
        </w:rPr>
        <w:t xml:space="preserve"> </w:t>
      </w:r>
      <w:r w:rsidR="00262FF9" w:rsidRPr="00865FB3">
        <w:rPr>
          <w:rFonts w:ascii="Arial" w:eastAsiaTheme="majorEastAsia" w:hAnsi="Arial" w:cs="Arial"/>
          <w:b/>
          <w:bCs/>
          <w:caps/>
          <w:sz w:val="22"/>
          <w:szCs w:val="22"/>
          <w:lang w:val="es-ES_tradnl"/>
        </w:rPr>
        <w:t>cOSTAS</w:t>
      </w:r>
    </w:p>
    <w:p w14:paraId="259D0297" w14:textId="094B8A26" w:rsidR="005E51A7" w:rsidRPr="00865FB3" w:rsidRDefault="0066136F" w:rsidP="00865FB3">
      <w:pPr>
        <w:pStyle w:val="Prrafodelista"/>
        <w:widowControl w:val="0"/>
        <w:numPr>
          <w:ilvl w:val="0"/>
          <w:numId w:val="6"/>
        </w:numPr>
        <w:spacing w:after="240" w:line="360" w:lineRule="auto"/>
        <w:ind w:left="0" w:hanging="851"/>
        <w:rPr>
          <w:rFonts w:ascii="Arial" w:hAnsi="Arial" w:cs="Arial"/>
          <w:sz w:val="22"/>
          <w:szCs w:val="22"/>
          <w:lang w:val="es-ES_tradnl" w:eastAsia="ar-SA"/>
        </w:rPr>
      </w:pPr>
      <w:r w:rsidRPr="00865FB3">
        <w:rPr>
          <w:rFonts w:ascii="Arial" w:hAnsi="Arial" w:cs="Arial"/>
          <w:sz w:val="22"/>
          <w:szCs w:val="22"/>
          <w:lang w:val="es-ES_tradnl" w:eastAsia="ar-SA"/>
        </w:rPr>
        <w:t xml:space="preserve">A la luz de lo anterior, </w:t>
      </w:r>
      <w:r w:rsidR="000D1515" w:rsidRPr="00865FB3">
        <w:rPr>
          <w:rFonts w:ascii="Arial" w:hAnsi="Arial" w:cs="Arial"/>
          <w:sz w:val="22"/>
          <w:szCs w:val="22"/>
          <w:lang w:val="es-ES_tradnl" w:eastAsia="ar-SA"/>
        </w:rPr>
        <w:t>la estimación</w:t>
      </w:r>
      <w:r w:rsidR="007719B8" w:rsidRPr="00865FB3">
        <w:rPr>
          <w:rFonts w:ascii="Arial" w:hAnsi="Arial" w:cs="Arial"/>
          <w:sz w:val="22"/>
          <w:szCs w:val="22"/>
          <w:lang w:val="es-ES_tradnl" w:eastAsia="ar-SA"/>
        </w:rPr>
        <w:t xml:space="preserve"> del presente recurso de apelación y de la acción de</w:t>
      </w:r>
      <w:r w:rsidR="000D1515" w:rsidRPr="00865FB3">
        <w:rPr>
          <w:rFonts w:ascii="Arial" w:hAnsi="Arial" w:cs="Arial"/>
          <w:sz w:val="22"/>
          <w:szCs w:val="22"/>
          <w:lang w:val="es-ES_tradnl" w:eastAsia="ar-SA"/>
        </w:rPr>
        <w:t xml:space="preserve"> prescripción</w:t>
      </w:r>
      <w:r w:rsidR="007719B8" w:rsidRPr="00865FB3">
        <w:rPr>
          <w:rFonts w:ascii="Arial" w:hAnsi="Arial" w:cs="Arial"/>
          <w:sz w:val="22"/>
          <w:szCs w:val="22"/>
          <w:lang w:val="es-ES_tradnl" w:eastAsia="ar-SA"/>
        </w:rPr>
        <w:t xml:space="preserve"> y la fijación del </w:t>
      </w:r>
      <w:proofErr w:type="spellStart"/>
      <w:r w:rsidR="007719B8" w:rsidRPr="00865FB3">
        <w:rPr>
          <w:rFonts w:ascii="Arial" w:hAnsi="Arial" w:cs="Arial"/>
          <w:i/>
          <w:iCs/>
          <w:sz w:val="22"/>
          <w:szCs w:val="22"/>
          <w:lang w:val="es-ES_tradnl" w:eastAsia="ar-SA"/>
        </w:rPr>
        <w:t>dies</w:t>
      </w:r>
      <w:proofErr w:type="spellEnd"/>
      <w:r w:rsidR="007719B8" w:rsidRPr="00865FB3">
        <w:rPr>
          <w:rFonts w:ascii="Arial" w:hAnsi="Arial" w:cs="Arial"/>
          <w:i/>
          <w:iCs/>
          <w:sz w:val="22"/>
          <w:szCs w:val="22"/>
          <w:lang w:val="es-ES_tradnl" w:eastAsia="ar-SA"/>
        </w:rPr>
        <w:t xml:space="preserve"> a quo</w:t>
      </w:r>
      <w:r w:rsidR="00764ED7" w:rsidRPr="00865FB3">
        <w:rPr>
          <w:rFonts w:ascii="Arial" w:hAnsi="Arial" w:cs="Arial"/>
          <w:i/>
          <w:iCs/>
          <w:sz w:val="22"/>
          <w:szCs w:val="22"/>
          <w:lang w:val="es-ES_tradnl" w:eastAsia="ar-SA"/>
        </w:rPr>
        <w:t xml:space="preserve"> </w:t>
      </w:r>
      <w:r w:rsidR="00764ED7" w:rsidRPr="00865FB3">
        <w:rPr>
          <w:rFonts w:ascii="Arial" w:hAnsi="Arial" w:cs="Arial"/>
          <w:sz w:val="22"/>
          <w:szCs w:val="22"/>
          <w:lang w:val="es-ES_tradnl" w:eastAsia="ar-SA"/>
        </w:rPr>
        <w:t>en el momento de cada pago</w:t>
      </w:r>
      <w:r w:rsidR="000E5DA5" w:rsidRPr="00865FB3">
        <w:rPr>
          <w:rFonts w:ascii="Arial" w:hAnsi="Arial" w:cs="Arial"/>
          <w:sz w:val="22"/>
          <w:szCs w:val="22"/>
          <w:lang w:val="es-ES_tradnl" w:eastAsia="ar-SA"/>
        </w:rPr>
        <w:t xml:space="preserve"> o subsidiariamente desde la Sentencia de 25 de noviembre</w:t>
      </w:r>
      <w:r w:rsidR="00764ED7" w:rsidRPr="00865FB3">
        <w:rPr>
          <w:rFonts w:ascii="Arial" w:hAnsi="Arial" w:cs="Arial"/>
          <w:sz w:val="22"/>
          <w:szCs w:val="22"/>
          <w:lang w:val="es-ES_tradnl" w:eastAsia="ar-SA"/>
        </w:rPr>
        <w:t>,</w:t>
      </w:r>
      <w:r w:rsidR="007719B8" w:rsidRPr="00865FB3">
        <w:rPr>
          <w:rFonts w:ascii="Arial" w:hAnsi="Arial" w:cs="Arial"/>
          <w:sz w:val="22"/>
          <w:szCs w:val="22"/>
          <w:lang w:val="es-ES_tradnl" w:eastAsia="ar-SA"/>
        </w:rPr>
        <w:t xml:space="preserve"> ha de conllevar,</w:t>
      </w:r>
      <w:r w:rsidR="0096133B" w:rsidRPr="00865FB3">
        <w:rPr>
          <w:rFonts w:ascii="Arial" w:hAnsi="Arial" w:cs="Arial"/>
          <w:sz w:val="22"/>
          <w:szCs w:val="22"/>
          <w:lang w:val="es-ES_tradnl" w:eastAsia="ar-SA"/>
        </w:rPr>
        <w:t xml:space="preserve"> en virtud del artículo 394.2 LEC, </w:t>
      </w:r>
      <w:r w:rsidR="008F1D38" w:rsidRPr="00865FB3">
        <w:rPr>
          <w:rFonts w:ascii="Arial" w:hAnsi="Arial" w:cs="Arial"/>
          <w:sz w:val="22"/>
          <w:szCs w:val="22"/>
          <w:lang w:val="es-ES_tradnl" w:eastAsia="ar-SA"/>
        </w:rPr>
        <w:t xml:space="preserve">a que la </w:t>
      </w:r>
      <w:r w:rsidR="005E51A7" w:rsidRPr="00865FB3">
        <w:rPr>
          <w:rFonts w:ascii="Arial" w:hAnsi="Arial" w:cs="Arial"/>
          <w:sz w:val="22"/>
          <w:szCs w:val="22"/>
          <w:lang w:val="es-ES_tradnl" w:eastAsia="ar-SA"/>
        </w:rPr>
        <w:t xml:space="preserve">Sentencia recurrida </w:t>
      </w:r>
      <w:r w:rsidR="00764ED7" w:rsidRPr="00865FB3">
        <w:rPr>
          <w:rFonts w:ascii="Arial" w:hAnsi="Arial" w:cs="Arial"/>
          <w:sz w:val="22"/>
          <w:szCs w:val="22"/>
          <w:lang w:val="es-ES_tradnl" w:eastAsia="ar-SA"/>
        </w:rPr>
        <w:t xml:space="preserve">no </w:t>
      </w:r>
      <w:r w:rsidR="008F1D38" w:rsidRPr="00865FB3">
        <w:rPr>
          <w:rFonts w:ascii="Arial" w:hAnsi="Arial" w:cs="Arial"/>
          <w:sz w:val="22"/>
          <w:szCs w:val="22"/>
          <w:lang w:val="es-ES_tradnl" w:eastAsia="ar-SA"/>
        </w:rPr>
        <w:t xml:space="preserve">imponga </w:t>
      </w:r>
      <w:r w:rsidR="005E51A7" w:rsidRPr="00865FB3">
        <w:rPr>
          <w:rFonts w:ascii="Arial" w:hAnsi="Arial" w:cs="Arial"/>
          <w:sz w:val="22"/>
          <w:szCs w:val="22"/>
          <w:lang w:val="es-ES_tradnl" w:eastAsia="ar-SA"/>
        </w:rPr>
        <w:t xml:space="preserve">las costas a ninguna de las partes, dado que la demanda solo </w:t>
      </w:r>
      <w:r w:rsidR="008F1D38" w:rsidRPr="00865FB3">
        <w:rPr>
          <w:rFonts w:ascii="Arial" w:hAnsi="Arial" w:cs="Arial"/>
          <w:sz w:val="22"/>
          <w:szCs w:val="22"/>
          <w:lang w:val="es-ES_tradnl" w:eastAsia="ar-SA"/>
        </w:rPr>
        <w:t xml:space="preserve">será </w:t>
      </w:r>
      <w:r w:rsidR="005E51A7" w:rsidRPr="00865FB3">
        <w:rPr>
          <w:rFonts w:ascii="Arial" w:hAnsi="Arial" w:cs="Arial"/>
          <w:sz w:val="22"/>
          <w:szCs w:val="22"/>
          <w:lang w:val="es-ES_tradnl" w:eastAsia="ar-SA"/>
        </w:rPr>
        <w:t>estimada parcialmente al prosperar la excepción de prescripción de la acci</w:t>
      </w:r>
      <w:r w:rsidR="0096133B" w:rsidRPr="00865FB3">
        <w:rPr>
          <w:rFonts w:ascii="Arial" w:hAnsi="Arial" w:cs="Arial"/>
          <w:sz w:val="22"/>
          <w:szCs w:val="22"/>
          <w:lang w:val="es-ES_tradnl" w:eastAsia="ar-SA"/>
        </w:rPr>
        <w:t>ón</w:t>
      </w:r>
      <w:r w:rsidR="005E51A7" w:rsidRPr="00865FB3">
        <w:rPr>
          <w:rFonts w:ascii="Arial" w:hAnsi="Arial" w:cs="Arial"/>
          <w:sz w:val="22"/>
          <w:szCs w:val="22"/>
          <w:lang w:val="es-ES_tradnl" w:eastAsia="ar-SA"/>
        </w:rPr>
        <w:t xml:space="preserve"> de restitución. De este modo, el pronunciamiento de costas de la Sentencia debe ser revocado. Veamos por qué.</w:t>
      </w:r>
    </w:p>
    <w:p w14:paraId="53EDA835" w14:textId="5BB5E13E" w:rsidR="005E51A7" w:rsidRPr="00865FB3" w:rsidRDefault="0096133B" w:rsidP="00865FB3">
      <w:pPr>
        <w:pStyle w:val="Prrafodelista"/>
        <w:widowControl w:val="0"/>
        <w:numPr>
          <w:ilvl w:val="0"/>
          <w:numId w:val="6"/>
        </w:numPr>
        <w:spacing w:after="240" w:line="360" w:lineRule="auto"/>
        <w:ind w:left="0" w:hanging="851"/>
        <w:rPr>
          <w:rFonts w:ascii="Arial" w:hAnsi="Arial" w:cs="Arial"/>
          <w:sz w:val="22"/>
          <w:szCs w:val="22"/>
          <w:lang w:val="es-ES_tradnl" w:eastAsia="ar-SA"/>
        </w:rPr>
      </w:pPr>
      <w:r w:rsidRPr="00865FB3">
        <w:rPr>
          <w:rFonts w:ascii="Arial" w:hAnsi="Arial" w:cs="Arial"/>
          <w:sz w:val="22"/>
          <w:szCs w:val="22"/>
          <w:lang w:val="es-ES_tradnl" w:eastAsia="ar-SA"/>
        </w:rPr>
        <w:t>L</w:t>
      </w:r>
      <w:r w:rsidR="005E51A7" w:rsidRPr="00865FB3">
        <w:rPr>
          <w:rFonts w:ascii="Arial" w:hAnsi="Arial" w:cs="Arial"/>
          <w:sz w:val="22"/>
          <w:szCs w:val="22"/>
          <w:lang w:val="es-ES_tradnl" w:eastAsia="ar-SA"/>
        </w:rPr>
        <w:t xml:space="preserve">a </w:t>
      </w:r>
      <w:r w:rsidR="002F66E9" w:rsidRPr="00865FB3">
        <w:rPr>
          <w:rFonts w:ascii="Arial" w:hAnsi="Arial" w:cs="Arial"/>
          <w:sz w:val="22"/>
          <w:szCs w:val="22"/>
          <w:lang w:val="es-ES_tradnl" w:eastAsia="ar-SA"/>
        </w:rPr>
        <w:t>revocación del pronunciamiento de la</w:t>
      </w:r>
      <w:r w:rsidR="005E51A7" w:rsidRPr="00865FB3">
        <w:rPr>
          <w:rFonts w:ascii="Arial" w:hAnsi="Arial" w:cs="Arial"/>
          <w:sz w:val="22"/>
          <w:szCs w:val="22"/>
          <w:lang w:val="es-ES_tradnl" w:eastAsia="ar-SA"/>
        </w:rPr>
        <w:t xml:space="preserve"> Sentencia recurrida </w:t>
      </w:r>
      <w:r w:rsidR="00E23D85" w:rsidRPr="00865FB3">
        <w:rPr>
          <w:rFonts w:ascii="Arial" w:hAnsi="Arial" w:cs="Arial"/>
          <w:sz w:val="22"/>
          <w:szCs w:val="22"/>
          <w:lang w:val="es-ES_tradnl" w:eastAsia="ar-SA"/>
        </w:rPr>
        <w:t xml:space="preserve">relativo </w:t>
      </w:r>
      <w:r w:rsidR="003C4644" w:rsidRPr="00865FB3">
        <w:rPr>
          <w:rFonts w:ascii="Arial" w:hAnsi="Arial" w:cs="Arial"/>
          <w:sz w:val="22"/>
          <w:szCs w:val="22"/>
          <w:lang w:val="es-ES_tradnl" w:eastAsia="ar-SA"/>
        </w:rPr>
        <w:t>a la fijación de</w:t>
      </w:r>
      <w:r w:rsidR="00E23D85" w:rsidRPr="00865FB3">
        <w:rPr>
          <w:rFonts w:ascii="Arial" w:hAnsi="Arial" w:cs="Arial"/>
          <w:sz w:val="22"/>
          <w:szCs w:val="22"/>
          <w:lang w:val="es-ES_tradnl" w:eastAsia="ar-SA"/>
        </w:rPr>
        <w:t xml:space="preserve">l </w:t>
      </w:r>
      <w:proofErr w:type="spellStart"/>
      <w:r w:rsidR="00E23D85" w:rsidRPr="00865FB3">
        <w:rPr>
          <w:rFonts w:ascii="Arial" w:hAnsi="Arial" w:cs="Arial"/>
          <w:i/>
          <w:iCs/>
          <w:sz w:val="22"/>
          <w:szCs w:val="22"/>
          <w:lang w:val="es-ES_tradnl" w:eastAsia="ar-SA"/>
        </w:rPr>
        <w:t>dies</w:t>
      </w:r>
      <w:proofErr w:type="spellEnd"/>
      <w:r w:rsidR="00E23D85" w:rsidRPr="00865FB3">
        <w:rPr>
          <w:rFonts w:ascii="Arial" w:hAnsi="Arial" w:cs="Arial"/>
          <w:i/>
          <w:iCs/>
          <w:sz w:val="22"/>
          <w:szCs w:val="22"/>
          <w:lang w:val="es-ES_tradnl" w:eastAsia="ar-SA"/>
        </w:rPr>
        <w:t xml:space="preserve"> a quo</w:t>
      </w:r>
      <w:r w:rsidR="003C4644" w:rsidRPr="00865FB3">
        <w:rPr>
          <w:rFonts w:ascii="Arial" w:hAnsi="Arial" w:cs="Arial"/>
          <w:sz w:val="22"/>
          <w:szCs w:val="22"/>
          <w:lang w:val="es-ES_tradnl" w:eastAsia="ar-SA"/>
        </w:rPr>
        <w:t xml:space="preserve"> del plazo de prescripción</w:t>
      </w:r>
      <w:r w:rsidR="005E51A7" w:rsidRPr="00865FB3">
        <w:rPr>
          <w:rFonts w:ascii="Arial" w:hAnsi="Arial" w:cs="Arial"/>
          <w:sz w:val="22"/>
          <w:szCs w:val="22"/>
          <w:lang w:val="es-ES_tradnl" w:eastAsia="ar-SA"/>
        </w:rPr>
        <w:t xml:space="preserve"> </w:t>
      </w:r>
      <w:r w:rsidR="00E23D85" w:rsidRPr="00865FB3">
        <w:rPr>
          <w:rFonts w:ascii="Arial" w:hAnsi="Arial" w:cs="Arial"/>
          <w:sz w:val="22"/>
          <w:szCs w:val="22"/>
          <w:lang w:val="es-ES_tradnl" w:eastAsia="ar-SA"/>
        </w:rPr>
        <w:t xml:space="preserve">ha de tener </w:t>
      </w:r>
      <w:r w:rsidR="005E51A7" w:rsidRPr="00865FB3">
        <w:rPr>
          <w:rFonts w:ascii="Arial" w:hAnsi="Arial" w:cs="Arial"/>
          <w:sz w:val="22"/>
          <w:szCs w:val="22"/>
          <w:lang w:val="es-ES_tradnl" w:eastAsia="ar-SA"/>
        </w:rPr>
        <w:t xml:space="preserve">unos </w:t>
      </w:r>
      <w:r w:rsidR="005E51A7" w:rsidRPr="00865FB3">
        <w:rPr>
          <w:rFonts w:ascii="Arial" w:hAnsi="Arial" w:cs="Arial"/>
          <w:b/>
          <w:sz w:val="22"/>
          <w:szCs w:val="22"/>
          <w:lang w:val="es-ES_tradnl" w:eastAsia="ar-SA"/>
        </w:rPr>
        <w:t>efectos limitativos sustanciales sobre las pretensiones de la Parte actora</w:t>
      </w:r>
      <w:r w:rsidR="005E51A7" w:rsidRPr="00865FB3">
        <w:rPr>
          <w:rFonts w:ascii="Arial" w:hAnsi="Arial" w:cs="Arial"/>
          <w:sz w:val="22"/>
          <w:szCs w:val="22"/>
          <w:lang w:val="es-ES_tradnl" w:eastAsia="ar-SA"/>
        </w:rPr>
        <w:t xml:space="preserve">. Y ello, dado que el </w:t>
      </w:r>
      <w:r w:rsidR="005E51A7" w:rsidRPr="00865FB3">
        <w:rPr>
          <w:rFonts w:ascii="Arial" w:hAnsi="Arial" w:cs="Arial"/>
          <w:sz w:val="22"/>
          <w:szCs w:val="22"/>
          <w:highlight w:val="yellow"/>
          <w:lang w:val="es-ES_tradnl" w:eastAsia="ar-SA"/>
        </w:rPr>
        <w:t xml:space="preserve">Contrato de tarjeta se celebró en </w:t>
      </w:r>
      <w:r w:rsidR="00EC78EE" w:rsidRPr="00865FB3">
        <w:rPr>
          <w:rFonts w:ascii="Arial" w:hAnsi="Arial" w:cs="Arial"/>
          <w:sz w:val="22"/>
          <w:szCs w:val="22"/>
          <w:highlight w:val="yellow"/>
          <w:lang w:val="es-ES_tradnl" w:eastAsia="ar-SA"/>
        </w:rPr>
        <w:t>enero de 2005</w:t>
      </w:r>
      <w:r w:rsidR="005E51A7" w:rsidRPr="00865FB3">
        <w:rPr>
          <w:rFonts w:ascii="Arial" w:hAnsi="Arial" w:cs="Arial"/>
          <w:sz w:val="22"/>
          <w:szCs w:val="22"/>
          <w:lang w:val="es-ES_tradnl" w:eastAsia="ar-SA"/>
        </w:rPr>
        <w:t xml:space="preserve">, de forma que </w:t>
      </w:r>
      <w:r w:rsidR="005E51A7" w:rsidRPr="00865FB3">
        <w:rPr>
          <w:rFonts w:ascii="Arial" w:hAnsi="Arial" w:cs="Arial"/>
          <w:b/>
          <w:sz w:val="22"/>
          <w:szCs w:val="22"/>
          <w:lang w:val="es-ES_tradnl" w:eastAsia="ar-SA"/>
        </w:rPr>
        <w:t xml:space="preserve">los intereses abonados durante </w:t>
      </w:r>
      <w:r w:rsidR="00B837D4" w:rsidRPr="00865FB3">
        <w:rPr>
          <w:rFonts w:ascii="Arial" w:hAnsi="Arial" w:cs="Arial"/>
          <w:b/>
          <w:sz w:val="22"/>
          <w:szCs w:val="22"/>
          <w:lang w:val="es-ES_tradnl" w:eastAsia="ar-SA"/>
        </w:rPr>
        <w:t>gr</w:t>
      </w:r>
      <w:r w:rsidR="001F735C" w:rsidRPr="00865FB3">
        <w:rPr>
          <w:rFonts w:ascii="Arial" w:hAnsi="Arial" w:cs="Arial"/>
          <w:b/>
          <w:sz w:val="22"/>
          <w:szCs w:val="22"/>
          <w:lang w:val="es-ES_tradnl" w:eastAsia="ar-SA"/>
        </w:rPr>
        <w:t xml:space="preserve">an parte de la vida de la </w:t>
      </w:r>
      <w:proofErr w:type="gramStart"/>
      <w:r w:rsidR="001F735C" w:rsidRPr="00865FB3">
        <w:rPr>
          <w:rFonts w:ascii="Arial" w:hAnsi="Arial" w:cs="Arial"/>
          <w:b/>
          <w:sz w:val="22"/>
          <w:szCs w:val="22"/>
          <w:lang w:val="es-ES_tradnl" w:eastAsia="ar-SA"/>
        </w:rPr>
        <w:t>Tarjeta</w:t>
      </w:r>
      <w:r w:rsidR="005E51A7" w:rsidRPr="00865FB3">
        <w:rPr>
          <w:rFonts w:ascii="Arial" w:hAnsi="Arial" w:cs="Arial"/>
          <w:b/>
          <w:sz w:val="22"/>
          <w:szCs w:val="22"/>
          <w:lang w:val="es-ES_tradnl" w:eastAsia="ar-SA"/>
        </w:rPr>
        <w:t>,</w:t>
      </w:r>
      <w:proofErr w:type="gramEnd"/>
      <w:r w:rsidR="005E51A7" w:rsidRPr="00865FB3">
        <w:rPr>
          <w:rFonts w:ascii="Arial" w:hAnsi="Arial" w:cs="Arial"/>
          <w:b/>
          <w:sz w:val="22"/>
          <w:szCs w:val="22"/>
          <w:lang w:val="es-ES_tradnl" w:eastAsia="ar-SA"/>
        </w:rPr>
        <w:t xml:space="preserve"> </w:t>
      </w:r>
      <w:r w:rsidR="005E51A7" w:rsidRPr="00865FB3">
        <w:rPr>
          <w:rFonts w:ascii="Arial" w:hAnsi="Arial" w:cs="Arial"/>
          <w:b/>
          <w:sz w:val="22"/>
          <w:szCs w:val="22"/>
          <w:lang w:val="es-ES_tradnl" w:eastAsia="ar-SA"/>
        </w:rPr>
        <w:lastRenderedPageBreak/>
        <w:t>no deben serle restituidos</w:t>
      </w:r>
      <w:r w:rsidR="005E51A7" w:rsidRPr="00865FB3">
        <w:rPr>
          <w:rFonts w:ascii="Arial" w:hAnsi="Arial" w:cs="Arial"/>
          <w:sz w:val="22"/>
          <w:szCs w:val="22"/>
          <w:lang w:val="es-ES_tradnl" w:eastAsia="ar-SA"/>
        </w:rPr>
        <w:t xml:space="preserve">. </w:t>
      </w:r>
    </w:p>
    <w:p w14:paraId="5F5ACFB8" w14:textId="24116FFA" w:rsidR="005E51A7" w:rsidRPr="00865FB3" w:rsidRDefault="00764ED7" w:rsidP="00865FB3">
      <w:pPr>
        <w:pStyle w:val="Prrafodelista"/>
        <w:widowControl w:val="0"/>
        <w:numPr>
          <w:ilvl w:val="0"/>
          <w:numId w:val="6"/>
        </w:numPr>
        <w:spacing w:after="240" w:line="360" w:lineRule="auto"/>
        <w:ind w:left="0" w:hanging="851"/>
        <w:rPr>
          <w:rFonts w:ascii="Arial" w:hAnsi="Arial" w:cs="Arial"/>
          <w:sz w:val="22"/>
          <w:szCs w:val="22"/>
          <w:lang w:val="es-ES_tradnl" w:eastAsia="ar-SA"/>
        </w:rPr>
      </w:pPr>
      <w:r w:rsidRPr="00865FB3">
        <w:rPr>
          <w:rFonts w:ascii="Arial" w:hAnsi="Arial" w:cs="Arial"/>
          <w:sz w:val="22"/>
          <w:szCs w:val="22"/>
          <w:lang w:val="es-ES_tradnl" w:eastAsia="ar-SA"/>
        </w:rPr>
        <w:t>Además,</w:t>
      </w:r>
      <w:r w:rsidR="005E51A7" w:rsidRPr="00865FB3">
        <w:rPr>
          <w:rFonts w:ascii="Arial" w:hAnsi="Arial" w:cs="Arial"/>
          <w:sz w:val="22"/>
          <w:szCs w:val="22"/>
          <w:lang w:val="es-ES_tradnl" w:eastAsia="ar-SA"/>
        </w:rPr>
        <w:t xml:space="preserve"> los principios de no vinculación de las cláusulas abusivas y efectividad del Derecho de la Unión Europea no opera</w:t>
      </w:r>
      <w:r w:rsidR="00F86CF4" w:rsidRPr="00865FB3">
        <w:rPr>
          <w:rFonts w:ascii="Arial" w:hAnsi="Arial" w:cs="Arial"/>
          <w:sz w:val="22"/>
          <w:szCs w:val="22"/>
          <w:lang w:val="es-ES_tradnl" w:eastAsia="ar-SA"/>
        </w:rPr>
        <w:t>rían</w:t>
      </w:r>
      <w:r w:rsidR="005E51A7" w:rsidRPr="00865FB3">
        <w:rPr>
          <w:rFonts w:ascii="Arial" w:hAnsi="Arial" w:cs="Arial"/>
          <w:sz w:val="22"/>
          <w:szCs w:val="22"/>
          <w:lang w:val="es-ES_tradnl" w:eastAsia="ar-SA"/>
        </w:rPr>
        <w:t xml:space="preserve"> en este caso, en el que lo que se aplica no es normativa de consumo ni Derecho comunitario, sino la LRU, y la devolución de cantidades cobradas al prestatario no deriva de la nulidad de una cláusula abusiva. Así, tampoco resultan de aplicación al presente caso los arts. 6.1 y 7.1 de la Directiva 93/13, que se refieren a la no vinculación para los consumidores de las cláusulas abusivas, y al establecimiento de medios adecuados para el cese en su uso por parte de los profesionales predisponentes. De este modo, no sería posible omitir la aplicación de una norma imperativa de Derecho nacional, como es el art. 394.2 de la LEC, con base en una normativa de la Unión Europea a la que no puede recurrirse en este caso.</w:t>
      </w:r>
    </w:p>
    <w:p w14:paraId="39DFB736" w14:textId="0B0430BB" w:rsidR="005E51A7" w:rsidRPr="00865FB3" w:rsidRDefault="005E51A7" w:rsidP="00865FB3">
      <w:pPr>
        <w:pStyle w:val="Prrafodelista"/>
        <w:widowControl w:val="0"/>
        <w:numPr>
          <w:ilvl w:val="0"/>
          <w:numId w:val="6"/>
        </w:numPr>
        <w:spacing w:after="240" w:line="360" w:lineRule="auto"/>
        <w:ind w:left="0" w:hanging="851"/>
        <w:rPr>
          <w:rFonts w:ascii="Arial" w:hAnsi="Arial" w:cs="Arial"/>
          <w:sz w:val="22"/>
          <w:szCs w:val="22"/>
          <w:lang w:val="es-ES_tradnl" w:eastAsia="ar-SA"/>
        </w:rPr>
      </w:pPr>
      <w:r w:rsidRPr="00865FB3">
        <w:rPr>
          <w:rFonts w:ascii="Arial" w:hAnsi="Arial" w:cs="Arial"/>
          <w:sz w:val="22"/>
          <w:szCs w:val="22"/>
          <w:lang w:val="es-ES_tradnl" w:eastAsia="ar-SA"/>
        </w:rPr>
        <w:t xml:space="preserve">A la luz de lo anterior, y dado que la Sentencia recurrida debe ser </w:t>
      </w:r>
      <w:r w:rsidR="00F41A5C" w:rsidRPr="00865FB3">
        <w:rPr>
          <w:rFonts w:ascii="Arial" w:hAnsi="Arial" w:cs="Arial"/>
          <w:sz w:val="22"/>
          <w:szCs w:val="22"/>
          <w:lang w:val="es-ES_tradnl" w:eastAsia="ar-SA"/>
        </w:rPr>
        <w:t xml:space="preserve">revocada en lo que se refiere </w:t>
      </w:r>
      <w:r w:rsidR="00F86CF4" w:rsidRPr="00865FB3">
        <w:rPr>
          <w:rFonts w:ascii="Arial" w:hAnsi="Arial" w:cs="Arial"/>
          <w:sz w:val="22"/>
          <w:szCs w:val="22"/>
          <w:lang w:val="es-ES_tradnl" w:eastAsia="ar-SA"/>
        </w:rPr>
        <w:t>a</w:t>
      </w:r>
      <w:r w:rsidR="003C4644" w:rsidRPr="00865FB3">
        <w:rPr>
          <w:rFonts w:ascii="Arial" w:hAnsi="Arial" w:cs="Arial"/>
          <w:sz w:val="22"/>
          <w:szCs w:val="22"/>
          <w:lang w:val="es-ES_tradnl" w:eastAsia="ar-SA"/>
        </w:rPr>
        <w:t xml:space="preserve"> </w:t>
      </w:r>
      <w:r w:rsidR="00F86CF4" w:rsidRPr="00865FB3">
        <w:rPr>
          <w:rFonts w:ascii="Arial" w:hAnsi="Arial" w:cs="Arial"/>
          <w:sz w:val="22"/>
          <w:szCs w:val="22"/>
          <w:lang w:val="es-ES_tradnl" w:eastAsia="ar-SA"/>
        </w:rPr>
        <w:t>l</w:t>
      </w:r>
      <w:r w:rsidR="003C4644" w:rsidRPr="00865FB3">
        <w:rPr>
          <w:rFonts w:ascii="Arial" w:hAnsi="Arial" w:cs="Arial"/>
          <w:sz w:val="22"/>
          <w:szCs w:val="22"/>
          <w:lang w:val="es-ES_tradnl" w:eastAsia="ar-SA"/>
        </w:rPr>
        <w:t>a fijación del</w:t>
      </w:r>
      <w:r w:rsidR="00F86CF4" w:rsidRPr="00865FB3">
        <w:rPr>
          <w:rFonts w:ascii="Arial" w:hAnsi="Arial" w:cs="Arial"/>
          <w:sz w:val="22"/>
          <w:szCs w:val="22"/>
          <w:lang w:val="es-ES_tradnl" w:eastAsia="ar-SA"/>
        </w:rPr>
        <w:t xml:space="preserve"> </w:t>
      </w:r>
      <w:proofErr w:type="spellStart"/>
      <w:r w:rsidR="00F86CF4" w:rsidRPr="00865FB3">
        <w:rPr>
          <w:rFonts w:ascii="Arial" w:hAnsi="Arial" w:cs="Arial"/>
          <w:i/>
          <w:iCs/>
          <w:sz w:val="22"/>
          <w:szCs w:val="22"/>
          <w:lang w:val="es-ES_tradnl" w:eastAsia="ar-SA"/>
        </w:rPr>
        <w:t>dies</w:t>
      </w:r>
      <w:proofErr w:type="spellEnd"/>
      <w:r w:rsidR="00F86CF4" w:rsidRPr="00865FB3">
        <w:rPr>
          <w:rFonts w:ascii="Arial" w:hAnsi="Arial" w:cs="Arial"/>
          <w:i/>
          <w:iCs/>
          <w:sz w:val="22"/>
          <w:szCs w:val="22"/>
          <w:lang w:val="es-ES_tradnl" w:eastAsia="ar-SA"/>
        </w:rPr>
        <w:t xml:space="preserve"> a quo</w:t>
      </w:r>
      <w:r w:rsidR="00F86CF4" w:rsidRPr="00865FB3">
        <w:rPr>
          <w:rFonts w:ascii="Arial" w:hAnsi="Arial" w:cs="Arial"/>
          <w:sz w:val="22"/>
          <w:szCs w:val="22"/>
          <w:lang w:val="es-ES_tradnl" w:eastAsia="ar-SA"/>
        </w:rPr>
        <w:t xml:space="preserve"> de</w:t>
      </w:r>
      <w:r w:rsidR="003C4644" w:rsidRPr="00865FB3">
        <w:rPr>
          <w:rFonts w:ascii="Arial" w:hAnsi="Arial" w:cs="Arial"/>
          <w:sz w:val="22"/>
          <w:szCs w:val="22"/>
          <w:lang w:val="es-ES_tradnl" w:eastAsia="ar-SA"/>
        </w:rPr>
        <w:t>l plazo de prescripción de</w:t>
      </w:r>
      <w:r w:rsidR="00F86CF4" w:rsidRPr="00865FB3">
        <w:rPr>
          <w:rFonts w:ascii="Arial" w:hAnsi="Arial" w:cs="Arial"/>
          <w:sz w:val="22"/>
          <w:szCs w:val="22"/>
          <w:lang w:val="es-ES_tradnl" w:eastAsia="ar-SA"/>
        </w:rPr>
        <w:t xml:space="preserve"> </w:t>
      </w:r>
      <w:r w:rsidR="00F41A5C" w:rsidRPr="00865FB3">
        <w:rPr>
          <w:rFonts w:ascii="Arial" w:hAnsi="Arial" w:cs="Arial"/>
          <w:sz w:val="22"/>
          <w:szCs w:val="22"/>
          <w:lang w:val="es-ES_tradnl" w:eastAsia="ar-SA"/>
        </w:rPr>
        <w:t>la acción restitutoria, con los efectos limitativos que ello conlleva</w:t>
      </w:r>
      <w:r w:rsidR="003C4644" w:rsidRPr="00865FB3">
        <w:rPr>
          <w:rFonts w:ascii="Arial" w:hAnsi="Arial" w:cs="Arial"/>
          <w:sz w:val="22"/>
          <w:szCs w:val="22"/>
          <w:lang w:val="es-ES_tradnl" w:eastAsia="ar-SA"/>
        </w:rPr>
        <w:t xml:space="preserve"> sobre la devolución de los intereses considerados usurarios</w:t>
      </w:r>
      <w:r w:rsidR="00F41A5C" w:rsidRPr="00865FB3">
        <w:rPr>
          <w:rFonts w:ascii="Arial" w:hAnsi="Arial" w:cs="Arial"/>
          <w:sz w:val="22"/>
          <w:szCs w:val="22"/>
          <w:lang w:val="es-ES_tradnl" w:eastAsia="ar-SA"/>
        </w:rPr>
        <w:t xml:space="preserve">, </w:t>
      </w:r>
      <w:r w:rsidRPr="00865FB3">
        <w:rPr>
          <w:rFonts w:ascii="Arial" w:hAnsi="Arial" w:cs="Arial"/>
          <w:sz w:val="22"/>
          <w:szCs w:val="22"/>
          <w:lang w:val="es-ES_tradnl" w:eastAsia="ar-SA"/>
        </w:rPr>
        <w:t>el pronunciamiento en materia de costas debe ser necesariamente revocado</w:t>
      </w:r>
      <w:r w:rsidR="00F41A5C" w:rsidRPr="00865FB3">
        <w:rPr>
          <w:rFonts w:ascii="Arial" w:hAnsi="Arial" w:cs="Arial"/>
          <w:sz w:val="22"/>
          <w:szCs w:val="22"/>
          <w:lang w:val="es-ES_tradnl" w:eastAsia="ar-SA"/>
        </w:rPr>
        <w:t xml:space="preserve"> al tratarse de una </w:t>
      </w:r>
      <w:r w:rsidR="00B60DAE" w:rsidRPr="00865FB3">
        <w:rPr>
          <w:rFonts w:ascii="Arial" w:hAnsi="Arial" w:cs="Arial"/>
          <w:sz w:val="22"/>
          <w:szCs w:val="22"/>
          <w:lang w:val="es-ES_tradnl" w:eastAsia="ar-SA"/>
        </w:rPr>
        <w:t>estimación parcial</w:t>
      </w:r>
      <w:r w:rsidR="003C4644" w:rsidRPr="00865FB3">
        <w:rPr>
          <w:rFonts w:ascii="Arial" w:hAnsi="Arial" w:cs="Arial"/>
          <w:sz w:val="22"/>
          <w:szCs w:val="22"/>
          <w:lang w:val="es-ES_tradnl" w:eastAsia="ar-SA"/>
        </w:rPr>
        <w:t xml:space="preserve"> de la demanda</w:t>
      </w:r>
      <w:r w:rsidR="00B60DAE" w:rsidRPr="00865FB3">
        <w:rPr>
          <w:rFonts w:ascii="Arial" w:hAnsi="Arial" w:cs="Arial"/>
          <w:sz w:val="22"/>
          <w:szCs w:val="22"/>
          <w:lang w:val="es-ES_tradnl" w:eastAsia="ar-SA"/>
        </w:rPr>
        <w:t>,</w:t>
      </w:r>
      <w:r w:rsidRPr="00865FB3">
        <w:rPr>
          <w:rFonts w:ascii="Arial" w:hAnsi="Arial" w:cs="Arial"/>
          <w:sz w:val="22"/>
          <w:szCs w:val="22"/>
          <w:lang w:val="es-ES_tradnl" w:eastAsia="ar-SA"/>
        </w:rPr>
        <w:t xml:space="preserve"> y </w:t>
      </w:r>
      <w:r w:rsidR="00B60DAE" w:rsidRPr="00865FB3">
        <w:rPr>
          <w:rFonts w:ascii="Arial" w:hAnsi="Arial" w:cs="Arial"/>
          <w:sz w:val="22"/>
          <w:szCs w:val="22"/>
          <w:lang w:val="es-ES_tradnl" w:eastAsia="ar-SA"/>
        </w:rPr>
        <w:t xml:space="preserve">por tanto, </w:t>
      </w:r>
      <w:r w:rsidRPr="00865FB3">
        <w:rPr>
          <w:rFonts w:ascii="Arial" w:hAnsi="Arial" w:cs="Arial"/>
          <w:sz w:val="22"/>
          <w:szCs w:val="22"/>
          <w:lang w:val="es-ES_tradnl" w:eastAsia="ar-SA"/>
        </w:rPr>
        <w:t>sustituido por otro por el que cada parte abone las costas causadas a su instancia, conforme al art. 394.2 de la LEC.</w:t>
      </w:r>
    </w:p>
    <w:bookmarkEnd w:id="1"/>
    <w:p w14:paraId="52633F62" w14:textId="35C515BD" w:rsidR="006E1B69" w:rsidRPr="00865FB3" w:rsidRDefault="006E1B69" w:rsidP="00865FB3">
      <w:pPr>
        <w:pStyle w:val="Prrafodelista"/>
        <w:widowControl w:val="0"/>
        <w:spacing w:after="240" w:line="360" w:lineRule="auto"/>
        <w:ind w:left="0"/>
        <w:rPr>
          <w:rFonts w:ascii="Arial" w:hAnsi="Arial" w:cs="Arial"/>
          <w:sz w:val="22"/>
          <w:szCs w:val="22"/>
          <w:lang w:val="es-ES_tradnl" w:eastAsia="ar-SA"/>
        </w:rPr>
      </w:pPr>
      <w:r w:rsidRPr="00865FB3">
        <w:rPr>
          <w:rFonts w:ascii="Arial" w:hAnsi="Arial" w:cs="Arial"/>
          <w:sz w:val="22"/>
          <w:szCs w:val="22"/>
          <w:lang w:val="es-ES_tradnl" w:eastAsia="ar-SA"/>
        </w:rPr>
        <w:t>Por todo ello,</w:t>
      </w:r>
    </w:p>
    <w:p w14:paraId="44836D57" w14:textId="5379981A" w:rsidR="00D53EDC" w:rsidRPr="00865FB3" w:rsidRDefault="00D53EDC" w:rsidP="00865FB3">
      <w:pPr>
        <w:pStyle w:val="Prrafodelista"/>
        <w:widowControl w:val="0"/>
        <w:spacing w:after="240" w:line="360" w:lineRule="auto"/>
        <w:ind w:left="0"/>
        <w:rPr>
          <w:rFonts w:ascii="Arial" w:hAnsi="Arial" w:cs="Arial"/>
          <w:sz w:val="22"/>
          <w:szCs w:val="22"/>
          <w:lang w:val="es-ES_tradnl" w:eastAsia="ar-SA"/>
        </w:rPr>
      </w:pPr>
      <w:r w:rsidRPr="00865FB3">
        <w:rPr>
          <w:rFonts w:ascii="Arial" w:eastAsiaTheme="majorEastAsia" w:hAnsi="Arial" w:cs="Arial"/>
          <w:b/>
          <w:bCs/>
          <w:sz w:val="22"/>
          <w:szCs w:val="22"/>
          <w:lang w:val="es-ES_tradnl"/>
        </w:rPr>
        <w:t>SUPLICO AL JUZGADO PARA ANTE LA AUDIENCIA PROVINCIAL</w:t>
      </w:r>
      <w:r w:rsidRPr="00865FB3">
        <w:rPr>
          <w:rFonts w:ascii="Arial" w:hAnsi="Arial" w:cs="Arial"/>
          <w:b/>
          <w:sz w:val="22"/>
          <w:szCs w:val="22"/>
        </w:rPr>
        <w:t xml:space="preserve"> </w:t>
      </w:r>
      <w:r w:rsidRPr="00865FB3">
        <w:rPr>
          <w:rFonts w:ascii="Arial" w:hAnsi="Arial" w:cs="Arial"/>
          <w:sz w:val="22"/>
          <w:szCs w:val="22"/>
        </w:rPr>
        <w:t xml:space="preserve">que tenga por presentado este </w:t>
      </w:r>
      <w:r w:rsidR="00FA4E09" w:rsidRPr="00865FB3">
        <w:rPr>
          <w:rFonts w:ascii="Arial" w:hAnsi="Arial" w:cs="Arial"/>
          <w:b/>
          <w:bCs/>
          <w:sz w:val="22"/>
          <w:szCs w:val="22"/>
        </w:rPr>
        <w:t>RECURSO DE APELACIÓN</w:t>
      </w:r>
      <w:r w:rsidR="00FA4E09" w:rsidRPr="00865FB3">
        <w:rPr>
          <w:rFonts w:ascii="Arial" w:hAnsi="Arial" w:cs="Arial"/>
          <w:sz w:val="22"/>
          <w:szCs w:val="22"/>
        </w:rPr>
        <w:t xml:space="preserve"> </w:t>
      </w:r>
      <w:r w:rsidRPr="00865FB3">
        <w:rPr>
          <w:rFonts w:ascii="Arial" w:hAnsi="Arial" w:cs="Arial"/>
          <w:sz w:val="22"/>
          <w:szCs w:val="22"/>
        </w:rPr>
        <w:t xml:space="preserve">de </w:t>
      </w:r>
      <w:r w:rsidR="00BB7897" w:rsidRPr="00865FB3">
        <w:rPr>
          <w:rFonts w:ascii="Arial" w:hAnsi="Arial" w:cs="Arial"/>
          <w:sz w:val="22"/>
          <w:szCs w:val="22"/>
        </w:rPr>
        <w:t>Wizink</w:t>
      </w:r>
      <w:r w:rsidRPr="00865FB3">
        <w:rPr>
          <w:rFonts w:ascii="Arial" w:hAnsi="Arial" w:cs="Arial"/>
          <w:sz w:val="22"/>
          <w:szCs w:val="22"/>
        </w:rPr>
        <w:t xml:space="preserve"> </w:t>
      </w:r>
      <w:r w:rsidR="00FA4E09" w:rsidRPr="00865FB3">
        <w:rPr>
          <w:rFonts w:ascii="Arial" w:hAnsi="Arial" w:cs="Arial"/>
          <w:sz w:val="22"/>
          <w:szCs w:val="22"/>
        </w:rPr>
        <w:t xml:space="preserve">contra </w:t>
      </w:r>
      <w:r w:rsidR="00BB7897" w:rsidRPr="00865FB3">
        <w:rPr>
          <w:rFonts w:ascii="Arial" w:hAnsi="Arial" w:cs="Arial"/>
          <w:sz w:val="22"/>
          <w:szCs w:val="22"/>
        </w:rPr>
        <w:t xml:space="preserve">la </w:t>
      </w:r>
      <w:r w:rsidR="00BB7897" w:rsidRPr="00865FB3">
        <w:rPr>
          <w:rFonts w:ascii="Arial" w:hAnsi="Arial" w:cs="Arial"/>
          <w:sz w:val="22"/>
          <w:szCs w:val="22"/>
          <w:highlight w:val="yellow"/>
        </w:rPr>
        <w:t>Sentencia</w:t>
      </w:r>
      <w:r w:rsidRPr="00865FB3">
        <w:rPr>
          <w:rFonts w:ascii="Arial" w:hAnsi="Arial" w:cs="Arial"/>
          <w:sz w:val="22"/>
          <w:szCs w:val="22"/>
          <w:highlight w:val="yellow"/>
        </w:rPr>
        <w:t xml:space="preserve"> núm</w:t>
      </w:r>
      <w:r w:rsidR="00C76A07" w:rsidRPr="00865FB3">
        <w:rPr>
          <w:rFonts w:ascii="Arial" w:hAnsi="Arial" w:cs="Arial"/>
          <w:sz w:val="22"/>
          <w:szCs w:val="22"/>
          <w:highlight w:val="yellow"/>
        </w:rPr>
        <w:t>.1111/2021</w:t>
      </w:r>
      <w:r w:rsidRPr="00865FB3">
        <w:rPr>
          <w:rFonts w:ascii="Arial" w:hAnsi="Arial" w:cs="Arial"/>
          <w:sz w:val="22"/>
          <w:szCs w:val="22"/>
          <w:highlight w:val="yellow"/>
        </w:rPr>
        <w:t xml:space="preserve">, de </w:t>
      </w:r>
      <w:r w:rsidR="00C76A07" w:rsidRPr="00865FB3">
        <w:rPr>
          <w:rFonts w:ascii="Arial" w:hAnsi="Arial" w:cs="Arial"/>
          <w:sz w:val="22"/>
          <w:szCs w:val="22"/>
          <w:highlight w:val="yellow"/>
        </w:rPr>
        <w:t>18 de enero</w:t>
      </w:r>
      <w:r w:rsidRPr="00865FB3">
        <w:rPr>
          <w:rFonts w:ascii="Arial" w:hAnsi="Arial" w:cs="Arial"/>
          <w:sz w:val="22"/>
          <w:szCs w:val="22"/>
          <w:highlight w:val="yellow"/>
        </w:rPr>
        <w:t xml:space="preserve">, del Juzgado de </w:t>
      </w:r>
      <w:r w:rsidR="00BB7897" w:rsidRPr="00865FB3">
        <w:rPr>
          <w:rFonts w:ascii="Arial" w:hAnsi="Arial" w:cs="Arial"/>
          <w:sz w:val="22"/>
          <w:szCs w:val="22"/>
          <w:highlight w:val="yellow"/>
        </w:rPr>
        <w:t>Primera Instancia</w:t>
      </w:r>
      <w:r w:rsidRPr="00865FB3">
        <w:rPr>
          <w:rFonts w:ascii="Arial" w:hAnsi="Arial" w:cs="Arial"/>
          <w:sz w:val="22"/>
          <w:szCs w:val="22"/>
          <w:highlight w:val="yellow"/>
        </w:rPr>
        <w:t xml:space="preserve"> </w:t>
      </w:r>
      <w:r w:rsidR="00302576" w:rsidRPr="00865FB3">
        <w:rPr>
          <w:rFonts w:ascii="Arial" w:hAnsi="Arial" w:cs="Arial"/>
          <w:sz w:val="22"/>
          <w:szCs w:val="22"/>
          <w:highlight w:val="yellow"/>
        </w:rPr>
        <w:t xml:space="preserve">núm. 5 de </w:t>
      </w:r>
      <w:r w:rsidR="000A2822" w:rsidRPr="00865FB3">
        <w:rPr>
          <w:rFonts w:ascii="Arial" w:hAnsi="Arial" w:cs="Arial"/>
          <w:sz w:val="22"/>
          <w:szCs w:val="22"/>
          <w:highlight w:val="yellow"/>
        </w:rPr>
        <w:t>Pamplona</w:t>
      </w:r>
      <w:r w:rsidRPr="00865FB3">
        <w:rPr>
          <w:rFonts w:ascii="Arial" w:hAnsi="Arial" w:cs="Arial"/>
          <w:sz w:val="22"/>
          <w:szCs w:val="22"/>
          <w:highlight w:val="yellow"/>
        </w:rPr>
        <w:t xml:space="preserve">, y que, cumplidos los trámites procedentes, remita los autos a la Audiencia Provincial de </w:t>
      </w:r>
      <w:r w:rsidR="000A2822" w:rsidRPr="00865FB3">
        <w:rPr>
          <w:rFonts w:ascii="Arial" w:hAnsi="Arial" w:cs="Arial"/>
          <w:sz w:val="22"/>
          <w:szCs w:val="22"/>
          <w:highlight w:val="yellow"/>
        </w:rPr>
        <w:t>Navarra</w:t>
      </w:r>
      <w:r w:rsidRPr="00865FB3">
        <w:rPr>
          <w:rFonts w:ascii="Arial" w:hAnsi="Arial" w:cs="Arial"/>
          <w:sz w:val="22"/>
          <w:szCs w:val="22"/>
        </w:rPr>
        <w:t>, para la sustanciación del recurso de apelación, y</w:t>
      </w:r>
    </w:p>
    <w:p w14:paraId="01067B2D" w14:textId="7CB23C6D" w:rsidR="00D53EDC" w:rsidRPr="00865FB3" w:rsidRDefault="00D53EDC" w:rsidP="00865FB3">
      <w:pPr>
        <w:pStyle w:val="Prrafodelista"/>
        <w:widowControl w:val="0"/>
        <w:spacing w:after="240" w:line="360" w:lineRule="auto"/>
        <w:ind w:left="0"/>
        <w:rPr>
          <w:rFonts w:ascii="Arial" w:hAnsi="Arial" w:cs="Arial"/>
          <w:sz w:val="22"/>
          <w:szCs w:val="22"/>
          <w:lang w:val="es-ES_tradnl" w:eastAsia="ar-SA"/>
        </w:rPr>
      </w:pPr>
      <w:r w:rsidRPr="00865FB3">
        <w:rPr>
          <w:rFonts w:ascii="Arial" w:hAnsi="Arial" w:cs="Arial"/>
          <w:b/>
          <w:sz w:val="22"/>
          <w:szCs w:val="22"/>
        </w:rPr>
        <w:t xml:space="preserve">A LA AUDIENCIA PROVINCIAL </w:t>
      </w:r>
      <w:r w:rsidRPr="00865FB3">
        <w:rPr>
          <w:rFonts w:ascii="Arial" w:hAnsi="Arial" w:cs="Arial"/>
          <w:sz w:val="22"/>
          <w:szCs w:val="22"/>
        </w:rPr>
        <w:t>que, tras los trámites oportunos</w:t>
      </w:r>
      <w:r w:rsidR="007573D5" w:rsidRPr="00865FB3">
        <w:rPr>
          <w:rFonts w:ascii="Arial" w:hAnsi="Arial" w:cs="Arial"/>
          <w:sz w:val="22"/>
          <w:szCs w:val="22"/>
        </w:rPr>
        <w:t xml:space="preserve">, </w:t>
      </w:r>
      <w:r w:rsidRPr="00865FB3">
        <w:rPr>
          <w:rFonts w:ascii="Arial" w:hAnsi="Arial" w:cs="Arial"/>
          <w:sz w:val="22"/>
          <w:szCs w:val="22"/>
        </w:rPr>
        <w:t xml:space="preserve">dicte </w:t>
      </w:r>
      <w:r w:rsidR="00BB7897" w:rsidRPr="00865FB3">
        <w:rPr>
          <w:rFonts w:ascii="Arial" w:hAnsi="Arial" w:cs="Arial"/>
          <w:sz w:val="22"/>
          <w:szCs w:val="22"/>
          <w:highlight w:val="yellow"/>
        </w:rPr>
        <w:t>Sentencia</w:t>
      </w:r>
      <w:r w:rsidRPr="00865FB3">
        <w:rPr>
          <w:rFonts w:ascii="Arial" w:hAnsi="Arial" w:cs="Arial"/>
          <w:sz w:val="22"/>
          <w:szCs w:val="22"/>
          <w:highlight w:val="yellow"/>
        </w:rPr>
        <w:t xml:space="preserve"> que </w:t>
      </w:r>
      <w:r w:rsidR="00302576" w:rsidRPr="00865FB3">
        <w:rPr>
          <w:rFonts w:ascii="Arial" w:hAnsi="Arial" w:cs="Arial"/>
          <w:sz w:val="22"/>
          <w:szCs w:val="22"/>
          <w:highlight w:val="yellow"/>
        </w:rPr>
        <w:t xml:space="preserve">estime </w:t>
      </w:r>
      <w:r w:rsidR="00150F2B" w:rsidRPr="00865FB3">
        <w:rPr>
          <w:rFonts w:ascii="Arial" w:hAnsi="Arial" w:cs="Arial"/>
          <w:sz w:val="22"/>
          <w:szCs w:val="22"/>
          <w:highlight w:val="yellow"/>
        </w:rPr>
        <w:t xml:space="preserve">íntegramente </w:t>
      </w:r>
      <w:r w:rsidR="00302576" w:rsidRPr="00865FB3">
        <w:rPr>
          <w:rFonts w:ascii="Arial" w:hAnsi="Arial" w:cs="Arial"/>
          <w:sz w:val="22"/>
          <w:szCs w:val="22"/>
          <w:highlight w:val="yellow"/>
        </w:rPr>
        <w:t xml:space="preserve">el recurso de apelación </w:t>
      </w:r>
      <w:r w:rsidR="00150F2B" w:rsidRPr="00865FB3">
        <w:rPr>
          <w:rFonts w:ascii="Arial" w:hAnsi="Arial" w:cs="Arial"/>
          <w:sz w:val="22"/>
          <w:szCs w:val="22"/>
          <w:highlight w:val="yellow"/>
        </w:rPr>
        <w:t>presentado por esta parte</w:t>
      </w:r>
      <w:r w:rsidRPr="00865FB3">
        <w:rPr>
          <w:rFonts w:ascii="Arial" w:hAnsi="Arial" w:cs="Arial"/>
          <w:sz w:val="22"/>
          <w:szCs w:val="22"/>
          <w:highlight w:val="yellow"/>
        </w:rPr>
        <w:t xml:space="preserve"> contra </w:t>
      </w:r>
      <w:r w:rsidR="00BB7897" w:rsidRPr="00865FB3">
        <w:rPr>
          <w:rFonts w:ascii="Arial" w:hAnsi="Arial" w:cs="Arial"/>
          <w:sz w:val="22"/>
          <w:szCs w:val="22"/>
          <w:highlight w:val="yellow"/>
        </w:rPr>
        <w:t>la Sentencia</w:t>
      </w:r>
      <w:r w:rsidRPr="00865FB3">
        <w:rPr>
          <w:rFonts w:ascii="Arial" w:hAnsi="Arial" w:cs="Arial"/>
          <w:sz w:val="22"/>
          <w:szCs w:val="22"/>
          <w:highlight w:val="yellow"/>
        </w:rPr>
        <w:t xml:space="preserve"> </w:t>
      </w:r>
      <w:r w:rsidR="00577C0B" w:rsidRPr="00865FB3">
        <w:rPr>
          <w:rFonts w:ascii="Arial" w:hAnsi="Arial" w:cs="Arial"/>
          <w:sz w:val="22"/>
          <w:szCs w:val="22"/>
          <w:highlight w:val="yellow"/>
        </w:rPr>
        <w:t>núm.</w:t>
      </w:r>
      <w:r w:rsidR="001B56CB" w:rsidRPr="00865FB3">
        <w:rPr>
          <w:rFonts w:ascii="Arial" w:hAnsi="Arial" w:cs="Arial"/>
          <w:sz w:val="22"/>
          <w:szCs w:val="22"/>
          <w:highlight w:val="yellow"/>
        </w:rPr>
        <w:t xml:space="preserve"> </w:t>
      </w:r>
      <w:r w:rsidR="0041437C" w:rsidRPr="00865FB3">
        <w:rPr>
          <w:rFonts w:ascii="Arial" w:hAnsi="Arial" w:cs="Arial"/>
          <w:sz w:val="22"/>
          <w:szCs w:val="22"/>
          <w:highlight w:val="yellow"/>
        </w:rPr>
        <w:t>núm.1111/2021, de 18 de enero</w:t>
      </w:r>
      <w:r w:rsidR="00F658AA" w:rsidRPr="00865FB3">
        <w:rPr>
          <w:rFonts w:ascii="Arial" w:hAnsi="Arial" w:cs="Arial"/>
          <w:sz w:val="22"/>
          <w:szCs w:val="22"/>
          <w:highlight w:val="yellow"/>
        </w:rPr>
        <w:t xml:space="preserve">, del Juzgado de Primera Instancia núm. </w:t>
      </w:r>
      <w:r w:rsidR="00150F2B" w:rsidRPr="00865FB3">
        <w:rPr>
          <w:rFonts w:ascii="Arial" w:hAnsi="Arial" w:cs="Arial"/>
          <w:sz w:val="22"/>
          <w:szCs w:val="22"/>
          <w:highlight w:val="yellow"/>
        </w:rPr>
        <w:t xml:space="preserve">5 de </w:t>
      </w:r>
      <w:r w:rsidR="0041437C" w:rsidRPr="00865FB3">
        <w:rPr>
          <w:rFonts w:ascii="Arial" w:hAnsi="Arial" w:cs="Arial"/>
          <w:sz w:val="22"/>
          <w:szCs w:val="22"/>
          <w:highlight w:val="yellow"/>
        </w:rPr>
        <w:t>P</w:t>
      </w:r>
      <w:r w:rsidR="00AD61C7" w:rsidRPr="00865FB3">
        <w:rPr>
          <w:rFonts w:ascii="Arial" w:hAnsi="Arial" w:cs="Arial"/>
          <w:sz w:val="22"/>
          <w:szCs w:val="22"/>
          <w:highlight w:val="yellow"/>
        </w:rPr>
        <w:t>amplona</w:t>
      </w:r>
      <w:r w:rsidRPr="00865FB3">
        <w:rPr>
          <w:rFonts w:ascii="Arial" w:hAnsi="Arial" w:cs="Arial"/>
          <w:sz w:val="22"/>
          <w:szCs w:val="22"/>
        </w:rPr>
        <w:t>.</w:t>
      </w:r>
    </w:p>
    <w:p w14:paraId="70B01548" w14:textId="77777777" w:rsidR="00D53EDC" w:rsidRPr="00865FB3" w:rsidRDefault="00D53EDC" w:rsidP="00865FB3">
      <w:pPr>
        <w:pStyle w:val="Prrafodelista"/>
        <w:widowControl w:val="0"/>
        <w:spacing w:after="240" w:line="360" w:lineRule="auto"/>
        <w:ind w:left="0"/>
        <w:rPr>
          <w:rFonts w:ascii="Arial" w:hAnsi="Arial" w:cs="Arial"/>
          <w:sz w:val="22"/>
          <w:szCs w:val="22"/>
          <w:lang w:val="es-ES_tradnl" w:eastAsia="ar-SA"/>
        </w:rPr>
      </w:pPr>
      <w:r w:rsidRPr="00865FB3">
        <w:rPr>
          <w:rFonts w:ascii="Arial" w:hAnsi="Arial" w:cs="Arial"/>
          <w:sz w:val="22"/>
          <w:szCs w:val="22"/>
          <w:lang w:val="es-ES_tradnl"/>
        </w:rPr>
        <w:t xml:space="preserve">Es justicia. </w:t>
      </w:r>
    </w:p>
    <w:p w14:paraId="2E2D643E" w14:textId="77777777" w:rsidR="00114286" w:rsidRPr="00865FB3" w:rsidRDefault="00114286" w:rsidP="00865FB3">
      <w:pPr>
        <w:widowControl w:val="0"/>
        <w:spacing w:after="240" w:line="360" w:lineRule="auto"/>
        <w:jc w:val="center"/>
        <w:rPr>
          <w:rFonts w:ascii="Arial" w:eastAsia="Times New Roman" w:hAnsi="Arial" w:cs="Arial"/>
          <w:b/>
          <w:sz w:val="22"/>
          <w:szCs w:val="22"/>
          <w:lang w:eastAsia="es-ES"/>
        </w:rPr>
      </w:pPr>
      <w:r w:rsidRPr="00865FB3">
        <w:rPr>
          <w:rFonts w:ascii="Arial" w:eastAsia="Times New Roman" w:hAnsi="Arial" w:cs="Arial"/>
          <w:b/>
          <w:sz w:val="22"/>
          <w:szCs w:val="22"/>
          <w:lang w:eastAsia="es-ES"/>
        </w:rPr>
        <w:t>*</w:t>
      </w:r>
      <w:r w:rsidRPr="00865FB3">
        <w:rPr>
          <w:rFonts w:ascii="Arial" w:eastAsia="Times New Roman" w:hAnsi="Arial" w:cs="Arial"/>
          <w:b/>
          <w:sz w:val="22"/>
          <w:szCs w:val="22"/>
          <w:lang w:eastAsia="es-ES"/>
        </w:rPr>
        <w:tab/>
        <w:t>*</w:t>
      </w:r>
      <w:r w:rsidRPr="00865FB3">
        <w:rPr>
          <w:rFonts w:ascii="Arial" w:eastAsia="Times New Roman" w:hAnsi="Arial" w:cs="Arial"/>
          <w:b/>
          <w:sz w:val="22"/>
          <w:szCs w:val="22"/>
          <w:lang w:eastAsia="es-ES"/>
        </w:rPr>
        <w:tab/>
        <w:t>*</w:t>
      </w:r>
    </w:p>
    <w:p w14:paraId="1E6B71EC" w14:textId="30C97626" w:rsidR="00114286" w:rsidRPr="00865FB3" w:rsidRDefault="00114286" w:rsidP="00865FB3">
      <w:pPr>
        <w:widowControl w:val="0"/>
        <w:spacing w:after="240" w:line="360" w:lineRule="auto"/>
        <w:rPr>
          <w:rFonts w:ascii="Arial" w:hAnsi="Arial" w:cs="Arial"/>
          <w:sz w:val="22"/>
          <w:szCs w:val="22"/>
        </w:rPr>
      </w:pPr>
      <w:r w:rsidRPr="00865FB3">
        <w:rPr>
          <w:rFonts w:ascii="Arial" w:eastAsia="Times New Roman" w:hAnsi="Arial" w:cs="Arial"/>
          <w:b/>
          <w:caps/>
          <w:sz w:val="22"/>
          <w:szCs w:val="22"/>
          <w:u w:val="single"/>
          <w:lang w:val="es-ES_tradnl" w:eastAsia="es-ES"/>
        </w:rPr>
        <w:t>otrosí digo</w:t>
      </w:r>
      <w:r w:rsidRPr="00865FB3">
        <w:rPr>
          <w:rFonts w:ascii="Arial" w:eastAsia="Times New Roman" w:hAnsi="Arial" w:cs="Arial"/>
          <w:sz w:val="22"/>
          <w:szCs w:val="22"/>
          <w:lang w:val="es-ES_tradnl" w:eastAsia="es-ES"/>
        </w:rPr>
        <w:t xml:space="preserve">: que </w:t>
      </w:r>
      <w:r w:rsidRPr="00865FB3">
        <w:rPr>
          <w:rFonts w:ascii="Arial" w:hAnsi="Arial" w:cs="Arial"/>
          <w:sz w:val="22"/>
          <w:szCs w:val="22"/>
        </w:rPr>
        <w:t xml:space="preserve">esta representación ha intentado cumplir minuciosa y fielmente con los </w:t>
      </w:r>
      <w:r w:rsidRPr="00865FB3">
        <w:rPr>
          <w:rFonts w:ascii="Arial" w:hAnsi="Arial" w:cs="Arial"/>
          <w:sz w:val="22"/>
          <w:szCs w:val="22"/>
        </w:rPr>
        <w:lastRenderedPageBreak/>
        <w:t xml:space="preserve">requisitos exigidos por la LEC que defecto en que se pudiera haber incurrido conforme a lo dispuesto en los </w:t>
      </w:r>
      <w:r w:rsidR="00013E87" w:rsidRPr="00865FB3">
        <w:rPr>
          <w:rFonts w:ascii="Arial" w:hAnsi="Arial" w:cs="Arial"/>
          <w:sz w:val="22"/>
          <w:szCs w:val="22"/>
        </w:rPr>
        <w:t xml:space="preserve">puedan resultar aplicables, tanto en lo relativo al fondo como en la forma, poniéndose de manifiesto expresamente la voluntad de esta parte de subsanar cualquier </w:t>
      </w:r>
      <w:r w:rsidRPr="00865FB3">
        <w:rPr>
          <w:rFonts w:ascii="Arial" w:hAnsi="Arial" w:cs="Arial"/>
          <w:sz w:val="22"/>
          <w:szCs w:val="22"/>
        </w:rPr>
        <w:t>arts. 243 de la LOPJ y 231 de la LEC.</w:t>
      </w:r>
    </w:p>
    <w:p w14:paraId="1AFE2495" w14:textId="77777777" w:rsidR="00114286" w:rsidRPr="00865FB3" w:rsidRDefault="00114286" w:rsidP="00865FB3">
      <w:pPr>
        <w:widowControl w:val="0"/>
        <w:spacing w:after="240" w:line="360" w:lineRule="auto"/>
        <w:rPr>
          <w:rFonts w:ascii="Arial" w:eastAsia="Times New Roman" w:hAnsi="Arial" w:cs="Arial"/>
          <w:sz w:val="22"/>
          <w:szCs w:val="22"/>
          <w:lang w:eastAsia="es-ES"/>
        </w:rPr>
      </w:pPr>
      <w:r w:rsidRPr="00865FB3">
        <w:rPr>
          <w:rFonts w:ascii="Arial" w:eastAsia="Times New Roman" w:hAnsi="Arial" w:cs="Arial"/>
          <w:sz w:val="22"/>
          <w:szCs w:val="22"/>
          <w:lang w:eastAsia="es-ES"/>
        </w:rPr>
        <w:t>Por lo expuesto</w:t>
      </w:r>
    </w:p>
    <w:p w14:paraId="22CE244C" w14:textId="77777777" w:rsidR="00114286" w:rsidRPr="00865FB3" w:rsidRDefault="00114286" w:rsidP="00865FB3">
      <w:pPr>
        <w:widowControl w:val="0"/>
        <w:spacing w:after="240" w:line="360" w:lineRule="auto"/>
        <w:rPr>
          <w:rFonts w:ascii="Arial" w:hAnsi="Arial" w:cs="Arial"/>
          <w:sz w:val="22"/>
          <w:szCs w:val="22"/>
        </w:rPr>
      </w:pPr>
      <w:r w:rsidRPr="00865FB3">
        <w:rPr>
          <w:rFonts w:ascii="Arial" w:eastAsia="Times New Roman" w:hAnsi="Arial" w:cs="Arial"/>
          <w:b/>
          <w:caps/>
          <w:sz w:val="22"/>
          <w:szCs w:val="22"/>
          <w:u w:val="single"/>
          <w:lang w:val="es-ES_tradnl" w:eastAsia="es-ES"/>
        </w:rPr>
        <w:t>suplico al Juzgado</w:t>
      </w:r>
      <w:r w:rsidR="00D53EDC" w:rsidRPr="00865FB3">
        <w:rPr>
          <w:rFonts w:ascii="Arial" w:eastAsia="Times New Roman" w:hAnsi="Arial" w:cs="Arial"/>
          <w:b/>
          <w:caps/>
          <w:sz w:val="22"/>
          <w:szCs w:val="22"/>
          <w:u w:val="single"/>
          <w:lang w:val="es-ES_tradnl" w:eastAsia="es-ES"/>
        </w:rPr>
        <w:t xml:space="preserve"> para ante la audiencia</w:t>
      </w:r>
      <w:r w:rsidRPr="00865FB3">
        <w:rPr>
          <w:rFonts w:ascii="Arial" w:eastAsia="Times New Roman" w:hAnsi="Arial" w:cs="Arial"/>
          <w:caps/>
          <w:sz w:val="22"/>
          <w:szCs w:val="22"/>
          <w:lang w:val="es-ES_tradnl" w:eastAsia="es-ES"/>
        </w:rPr>
        <w:t xml:space="preserve">: </w:t>
      </w:r>
      <w:r w:rsidRPr="00865FB3">
        <w:rPr>
          <w:rFonts w:ascii="Arial" w:hAnsi="Arial" w:cs="Arial"/>
          <w:sz w:val="22"/>
          <w:szCs w:val="22"/>
        </w:rPr>
        <w:t>que tenga por hecha la manifestación anterior a los efectos legales oportunos.</w:t>
      </w:r>
    </w:p>
    <w:p w14:paraId="59534BFA" w14:textId="77777777" w:rsidR="00E577E1" w:rsidRPr="00865FB3" w:rsidRDefault="00114286" w:rsidP="00865FB3">
      <w:pPr>
        <w:widowControl w:val="0"/>
        <w:spacing w:after="240" w:line="360" w:lineRule="auto"/>
        <w:rPr>
          <w:rFonts w:ascii="Arial" w:eastAsia="Times New Roman" w:hAnsi="Arial" w:cs="Arial"/>
          <w:sz w:val="22"/>
          <w:szCs w:val="22"/>
          <w:lang w:val="es-ES_tradnl" w:eastAsia="es-ES"/>
        </w:rPr>
      </w:pPr>
      <w:r w:rsidRPr="00865FB3">
        <w:rPr>
          <w:rFonts w:ascii="Arial" w:eastAsia="Times New Roman" w:hAnsi="Arial" w:cs="Arial"/>
          <w:sz w:val="22"/>
          <w:szCs w:val="22"/>
          <w:lang w:val="es-ES_tradnl" w:eastAsia="es-ES"/>
        </w:rPr>
        <w:t>Es Justicia.</w:t>
      </w:r>
    </w:p>
    <w:p w14:paraId="6B96A3E3" w14:textId="371EAF17" w:rsidR="005D2CBE" w:rsidRPr="00865FB3" w:rsidRDefault="00114286" w:rsidP="00865FB3">
      <w:pPr>
        <w:widowControl w:val="0"/>
        <w:spacing w:after="240" w:line="360" w:lineRule="auto"/>
        <w:rPr>
          <w:rFonts w:ascii="Arial" w:hAnsi="Arial" w:cs="Arial"/>
          <w:sz w:val="22"/>
          <w:szCs w:val="22"/>
        </w:rPr>
      </w:pPr>
      <w:r w:rsidRPr="00865FB3">
        <w:rPr>
          <w:rFonts w:ascii="Arial" w:hAnsi="Arial" w:cs="Arial"/>
          <w:sz w:val="22"/>
          <w:szCs w:val="22"/>
          <w:highlight w:val="yellow"/>
        </w:rPr>
        <w:t xml:space="preserve">En </w:t>
      </w:r>
      <w:r w:rsidR="00AD61C7" w:rsidRPr="00865FB3">
        <w:rPr>
          <w:rFonts w:ascii="Arial" w:hAnsi="Arial" w:cs="Arial"/>
          <w:sz w:val="22"/>
          <w:szCs w:val="22"/>
          <w:highlight w:val="yellow"/>
        </w:rPr>
        <w:t>Pamplona</w:t>
      </w:r>
      <w:r w:rsidRPr="00865FB3">
        <w:rPr>
          <w:rFonts w:ascii="Arial" w:hAnsi="Arial" w:cs="Arial"/>
          <w:sz w:val="22"/>
          <w:szCs w:val="22"/>
          <w:highlight w:val="yellow"/>
        </w:rPr>
        <w:t>, a</w:t>
      </w:r>
      <w:r w:rsidR="00866232" w:rsidRPr="00865FB3">
        <w:rPr>
          <w:rFonts w:ascii="Arial" w:hAnsi="Arial" w:cs="Arial"/>
          <w:sz w:val="22"/>
          <w:szCs w:val="22"/>
          <w:highlight w:val="yellow"/>
        </w:rPr>
        <w:t xml:space="preserve"> </w:t>
      </w:r>
      <w:r w:rsidR="00AD61C7" w:rsidRPr="00865FB3">
        <w:rPr>
          <w:rFonts w:ascii="Arial" w:hAnsi="Arial" w:cs="Arial"/>
          <w:sz w:val="22"/>
          <w:szCs w:val="22"/>
          <w:highlight w:val="yellow"/>
        </w:rPr>
        <w:t>quince</w:t>
      </w:r>
      <w:r w:rsidR="00013E87" w:rsidRPr="00865FB3">
        <w:rPr>
          <w:rFonts w:ascii="Arial" w:hAnsi="Arial" w:cs="Arial"/>
          <w:sz w:val="22"/>
          <w:szCs w:val="22"/>
          <w:highlight w:val="yellow"/>
        </w:rPr>
        <w:t xml:space="preserve"> de febrero de dos mil veintidós</w:t>
      </w:r>
      <w:r w:rsidR="00D878F3" w:rsidRPr="00865FB3">
        <w:rPr>
          <w:rFonts w:ascii="Arial" w:hAnsi="Arial" w:cs="Arial"/>
          <w:sz w:val="22"/>
          <w:szCs w:val="22"/>
          <w:highlight w:val="yellow"/>
        </w:rPr>
        <w:t>.</w:t>
      </w:r>
    </w:p>
    <w:p w14:paraId="0D1A3527" w14:textId="77777777" w:rsidR="00E577E1" w:rsidRPr="00865FB3" w:rsidRDefault="00E577E1" w:rsidP="00865FB3">
      <w:pPr>
        <w:widowControl w:val="0"/>
        <w:spacing w:after="240" w:line="360" w:lineRule="auto"/>
        <w:rPr>
          <w:rFonts w:ascii="Arial" w:eastAsia="Times New Roman" w:hAnsi="Arial" w:cs="Arial"/>
          <w:sz w:val="22"/>
          <w:szCs w:val="22"/>
          <w:lang w:eastAsia="es-ES"/>
        </w:rPr>
      </w:pPr>
    </w:p>
    <w:sectPr w:rsidR="00E577E1" w:rsidRPr="00865FB3" w:rsidSect="009002A7">
      <w:headerReference w:type="even" r:id="rId13"/>
      <w:headerReference w:type="default" r:id="rId14"/>
      <w:footerReference w:type="even" r:id="rId15"/>
      <w:footerReference w:type="default" r:id="rId16"/>
      <w:headerReference w:type="first" r:id="rId17"/>
      <w:footerReference w:type="first" r:id="rId18"/>
      <w:pgSz w:w="11906" w:h="16838" w:code="9"/>
      <w:pgMar w:top="2127" w:right="1418" w:bottom="1701"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DA053D" w14:textId="77777777" w:rsidR="005F45EC" w:rsidRDefault="005F45EC" w:rsidP="00E6091E">
      <w:pPr>
        <w:spacing w:before="0" w:after="0"/>
      </w:pPr>
      <w:r>
        <w:separator/>
      </w:r>
    </w:p>
  </w:endnote>
  <w:endnote w:type="continuationSeparator" w:id="0">
    <w:p w14:paraId="3BDBEACF" w14:textId="77777777" w:rsidR="005F45EC" w:rsidRDefault="005F45EC" w:rsidP="00E6091E">
      <w:pPr>
        <w:spacing w:before="0" w:after="0"/>
      </w:pPr>
      <w:r>
        <w:continuationSeparator/>
      </w:r>
    </w:p>
  </w:endnote>
  <w:endnote w:type="continuationNotice" w:id="1">
    <w:p w14:paraId="6BAAEF27" w14:textId="77777777" w:rsidR="005F45EC" w:rsidRDefault="005F45E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E0B300" w14:textId="77777777" w:rsidR="00E2089E" w:rsidRDefault="00E2089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A61CB3" w14:textId="044CD4EE" w:rsidR="00BD7402" w:rsidRDefault="00BD7402" w:rsidP="00AC3B85">
    <w:pPr>
      <w:pStyle w:val="Piedepgina"/>
    </w:pPr>
    <w:r w:rsidRPr="00CA3ECA">
      <w:rPr>
        <w:rFonts w:cs="Times New Roman"/>
        <w:szCs w:val="16"/>
      </w:rPr>
      <w:tab/>
    </w:r>
    <w:r w:rsidRPr="00CA3ECA">
      <w:rPr>
        <w:rFonts w:cs="Times New Roman"/>
        <w:sz w:val="20"/>
        <w:szCs w:val="20"/>
      </w:rPr>
      <w:fldChar w:fldCharType="begin"/>
    </w:r>
    <w:r w:rsidRPr="00CA3ECA">
      <w:rPr>
        <w:rFonts w:cs="Times New Roman"/>
        <w:sz w:val="20"/>
        <w:szCs w:val="20"/>
      </w:rPr>
      <w:instrText xml:space="preserve"> PAGE </w:instrText>
    </w:r>
    <w:r w:rsidRPr="00CA3ECA">
      <w:rPr>
        <w:rFonts w:cs="Times New Roman"/>
        <w:sz w:val="20"/>
        <w:szCs w:val="20"/>
      </w:rPr>
      <w:fldChar w:fldCharType="separate"/>
    </w:r>
    <w:r w:rsidR="00285858">
      <w:rPr>
        <w:rFonts w:cs="Times New Roman"/>
        <w:noProof/>
        <w:sz w:val="20"/>
        <w:szCs w:val="20"/>
      </w:rPr>
      <w:t>14</w:t>
    </w:r>
    <w:r w:rsidRPr="00CA3ECA">
      <w:rPr>
        <w:rFonts w:cs="Times New Roman"/>
        <w:sz w:val="20"/>
        <w:szCs w:val="20"/>
      </w:rPr>
      <w:fldChar w:fldCharType="end"/>
    </w:r>
    <w:r w:rsidRPr="00CA3ECA">
      <w:rPr>
        <w:rFonts w:cs="Times New Roman"/>
        <w:sz w:val="20"/>
        <w:szCs w:val="20"/>
      </w:rPr>
      <w:t>/</w:t>
    </w:r>
    <w:r w:rsidRPr="00CA3ECA">
      <w:rPr>
        <w:rFonts w:cs="Times New Roman"/>
        <w:sz w:val="20"/>
        <w:szCs w:val="20"/>
      </w:rPr>
      <w:fldChar w:fldCharType="begin"/>
    </w:r>
    <w:r w:rsidRPr="00CA3ECA">
      <w:rPr>
        <w:rFonts w:cs="Times New Roman"/>
        <w:sz w:val="20"/>
        <w:szCs w:val="20"/>
      </w:rPr>
      <w:instrText xml:space="preserve"> NUMPAGES  </w:instrText>
    </w:r>
    <w:r w:rsidRPr="00CA3ECA">
      <w:rPr>
        <w:rFonts w:cs="Times New Roman"/>
        <w:sz w:val="20"/>
        <w:szCs w:val="20"/>
      </w:rPr>
      <w:fldChar w:fldCharType="separate"/>
    </w:r>
    <w:r w:rsidR="00285858">
      <w:rPr>
        <w:rFonts w:cs="Times New Roman"/>
        <w:noProof/>
        <w:sz w:val="20"/>
        <w:szCs w:val="20"/>
      </w:rPr>
      <w:t>14</w:t>
    </w:r>
    <w:r w:rsidRPr="00CA3ECA">
      <w:rPr>
        <w:rFonts w:cs="Times New Roman"/>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870869" w14:textId="77777777" w:rsidR="00E2089E" w:rsidRDefault="00E2089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6F24DE" w14:textId="77777777" w:rsidR="005F45EC" w:rsidRDefault="005F45EC" w:rsidP="00E6091E">
      <w:pPr>
        <w:spacing w:before="0" w:after="0"/>
      </w:pPr>
      <w:r>
        <w:separator/>
      </w:r>
    </w:p>
  </w:footnote>
  <w:footnote w:type="continuationSeparator" w:id="0">
    <w:p w14:paraId="0B3A98F8" w14:textId="77777777" w:rsidR="005F45EC" w:rsidRDefault="005F45EC" w:rsidP="00E6091E">
      <w:pPr>
        <w:spacing w:before="0" w:after="0"/>
      </w:pPr>
      <w:r>
        <w:continuationSeparator/>
      </w:r>
    </w:p>
  </w:footnote>
  <w:footnote w:type="continuationNotice" w:id="1">
    <w:p w14:paraId="5F0ACAEA" w14:textId="77777777" w:rsidR="005F45EC" w:rsidRDefault="005F45EC">
      <w:pPr>
        <w:spacing w:before="0" w:after="0" w:line="240" w:lineRule="auto"/>
      </w:pPr>
    </w:p>
  </w:footnote>
  <w:footnote w:id="2">
    <w:p w14:paraId="2C528601" w14:textId="77777777" w:rsidR="00800506" w:rsidRDefault="00800506" w:rsidP="00800506">
      <w:pPr>
        <w:pStyle w:val="Textonotapie"/>
        <w:spacing w:line="240" w:lineRule="auto"/>
      </w:pPr>
      <w:r>
        <w:rPr>
          <w:rStyle w:val="Refdenotaalpie"/>
        </w:rPr>
        <w:footnoteRef/>
      </w:r>
      <w:r>
        <w:t xml:space="preserve"> Sentencia de la Sala Primera de 27 de octubre de 1960 (</w:t>
      </w:r>
      <w:proofErr w:type="spellStart"/>
      <w:r>
        <w:t>Roj</w:t>
      </w:r>
      <w:proofErr w:type="spellEnd"/>
      <w:r>
        <w:t>: STS 2025/1960): la sentencia que declara imprescriptible la acción de nulidad por usura —sin mención específica a la acción o efecto restitutorio— infringe el art. 1.964 CC.</w:t>
      </w:r>
    </w:p>
  </w:footnote>
  <w:footnote w:id="3">
    <w:p w14:paraId="74EBA5E2" w14:textId="77777777" w:rsidR="00800506" w:rsidRPr="00FD58D0" w:rsidRDefault="00800506" w:rsidP="00800506">
      <w:pPr>
        <w:pStyle w:val="Textonotapie"/>
        <w:spacing w:line="240" w:lineRule="auto"/>
      </w:pPr>
      <w:r>
        <w:rPr>
          <w:rStyle w:val="Refdenotaalpie"/>
        </w:rPr>
        <w:footnoteRef/>
      </w:r>
      <w:r>
        <w:t xml:space="preserve"> </w:t>
      </w:r>
      <w:r>
        <w:rPr>
          <w:smallCaps/>
        </w:rPr>
        <w:t xml:space="preserve">Díez-Picazo, L., </w:t>
      </w:r>
      <w:r>
        <w:rPr>
          <w:i/>
        </w:rPr>
        <w:t>Fundamentos del Derecho Civil Patrimonial</w:t>
      </w:r>
      <w:r>
        <w:t xml:space="preserve">, I, Thomson-Reuters, Cizur Menor, 2007, pp. 618-619; </w:t>
      </w:r>
      <w:r>
        <w:rPr>
          <w:smallCaps/>
        </w:rPr>
        <w:t>Á. Carrasco Perera</w:t>
      </w:r>
      <w:r>
        <w:t xml:space="preserve">, </w:t>
      </w:r>
      <w:r>
        <w:rPr>
          <w:i/>
        </w:rPr>
        <w:t>Derecho de los contratos</w:t>
      </w:r>
      <w:r>
        <w:t xml:space="preserve">, 2.ª ed., Thomson-Reuters, Cizur Menor, 2009, pp. 654-655; </w:t>
      </w:r>
      <w:r>
        <w:rPr>
          <w:smallCaps/>
        </w:rPr>
        <w:t xml:space="preserve">Delgado Echevarría, J. / Parra </w:t>
      </w:r>
      <w:proofErr w:type="spellStart"/>
      <w:r>
        <w:rPr>
          <w:smallCaps/>
        </w:rPr>
        <w:t>Lucán</w:t>
      </w:r>
      <w:proofErr w:type="spellEnd"/>
      <w:r>
        <w:rPr>
          <w:smallCaps/>
        </w:rPr>
        <w:t>, M. Á.</w:t>
      </w:r>
      <w:r>
        <w:t xml:space="preserve">, </w:t>
      </w:r>
      <w:r>
        <w:rPr>
          <w:i/>
        </w:rPr>
        <w:t>Las nulidades de los contratos</w:t>
      </w:r>
      <w:r>
        <w:t xml:space="preserve">, Dykinson, Madrid, 2005, pp. 118-119 y 65; </w:t>
      </w:r>
      <w:proofErr w:type="spellStart"/>
      <w:r>
        <w:rPr>
          <w:smallCaps/>
        </w:rPr>
        <w:t>Pasquau</w:t>
      </w:r>
      <w:proofErr w:type="spellEnd"/>
      <w:r>
        <w:rPr>
          <w:smallCaps/>
        </w:rPr>
        <w:t xml:space="preserve"> Liaño, M., </w:t>
      </w:r>
      <w:r>
        <w:rPr>
          <w:i/>
        </w:rPr>
        <w:t>Nulidad y anulabilidad del contrato</w:t>
      </w:r>
      <w:r>
        <w:t xml:space="preserve">, </w:t>
      </w:r>
      <w:proofErr w:type="spellStart"/>
      <w:r>
        <w:t>Civitas</w:t>
      </w:r>
      <w:proofErr w:type="spellEnd"/>
      <w:r>
        <w:t xml:space="preserve">, Pamplona, 1997, pp. 277 y ss.; </w:t>
      </w:r>
      <w:r w:rsidRPr="009D3A0C">
        <w:rPr>
          <w:smallCaps/>
        </w:rPr>
        <w:t xml:space="preserve">Durán </w:t>
      </w:r>
      <w:proofErr w:type="spellStart"/>
      <w:r w:rsidRPr="009D3A0C">
        <w:rPr>
          <w:smallCaps/>
        </w:rPr>
        <w:t>Rivacoba</w:t>
      </w:r>
      <w:proofErr w:type="spellEnd"/>
      <w:r w:rsidRPr="009D3A0C">
        <w:rPr>
          <w:smallCaps/>
        </w:rPr>
        <w:t xml:space="preserve">, R. </w:t>
      </w:r>
      <w:r>
        <w:rPr>
          <w:smallCaps/>
        </w:rPr>
        <w:t>“</w:t>
      </w:r>
      <w:r>
        <w:t xml:space="preserve">Cuestión prejudicial acerca del comienzo del plazo de prescripción de las acciones restitutorias de las cantidades pagadas por el consumidor como consecuencia de una cláusula nula”, </w:t>
      </w:r>
      <w:r w:rsidRPr="009D3A0C">
        <w:rPr>
          <w:i/>
        </w:rPr>
        <w:t xml:space="preserve">Diario La Ley, Nº </w:t>
      </w:r>
      <w:r>
        <w:rPr>
          <w:i/>
        </w:rPr>
        <w:t>9923</w:t>
      </w:r>
      <w:r w:rsidRPr="009D3A0C">
        <w:t xml:space="preserve">, Sección Tribuna, </w:t>
      </w:r>
      <w:r>
        <w:t>29</w:t>
      </w:r>
      <w:r w:rsidRPr="009D3A0C">
        <w:t xml:space="preserve"> de </w:t>
      </w:r>
      <w:r>
        <w:t>Septiembre</w:t>
      </w:r>
      <w:r w:rsidRPr="009D3A0C">
        <w:t xml:space="preserve"> de 2021</w:t>
      </w:r>
      <w:r>
        <w:t>, entre otros.</w:t>
      </w:r>
    </w:p>
  </w:footnote>
  <w:footnote w:id="4">
    <w:p w14:paraId="0F47C0EC" w14:textId="77777777" w:rsidR="00800506" w:rsidRPr="00686543" w:rsidRDefault="00800506" w:rsidP="00800506">
      <w:pPr>
        <w:pStyle w:val="Textonotapie"/>
        <w:spacing w:line="240" w:lineRule="auto"/>
      </w:pPr>
      <w:r>
        <w:rPr>
          <w:rStyle w:val="Refdenotaalpie"/>
        </w:rPr>
        <w:footnoteRef/>
      </w:r>
      <w:r>
        <w:t xml:space="preserve"> </w:t>
      </w:r>
      <w:r>
        <w:rPr>
          <w:smallCaps/>
        </w:rPr>
        <w:t xml:space="preserve">Díez-Picazo, L., </w:t>
      </w:r>
      <w:r>
        <w:rPr>
          <w:i/>
        </w:rPr>
        <w:t>Fundamentos del Derecho Civil Patrimonial</w:t>
      </w:r>
      <w:r>
        <w:t xml:space="preserve">, IV, Thomson-Reuters, Cizur Menor, 2010, p. 556. En el mismo sentido, </w:t>
      </w:r>
      <w:r>
        <w:rPr>
          <w:smallCaps/>
        </w:rPr>
        <w:t xml:space="preserve">Jiménez Muñoz, F. J., </w:t>
      </w:r>
      <w:r w:rsidRPr="000B388D">
        <w:rPr>
          <w:i/>
        </w:rPr>
        <w:t>La usura. Evolución histórica y patología de los intereses</w:t>
      </w:r>
      <w:r w:rsidRPr="007E1B5D">
        <w:t>, Dykinson, Madrid, 2010, p. 143;</w:t>
      </w:r>
      <w:r>
        <w:t xml:space="preserve"> </w:t>
      </w:r>
      <w:r>
        <w:rPr>
          <w:smallCaps/>
        </w:rPr>
        <w:t>S</w:t>
      </w:r>
      <w:r w:rsidRPr="00817228">
        <w:rPr>
          <w:smallCaps/>
        </w:rPr>
        <w:t xml:space="preserve">abater </w:t>
      </w:r>
      <w:r>
        <w:rPr>
          <w:smallCaps/>
        </w:rPr>
        <w:t>B</w:t>
      </w:r>
      <w:r w:rsidRPr="00817228">
        <w:rPr>
          <w:smallCaps/>
        </w:rPr>
        <w:t>ayle</w:t>
      </w:r>
      <w:r>
        <w:t xml:space="preserve">, I., </w:t>
      </w:r>
      <w:r>
        <w:rPr>
          <w:i/>
        </w:rPr>
        <w:t xml:space="preserve">Préstamo con interés, usura y cláusulas de estabilización, </w:t>
      </w:r>
      <w:r w:rsidRPr="000B388D">
        <w:t>Aranzadi, Pamplona</w:t>
      </w:r>
      <w:r>
        <w:t>, 1986,</w:t>
      </w:r>
      <w:r w:rsidRPr="007E1B5D">
        <w:t xml:space="preserve"> p. </w:t>
      </w:r>
      <w:r>
        <w:t xml:space="preserve">161 </w:t>
      </w:r>
      <w:r w:rsidRPr="007E1B5D">
        <w:t xml:space="preserve">(aunque </w:t>
      </w:r>
      <w:r>
        <w:t>sostiene</w:t>
      </w:r>
      <w:r w:rsidRPr="007E1B5D">
        <w:t xml:space="preserve"> la aplicación del plazo de cuatro años del art. 1.301 del Código Civil)</w:t>
      </w:r>
      <w:r>
        <w:t xml:space="preserve">. </w:t>
      </w:r>
      <w:r w:rsidRPr="009D3A0C">
        <w:t xml:space="preserve">Asimismo, recientemente, </w:t>
      </w:r>
      <w:r w:rsidRPr="009D3A0C">
        <w:rPr>
          <w:smallCaps/>
        </w:rPr>
        <w:t>del Olmo García, P</w:t>
      </w:r>
      <w:r w:rsidRPr="009D3A0C">
        <w:t>. “Cláusulas abusivas, usura y la acción de devolución de cantidades”, Almacén de Derecho, 10 de marzo de 2021 (</w:t>
      </w:r>
      <w:hyperlink r:id="rId1" w:history="1">
        <w:r w:rsidRPr="009D3A0C">
          <w:rPr>
            <w:rStyle w:val="Hipervnculo"/>
          </w:rPr>
          <w:t>https://almacendederecho.org/nulidad-de-pleno-derecho-y-prescripcion</w:t>
        </w:r>
      </w:hyperlink>
      <w:r w:rsidRPr="009D3A0C">
        <w:t xml:space="preserve">), y </w:t>
      </w:r>
      <w:r w:rsidRPr="009D3A0C">
        <w:rPr>
          <w:smallCaps/>
        </w:rPr>
        <w:t xml:space="preserve">Durán </w:t>
      </w:r>
      <w:proofErr w:type="spellStart"/>
      <w:r w:rsidRPr="009D3A0C">
        <w:rPr>
          <w:smallCaps/>
        </w:rPr>
        <w:t>Rivacoba</w:t>
      </w:r>
      <w:proofErr w:type="spellEnd"/>
      <w:r w:rsidRPr="009D3A0C">
        <w:rPr>
          <w:smallCaps/>
        </w:rPr>
        <w:t>, R. / Muñiz Casanova, N.</w:t>
      </w:r>
      <w:r w:rsidRPr="009D3A0C">
        <w:t xml:space="preserve">, “La prescripción de la acción de resarcimiento derivado de la nulidad de un crédito </w:t>
      </w:r>
      <w:proofErr w:type="spellStart"/>
      <w:r w:rsidRPr="009D3A0C">
        <w:t>revolving</w:t>
      </w:r>
      <w:proofErr w:type="spellEnd"/>
      <w:r w:rsidRPr="009D3A0C">
        <w:t xml:space="preserve">”, </w:t>
      </w:r>
      <w:r w:rsidRPr="009D3A0C">
        <w:rPr>
          <w:i/>
        </w:rPr>
        <w:t>Diario La Ley, Nº 9775</w:t>
      </w:r>
      <w:r w:rsidRPr="009D3A0C">
        <w:t>, Sección Tribuna, 21 de Enero de 2021.</w:t>
      </w:r>
      <w:r>
        <w:t xml:space="preserve"> En el mismo sentido, </w:t>
      </w:r>
      <w:r>
        <w:rPr>
          <w:smallCaps/>
        </w:rPr>
        <w:t>Marín López, M. J.</w:t>
      </w:r>
      <w:r>
        <w:t>, “L</w:t>
      </w:r>
      <w:r w:rsidRPr="00DF473F">
        <w:t xml:space="preserve">a prescripción de la acción de restitución de cantidades tras la nulidad de un crédito </w:t>
      </w:r>
      <w:proofErr w:type="spellStart"/>
      <w:r w:rsidRPr="00DF473F">
        <w:t>revolving</w:t>
      </w:r>
      <w:proofErr w:type="spellEnd"/>
      <w:r w:rsidRPr="00DF473F">
        <w:t xml:space="preserve"> usurario</w:t>
      </w:r>
      <w:r>
        <w:t xml:space="preserve">”, </w:t>
      </w:r>
      <w:r>
        <w:rPr>
          <w:i/>
        </w:rPr>
        <w:t xml:space="preserve">Revista </w:t>
      </w:r>
      <w:proofErr w:type="spellStart"/>
      <w:r w:rsidRPr="00DF473F">
        <w:rPr>
          <w:i/>
        </w:rPr>
        <w:t>Cesco</w:t>
      </w:r>
      <w:proofErr w:type="spellEnd"/>
      <w:r>
        <w:rPr>
          <w:i/>
        </w:rPr>
        <w:t xml:space="preserve"> de Derecho de Consumo</w:t>
      </w:r>
      <w:r>
        <w:t xml:space="preserve">, </w:t>
      </w:r>
      <w:r w:rsidRPr="00DF473F">
        <w:rPr>
          <w:i/>
        </w:rPr>
        <w:t>Nº 38/2021</w:t>
      </w:r>
      <w:r>
        <w:t>, ISSN: 2254-2582.</w:t>
      </w:r>
    </w:p>
  </w:footnote>
  <w:footnote w:id="5">
    <w:p w14:paraId="4EC0CDEA" w14:textId="77777777" w:rsidR="00800506" w:rsidRDefault="00800506" w:rsidP="00800506">
      <w:pPr>
        <w:pStyle w:val="Textonotapie"/>
        <w:spacing w:line="240" w:lineRule="auto"/>
      </w:pPr>
      <w:r>
        <w:rPr>
          <w:rStyle w:val="Refdenotaalpie"/>
        </w:rPr>
        <w:footnoteRef/>
      </w:r>
      <w:r>
        <w:t xml:space="preserve"> </w:t>
      </w:r>
      <w:r w:rsidRPr="0053423C">
        <w:rPr>
          <w:i/>
        </w:rPr>
        <w:t>V</w:t>
      </w:r>
      <w:r>
        <w:rPr>
          <w:i/>
        </w:rPr>
        <w:t>i</w:t>
      </w:r>
      <w:r w:rsidRPr="0053423C">
        <w:rPr>
          <w:i/>
        </w:rPr>
        <w:t>d</w:t>
      </w:r>
      <w:r w:rsidRPr="0053423C">
        <w:t>.</w:t>
      </w:r>
      <w:r>
        <w:t>, entre otras muchas</w:t>
      </w:r>
      <w:r w:rsidRPr="00F17FAE">
        <w:t>, Sentencias de la Sección 28.ª de la</w:t>
      </w:r>
      <w:r w:rsidRPr="001606AF">
        <w:rPr>
          <w:b/>
        </w:rPr>
        <w:t xml:space="preserve"> Audiencia Provincial de Madrid</w:t>
      </w:r>
      <w:r>
        <w:t xml:space="preserve"> núm. </w:t>
      </w:r>
      <w:r w:rsidRPr="00553E88">
        <w:t>929/2019, de 11 de septiembre (JUR 2020\71044)</w:t>
      </w:r>
      <w:r>
        <w:t xml:space="preserve">; </w:t>
      </w:r>
      <w:r w:rsidRPr="00F17FAE">
        <w:t>de la Sección 15.ª de la</w:t>
      </w:r>
      <w:r w:rsidRPr="001606AF">
        <w:rPr>
          <w:b/>
        </w:rPr>
        <w:t xml:space="preserve"> Audiencia Provincial de Barcelona</w:t>
      </w:r>
      <w:r>
        <w:t xml:space="preserve"> núm</w:t>
      </w:r>
      <w:r w:rsidRPr="00F17FAE">
        <w:t>. 307/2021</w:t>
      </w:r>
      <w:r>
        <w:t>, de 24 febrero (</w:t>
      </w:r>
      <w:r w:rsidRPr="00F17FAE">
        <w:t>JUR 2021\101305</w:t>
      </w:r>
      <w:r>
        <w:t xml:space="preserve">); </w:t>
      </w:r>
      <w:r w:rsidRPr="00F17FAE">
        <w:t>de la Sección 9.ª de la</w:t>
      </w:r>
      <w:r w:rsidRPr="001606AF">
        <w:rPr>
          <w:b/>
        </w:rPr>
        <w:t xml:space="preserve"> Audiencia Provincial de Valencia</w:t>
      </w:r>
      <w:r>
        <w:t xml:space="preserve"> </w:t>
      </w:r>
      <w:r w:rsidRPr="00FE25C3">
        <w:t>núm. 236/2019, de 26 de febrero (JUR 2019\110108)</w:t>
      </w:r>
      <w:r>
        <w:t xml:space="preserve">; </w:t>
      </w:r>
      <w:r w:rsidRPr="00F17FAE">
        <w:t>de la</w:t>
      </w:r>
      <w:r w:rsidRPr="001606AF">
        <w:rPr>
          <w:b/>
        </w:rPr>
        <w:t xml:space="preserve"> Audiencia Provincial de Islas Baleares</w:t>
      </w:r>
      <w:r w:rsidRPr="00F17FAE">
        <w:t>, Sec. 5.ª, núm. 651/2019, de 30 de septiembre (JUR 2019\304284); de la</w:t>
      </w:r>
      <w:r w:rsidRPr="001606AF">
        <w:rPr>
          <w:b/>
        </w:rPr>
        <w:t xml:space="preserve"> Audiencia Provincial de A Coruña</w:t>
      </w:r>
      <w:r w:rsidRPr="00F17FAE">
        <w:t xml:space="preserve">, Sec. 4.ª, núm. 53/2020, de 14 de febrero (JUR 2020\136613); de la </w:t>
      </w:r>
      <w:r w:rsidRPr="00F17FAE">
        <w:rPr>
          <w:b/>
        </w:rPr>
        <w:t>Audiencia Provincial de</w:t>
      </w:r>
      <w:r w:rsidRPr="001606AF">
        <w:rPr>
          <w:b/>
        </w:rPr>
        <w:t xml:space="preserve"> Murcia</w:t>
      </w:r>
      <w:r w:rsidRPr="00F17FAE">
        <w:t>, Sec. 4.ª, núm</w:t>
      </w:r>
      <w:r w:rsidRPr="00C66BEA">
        <w:t>. 34/2019, de 10 de enero (AC 2019\</w:t>
      </w:r>
      <w:r w:rsidRPr="00F17FAE">
        <w:t>320); de la</w:t>
      </w:r>
      <w:r w:rsidRPr="001606AF">
        <w:rPr>
          <w:b/>
        </w:rPr>
        <w:t xml:space="preserve"> Audiencia Provincial de Zaragoza, Sec. 5.ª</w:t>
      </w:r>
      <w:r w:rsidRPr="00C66BEA">
        <w:t>, núm. 927/2019, de 20 de noviembre (JUR 2020\7882</w:t>
      </w:r>
      <w:r w:rsidRPr="00F17FAE">
        <w:rPr>
          <w:b/>
        </w:rPr>
        <w:t xml:space="preserve">); de la </w:t>
      </w:r>
      <w:r w:rsidRPr="001606AF">
        <w:rPr>
          <w:b/>
        </w:rPr>
        <w:t>Audiencia Provincial de Jaén</w:t>
      </w:r>
      <w:r w:rsidRPr="00F17FAE">
        <w:t>, Sec. 1.ª</w:t>
      </w:r>
      <w:r w:rsidRPr="00C66BEA">
        <w:t>, núm. 644/2019, de 19 de junio (JUR 2020\5633)</w:t>
      </w:r>
      <w:r>
        <w:t>;</w:t>
      </w:r>
      <w:r w:rsidRPr="001606AF">
        <w:t xml:space="preserve"> </w:t>
      </w:r>
      <w:r>
        <w:t xml:space="preserve">de la </w:t>
      </w:r>
      <w:r w:rsidRPr="001606AF">
        <w:rPr>
          <w:b/>
        </w:rPr>
        <w:t>Audiencia Provincial de Lugo</w:t>
      </w:r>
      <w:r w:rsidRPr="00F17FAE">
        <w:t>, Sec. 1.ª,</w:t>
      </w:r>
      <w:r w:rsidRPr="00827D3F">
        <w:t xml:space="preserve"> núm. 336/2020, de</w:t>
      </w:r>
      <w:r>
        <w:t xml:space="preserve"> 2 de julio (JUR 2020\241516);</w:t>
      </w:r>
      <w:r w:rsidRPr="00827D3F">
        <w:t xml:space="preserve"> </w:t>
      </w:r>
      <w:r w:rsidRPr="00F17FAE">
        <w:t>de la</w:t>
      </w:r>
      <w:r w:rsidRPr="001606AF">
        <w:rPr>
          <w:b/>
        </w:rPr>
        <w:t xml:space="preserve"> Audiencia Provincial de Cáceres</w:t>
      </w:r>
      <w:r w:rsidRPr="00F17FAE">
        <w:t>, Sec. 1.ª</w:t>
      </w:r>
      <w:r>
        <w:t xml:space="preserve">, núm. 367/2019, de 4 de junio (JUR 2019\204067); </w:t>
      </w:r>
      <w:r w:rsidRPr="00F17FAE">
        <w:t>de la</w:t>
      </w:r>
      <w:r w:rsidRPr="00A20887">
        <w:rPr>
          <w:b/>
        </w:rPr>
        <w:t xml:space="preserve"> Audiencia Provincial de Salamanca</w:t>
      </w:r>
      <w:r w:rsidRPr="00F17FAE">
        <w:t>, Sec. 1.ª</w:t>
      </w:r>
      <w:r>
        <w:t>,</w:t>
      </w:r>
      <w:r w:rsidRPr="00DB2606">
        <w:t xml:space="preserve"> núm. 32/2020, de 20 de enero (JUR 2020\104565</w:t>
      </w:r>
      <w:r>
        <w:t>); o</w:t>
      </w:r>
      <w:r w:rsidRPr="00DB2606">
        <w:t xml:space="preserve"> </w:t>
      </w:r>
      <w:r w:rsidRPr="00A20887">
        <w:rPr>
          <w:b/>
        </w:rPr>
        <w:t>de la Audiencia Provincial de Girona, Sec. 1</w:t>
      </w:r>
      <w:r>
        <w:rPr>
          <w:b/>
        </w:rPr>
        <w:t>.</w:t>
      </w:r>
      <w:r w:rsidRPr="00A20887">
        <w:rPr>
          <w:b/>
        </w:rPr>
        <w:t>ª</w:t>
      </w:r>
      <w:r>
        <w:t>,</w:t>
      </w:r>
      <w:r w:rsidRPr="00DB2606">
        <w:t xml:space="preserve"> núm. 185/2019, </w:t>
      </w:r>
      <w:r>
        <w:t xml:space="preserve">de 13 de marzo (JUR 2019\87797). </w:t>
      </w:r>
    </w:p>
  </w:footnote>
  <w:footnote w:id="6">
    <w:p w14:paraId="55A85BFA" w14:textId="77777777" w:rsidR="00800506" w:rsidRDefault="00800506" w:rsidP="00800506">
      <w:pPr>
        <w:pStyle w:val="Textonotapie"/>
        <w:spacing w:line="240" w:lineRule="auto"/>
      </w:pPr>
      <w:r>
        <w:rPr>
          <w:rStyle w:val="Refdenotaalpie"/>
        </w:rPr>
        <w:footnoteRef/>
      </w:r>
      <w:r>
        <w:t xml:space="preserve"> </w:t>
      </w:r>
      <w:r w:rsidRPr="0053423C">
        <w:rPr>
          <w:i/>
        </w:rPr>
        <w:t>Vid</w:t>
      </w:r>
      <w:r w:rsidRPr="0053423C">
        <w:t xml:space="preserve">. </w:t>
      </w:r>
      <w:r>
        <w:t>Sentencias de la Audiencia Provincial de</w:t>
      </w:r>
      <w:r w:rsidRPr="0053423C">
        <w:t xml:space="preserve"> Guadalajara (Sección 1</w:t>
      </w:r>
      <w:r>
        <w:t>.</w:t>
      </w:r>
      <w:r w:rsidRPr="0053423C">
        <w:t>ª) núm. 141/2019</w:t>
      </w:r>
      <w:r>
        <w:t>,</w:t>
      </w:r>
      <w:r w:rsidRPr="0053423C">
        <w:t xml:space="preserve"> de 2 de septiembre (JUR 2019\268044); </w:t>
      </w:r>
      <w:r>
        <w:t>de la Audiencia Provincial de</w:t>
      </w:r>
      <w:r w:rsidRPr="0053423C">
        <w:t xml:space="preserve"> Cáceres núm. 318/2019</w:t>
      </w:r>
      <w:r>
        <w:t>,</w:t>
      </w:r>
      <w:r w:rsidRPr="0053423C">
        <w:t xml:space="preserve"> de 17 de mayo (JUR 2019\187164); </w:t>
      </w:r>
      <w:r>
        <w:t>de la Audiencia Provincial de</w:t>
      </w:r>
      <w:r w:rsidRPr="0053423C">
        <w:t xml:space="preserve"> Islas</w:t>
      </w:r>
      <w:r w:rsidRPr="00171246">
        <w:t xml:space="preserve"> Baleares (Sección 5</w:t>
      </w:r>
      <w:r>
        <w:t>.</w:t>
      </w:r>
      <w:r w:rsidRPr="00171246">
        <w:t>ª) núm. 430/2019</w:t>
      </w:r>
      <w:r>
        <w:t>,</w:t>
      </w:r>
      <w:r w:rsidRPr="00171246">
        <w:t xml:space="preserve"> de 18 junio (AC 2019\889); o </w:t>
      </w:r>
      <w:r>
        <w:t>de la Audiencia Provincial de</w:t>
      </w:r>
      <w:r w:rsidRPr="00171246">
        <w:t xml:space="preserve"> Palencia (Sección 1</w:t>
      </w:r>
      <w:r>
        <w:t>.</w:t>
      </w:r>
      <w:r w:rsidRPr="00171246">
        <w:t>ª) núm. 226/2016 de 15 de noviembre (</w:t>
      </w:r>
      <w:proofErr w:type="spellStart"/>
      <w:r w:rsidRPr="00171246">
        <w:t>Roj</w:t>
      </w:r>
      <w:proofErr w:type="spellEnd"/>
      <w:r w:rsidRPr="00171246">
        <w:t>: SAP P 253/2016).</w:t>
      </w:r>
    </w:p>
  </w:footnote>
  <w:footnote w:id="7">
    <w:p w14:paraId="497767C1" w14:textId="77777777" w:rsidR="006E140A" w:rsidRPr="00343A7C" w:rsidRDefault="006E140A" w:rsidP="006E140A">
      <w:pPr>
        <w:pStyle w:val="Textonotapie"/>
        <w:rPr>
          <w:i/>
        </w:rPr>
      </w:pPr>
      <w:r>
        <w:rPr>
          <w:rStyle w:val="Refdenotaalpie"/>
        </w:rPr>
        <w:footnoteRef/>
      </w:r>
      <w:r>
        <w:t xml:space="preserve"> </w:t>
      </w:r>
      <w:r w:rsidRPr="00343A7C">
        <w:t>COLÁS ESCANDÓN</w:t>
      </w:r>
      <w:r>
        <w:t xml:space="preserve"> </w:t>
      </w:r>
      <w:r w:rsidRPr="00343A7C">
        <w:t>Ana Mª</w:t>
      </w:r>
      <w:r>
        <w:t xml:space="preserve">, ‘Artículo 1303” en BERCOVITZ RODRÍGUEZ-CANO, Rodrigo: ' </w:t>
      </w:r>
      <w:r>
        <w:rPr>
          <w:i/>
        </w:rPr>
        <w:t>Comentarios al Código Civil.</w:t>
      </w:r>
      <w:r>
        <w:t>, Cizur Menor (Navarra): Aranzadi, 2013 (4ª ed.).</w:t>
      </w:r>
    </w:p>
  </w:footnote>
  <w:footnote w:id="8">
    <w:p w14:paraId="04D42BDC" w14:textId="77777777" w:rsidR="006E140A" w:rsidRDefault="006E140A" w:rsidP="006E140A">
      <w:pPr>
        <w:pStyle w:val="Textonotapie"/>
      </w:pPr>
      <w:r>
        <w:rPr>
          <w:rStyle w:val="Refdenotaalpie"/>
        </w:rPr>
        <w:footnoteRef/>
      </w:r>
      <w:r>
        <w:t xml:space="preserve"> Entre otras, Sentencias del Tribunal Supremo (Sala de lo Civil), núm. 756/1996 de 28 septiembre, y núm. 173/2009 de 18 marzo (RJ 2009\1652). </w:t>
      </w:r>
    </w:p>
  </w:footnote>
  <w:footnote w:id="9">
    <w:p w14:paraId="5AA35B1B" w14:textId="77777777" w:rsidR="006E140A" w:rsidRDefault="006E140A" w:rsidP="006E140A">
      <w:pPr>
        <w:pStyle w:val="Textonotapie"/>
        <w:spacing w:line="240" w:lineRule="auto"/>
      </w:pPr>
      <w:r>
        <w:rPr>
          <w:rStyle w:val="Refdenotaalpie"/>
        </w:rPr>
        <w:footnoteRef/>
      </w:r>
      <w:r>
        <w:t xml:space="preserve"> Al margen de la posición </w:t>
      </w:r>
      <w:r>
        <w:rPr>
          <w:rFonts w:ascii="Arial Narrow" w:hAnsi="Arial Narrow" w:cstheme="majorHAnsi"/>
          <w:lang w:val="es-ES_tradnl" w:eastAsia="ar-SA"/>
        </w:rPr>
        <w:t xml:space="preserve">de la ya citada Sentencia núm. 348/2021, de 25 de marzo, de la Secc. 5.ª de la Audiencia Provincial de Zaragoza, que como se ha visto debe ser corregida a la luz del Auto del </w:t>
      </w:r>
      <w:r w:rsidRPr="00613100">
        <w:rPr>
          <w:rFonts w:ascii="Arial Narrow" w:hAnsi="Arial Narrow" w:cstheme="majorHAnsi"/>
          <w:lang w:val="es-ES_tradnl" w:eastAsia="ar-SA"/>
        </w:rPr>
        <w:t xml:space="preserve">Tribunal Supremo </w:t>
      </w:r>
      <w:r>
        <w:rPr>
          <w:rFonts w:ascii="Arial Narrow" w:hAnsi="Arial Narrow" w:cstheme="majorHAnsi"/>
          <w:lang w:val="es-ES_tradnl" w:eastAsia="ar-SA"/>
        </w:rPr>
        <w:t>de 22 de julio de 2021.</w:t>
      </w:r>
    </w:p>
  </w:footnote>
  <w:footnote w:id="10">
    <w:p w14:paraId="67338B82" w14:textId="73002727" w:rsidR="00493FF9" w:rsidRDefault="00493FF9">
      <w:pPr>
        <w:pStyle w:val="Textonotapie"/>
      </w:pPr>
      <w:r>
        <w:rPr>
          <w:rStyle w:val="Refdenotaalpie"/>
        </w:rPr>
        <w:footnoteRef/>
      </w:r>
      <w:r>
        <w:t xml:space="preserve"> Documento N. º </w:t>
      </w:r>
      <w:r w:rsidR="00264029">
        <w:t>4</w:t>
      </w:r>
      <w:r>
        <w:t xml:space="preserve"> de la demanda.</w:t>
      </w:r>
    </w:p>
  </w:footnote>
  <w:footnote w:id="11">
    <w:p w14:paraId="7E18BD1F" w14:textId="77777777" w:rsidR="00BD7402" w:rsidRDefault="00BD7402" w:rsidP="007E68AD">
      <w:pPr>
        <w:pStyle w:val="Textonotapie"/>
        <w:spacing w:line="240" w:lineRule="auto"/>
      </w:pPr>
      <w:r>
        <w:rPr>
          <w:rStyle w:val="Refdenotaalpie"/>
        </w:rPr>
        <w:footnoteRef/>
      </w:r>
      <w:r>
        <w:t xml:space="preserve"> </w:t>
      </w:r>
      <w:r w:rsidRPr="0027574F">
        <w:t>D</w:t>
      </w:r>
      <w:r>
        <w:t>Í</w:t>
      </w:r>
      <w:r w:rsidRPr="0027574F">
        <w:t>EZ</w:t>
      </w:r>
      <w:r>
        <w:t xml:space="preserve"> PICAZO, Luis, </w:t>
      </w:r>
      <w:r w:rsidRPr="0027574F">
        <w:rPr>
          <w:i/>
        </w:rPr>
        <w:t>La prescripción extintiva</w:t>
      </w:r>
      <w:r>
        <w:t xml:space="preserve"> </w:t>
      </w:r>
      <w:r w:rsidRPr="005308F9">
        <w:rPr>
          <w:i/>
        </w:rPr>
        <w:t>en el Código civil y en la jurisprudencia del Tribunal Supremo</w:t>
      </w:r>
      <w:r>
        <w:t xml:space="preserve">, 2º ed., Madrid, Thomson </w:t>
      </w:r>
      <w:proofErr w:type="spellStart"/>
      <w:r>
        <w:t>Civitas</w:t>
      </w:r>
      <w:proofErr w:type="spellEnd"/>
      <w:r>
        <w:t>, 2007, págs. 132-133.</w:t>
      </w:r>
    </w:p>
  </w:footnote>
  <w:footnote w:id="12">
    <w:p w14:paraId="198D8062" w14:textId="77777777" w:rsidR="00BD7402" w:rsidRDefault="00BD7402" w:rsidP="007E68AD">
      <w:pPr>
        <w:pStyle w:val="Textonotapie"/>
        <w:spacing w:line="240" w:lineRule="auto"/>
      </w:pPr>
      <w:r>
        <w:rPr>
          <w:rStyle w:val="Refdenotaalpie"/>
        </w:rPr>
        <w:footnoteRef/>
      </w:r>
      <w:r>
        <w:t xml:space="preserve"> DELGADO ECHEVERRÍA, Jesús, </w:t>
      </w:r>
      <w:r w:rsidRPr="0027574F">
        <w:rPr>
          <w:i/>
        </w:rPr>
        <w:t>Elementos de Derecho Civil</w:t>
      </w:r>
      <w:r>
        <w:t xml:space="preserve">, I-3, 3ª ed., Madrid, Dykinson, 2005, págs. 336-337. </w:t>
      </w:r>
    </w:p>
  </w:footnote>
  <w:footnote w:id="13">
    <w:p w14:paraId="14BE0763" w14:textId="77777777" w:rsidR="00BD7402" w:rsidRDefault="00BD7402" w:rsidP="007E68AD">
      <w:pPr>
        <w:pStyle w:val="Textonotapie"/>
        <w:spacing w:line="240" w:lineRule="auto"/>
      </w:pPr>
      <w:r>
        <w:rPr>
          <w:rStyle w:val="Refdenotaalpie"/>
        </w:rPr>
        <w:footnoteRef/>
      </w:r>
      <w:r>
        <w:t xml:space="preserve"> </w:t>
      </w:r>
      <w:r w:rsidRPr="00A124D1">
        <w:t>PANTALE</w:t>
      </w:r>
      <w:r>
        <w:t xml:space="preserve">ÓN PRIETO, Fernando, “Prescripción”, </w:t>
      </w:r>
      <w:r w:rsidRPr="0024711C">
        <w:rPr>
          <w:i/>
        </w:rPr>
        <w:t>Enciclopedia Jurídica Básica</w:t>
      </w:r>
      <w:r>
        <w:t xml:space="preserve">, III, Madrid, </w:t>
      </w:r>
      <w:proofErr w:type="spellStart"/>
      <w:r>
        <w:t>Civitas</w:t>
      </w:r>
      <w:proofErr w:type="spellEnd"/>
      <w:r>
        <w:t xml:space="preserve">, 1995, pág. </w:t>
      </w:r>
      <w:r w:rsidRPr="007F7561">
        <w:t>5011.</w:t>
      </w:r>
      <w:r>
        <w:t xml:space="preserve"> </w:t>
      </w:r>
    </w:p>
  </w:footnote>
  <w:footnote w:id="14">
    <w:p w14:paraId="211403BF" w14:textId="77777777" w:rsidR="00864175" w:rsidRDefault="00864175" w:rsidP="00864175">
      <w:pPr>
        <w:pStyle w:val="Textonotapie"/>
      </w:pPr>
      <w:r>
        <w:rPr>
          <w:rStyle w:val="Refdenotaalpie"/>
        </w:rPr>
        <w:footnoteRef/>
      </w:r>
      <w:r>
        <w:t xml:space="preserve"> Documento N. º 3 de la demanda.</w:t>
      </w:r>
    </w:p>
  </w:footnote>
  <w:footnote w:id="15">
    <w:p w14:paraId="3A5D8B47" w14:textId="77777777" w:rsidR="00972DFB" w:rsidRDefault="00972DFB" w:rsidP="00972DFB">
      <w:pPr>
        <w:pStyle w:val="Textonotapie"/>
      </w:pPr>
      <w:r>
        <w:rPr>
          <w:rStyle w:val="Refdenotaalpie"/>
        </w:rPr>
        <w:footnoteRef/>
      </w:r>
      <w:r>
        <w:t xml:space="preserve"> </w:t>
      </w:r>
      <w:r w:rsidRPr="0087591B">
        <w:rPr>
          <w:rFonts w:asciiTheme="majorHAnsi" w:hAnsiTheme="majorHAnsi" w:cs="Times New Roman"/>
        </w:rPr>
        <w:t xml:space="preserve">Así lo ha declarado la Sala Primera en la Sentencia nº 74/2019, de 5 de febrero, con cita de la Sentencia 97/2015, de 24 de febrero. La singular —e insólita— posición en el Derecho comparado del ordenamiento civil español (claramente </w:t>
      </w:r>
      <w:r w:rsidRPr="0087591B">
        <w:rPr>
          <w:rFonts w:asciiTheme="majorHAnsi" w:hAnsiTheme="majorHAnsi" w:cs="Times New Roman"/>
          <w:i/>
        </w:rPr>
        <w:t xml:space="preserve">pro </w:t>
      </w:r>
      <w:proofErr w:type="spellStart"/>
      <w:r w:rsidRPr="0087591B">
        <w:rPr>
          <w:rFonts w:asciiTheme="majorHAnsi" w:hAnsiTheme="majorHAnsi" w:cs="Times New Roman"/>
          <w:i/>
        </w:rPr>
        <w:t>actione</w:t>
      </w:r>
      <w:proofErr w:type="spellEnd"/>
      <w:r w:rsidRPr="0087591B">
        <w:rPr>
          <w:rFonts w:asciiTheme="majorHAnsi" w:hAnsiTheme="majorHAnsi" w:cs="Times New Roman"/>
        </w:rPr>
        <w:t xml:space="preserve">, es decir, favorable al acreedor de la pretensión en cuanto a la interrupción por reclamación extrajudicial) puede comprobarse fácilmente en </w:t>
      </w:r>
      <w:r w:rsidRPr="0087591B">
        <w:rPr>
          <w:rFonts w:asciiTheme="majorHAnsi" w:hAnsiTheme="majorHAnsi" w:cs="Times New Roman"/>
          <w:smallCaps/>
        </w:rPr>
        <w:t>R. De Ángel</w:t>
      </w:r>
      <w:r w:rsidRPr="0087591B">
        <w:rPr>
          <w:rFonts w:asciiTheme="majorHAnsi" w:hAnsiTheme="majorHAnsi" w:cs="Times New Roman"/>
        </w:rPr>
        <w:t xml:space="preserve">, “La interrupción de la prescripción extintiva por reclamación del acreedor en Derecho comparado”, en </w:t>
      </w:r>
      <w:r w:rsidRPr="0087591B">
        <w:rPr>
          <w:rFonts w:asciiTheme="majorHAnsi" w:hAnsiTheme="majorHAnsi" w:cs="Times New Roman"/>
          <w:i/>
        </w:rPr>
        <w:t>La Ley</w:t>
      </w:r>
      <w:r w:rsidRPr="0087591B">
        <w:rPr>
          <w:rFonts w:asciiTheme="majorHAnsi" w:hAnsiTheme="majorHAnsi" w:cs="Times New Roman"/>
        </w:rPr>
        <w:t xml:space="preserve">, 1986, pp. 1048 y </w:t>
      </w:r>
      <w:proofErr w:type="spellStart"/>
      <w:r w:rsidRPr="0087591B">
        <w:rPr>
          <w:rFonts w:asciiTheme="majorHAnsi" w:hAnsiTheme="majorHAnsi" w:cs="Times New Roman"/>
        </w:rPr>
        <w:t>ss</w:t>
      </w:r>
      <w:proofErr w:type="spellEnd"/>
      <w:r w:rsidRPr="0087591B">
        <w:rPr>
          <w:rFonts w:asciiTheme="majorHAnsi" w:hAnsiTheme="majorHAnsi" w:cs="Times New Roman"/>
        </w:rPr>
        <w:t xml:space="preserve">; R. </w:t>
      </w:r>
      <w:r w:rsidRPr="0087591B">
        <w:rPr>
          <w:rFonts w:asciiTheme="majorHAnsi" w:hAnsiTheme="majorHAnsi" w:cs="Times New Roman"/>
          <w:smallCaps/>
        </w:rPr>
        <w:t>García Pérez</w:t>
      </w:r>
      <w:r w:rsidRPr="0087591B">
        <w:rPr>
          <w:rFonts w:asciiTheme="majorHAnsi" w:hAnsiTheme="majorHAnsi" w:cs="Times New Roman"/>
        </w:rPr>
        <w:t xml:space="preserve">, “La prescripción en el Derecho europeo”, en </w:t>
      </w:r>
      <w:r w:rsidRPr="0087591B">
        <w:rPr>
          <w:rFonts w:asciiTheme="majorHAnsi" w:hAnsiTheme="majorHAnsi" w:cs="Times New Roman"/>
          <w:smallCaps/>
        </w:rPr>
        <w:t>S. Sánchez Lorenzo</w:t>
      </w:r>
      <w:r w:rsidRPr="0087591B">
        <w:rPr>
          <w:rFonts w:asciiTheme="majorHAnsi" w:hAnsiTheme="majorHAnsi" w:cs="Times New Roman"/>
        </w:rPr>
        <w:t xml:space="preserve"> (Dir.), </w:t>
      </w:r>
      <w:r w:rsidRPr="0087591B">
        <w:rPr>
          <w:rFonts w:asciiTheme="majorHAnsi" w:hAnsiTheme="majorHAnsi" w:cs="Times New Roman"/>
          <w:i/>
        </w:rPr>
        <w:t>Derecho contractual europeo</w:t>
      </w:r>
      <w:r w:rsidRPr="0087591B">
        <w:rPr>
          <w:rFonts w:asciiTheme="majorHAnsi" w:hAnsiTheme="majorHAnsi" w:cs="Times New Roman"/>
        </w:rPr>
        <w:t>, II, 3.ª ed., Thomson-</w:t>
      </w:r>
      <w:proofErr w:type="spellStart"/>
      <w:r w:rsidRPr="0087591B">
        <w:rPr>
          <w:rFonts w:asciiTheme="majorHAnsi" w:hAnsiTheme="majorHAnsi" w:cs="Times New Roman"/>
        </w:rPr>
        <w:t>Civitas</w:t>
      </w:r>
      <w:proofErr w:type="spellEnd"/>
      <w:r w:rsidRPr="0087591B">
        <w:rPr>
          <w:rFonts w:asciiTheme="majorHAnsi" w:hAnsiTheme="majorHAnsi" w:cs="Times New Roman"/>
        </w:rPr>
        <w:t xml:space="preserve">, Cizur Menor, 2016, p. 1.077; y en </w:t>
      </w:r>
      <w:r w:rsidRPr="0087591B">
        <w:rPr>
          <w:rFonts w:asciiTheme="majorHAnsi" w:hAnsiTheme="majorHAnsi" w:cs="Times New Roman"/>
          <w:smallCaps/>
        </w:rPr>
        <w:t>R. Zimmermann</w:t>
      </w:r>
      <w:r w:rsidRPr="0087591B">
        <w:rPr>
          <w:rFonts w:asciiTheme="majorHAnsi" w:hAnsiTheme="majorHAnsi" w:cs="Times New Roman"/>
        </w:rPr>
        <w:t>, “</w:t>
      </w:r>
      <w:proofErr w:type="spellStart"/>
      <w:r w:rsidRPr="0087591B">
        <w:rPr>
          <w:rFonts w:asciiTheme="majorHAnsi" w:hAnsiTheme="majorHAnsi" w:cs="Times New Roman"/>
        </w:rPr>
        <w:t>Prescription</w:t>
      </w:r>
      <w:proofErr w:type="spellEnd"/>
      <w:r w:rsidRPr="0087591B">
        <w:rPr>
          <w:rFonts w:asciiTheme="majorHAnsi" w:hAnsiTheme="majorHAnsi" w:cs="Times New Roman"/>
        </w:rPr>
        <w:t xml:space="preserve">”, en </w:t>
      </w:r>
      <w:r w:rsidRPr="0087591B">
        <w:rPr>
          <w:rFonts w:asciiTheme="majorHAnsi" w:hAnsiTheme="majorHAnsi" w:cs="Times New Roman"/>
          <w:smallCaps/>
        </w:rPr>
        <w:t>N. Jansen / R. Zimmermann</w:t>
      </w:r>
      <w:r w:rsidRPr="0087591B">
        <w:rPr>
          <w:rFonts w:asciiTheme="majorHAnsi" w:hAnsiTheme="majorHAnsi" w:cs="Times New Roman"/>
        </w:rPr>
        <w:t xml:space="preserve"> (Eds.), </w:t>
      </w:r>
      <w:proofErr w:type="spellStart"/>
      <w:r w:rsidRPr="0087591B">
        <w:rPr>
          <w:rFonts w:asciiTheme="majorHAnsi" w:hAnsiTheme="majorHAnsi" w:cs="Times New Roman"/>
          <w:i/>
        </w:rPr>
        <w:t>Commentaries</w:t>
      </w:r>
      <w:proofErr w:type="spellEnd"/>
      <w:r w:rsidRPr="0087591B">
        <w:rPr>
          <w:rFonts w:asciiTheme="majorHAnsi" w:hAnsiTheme="majorHAnsi" w:cs="Times New Roman"/>
          <w:i/>
        </w:rPr>
        <w:t xml:space="preserve"> </w:t>
      </w:r>
      <w:proofErr w:type="spellStart"/>
      <w:r w:rsidRPr="0087591B">
        <w:rPr>
          <w:rFonts w:asciiTheme="majorHAnsi" w:hAnsiTheme="majorHAnsi" w:cs="Times New Roman"/>
          <w:i/>
        </w:rPr>
        <w:t>on</w:t>
      </w:r>
      <w:proofErr w:type="spellEnd"/>
      <w:r w:rsidRPr="0087591B">
        <w:rPr>
          <w:rFonts w:asciiTheme="majorHAnsi" w:hAnsiTheme="majorHAnsi" w:cs="Times New Roman"/>
          <w:i/>
        </w:rPr>
        <w:t xml:space="preserve"> </w:t>
      </w:r>
      <w:proofErr w:type="spellStart"/>
      <w:r w:rsidRPr="0087591B">
        <w:rPr>
          <w:rFonts w:asciiTheme="majorHAnsi" w:hAnsiTheme="majorHAnsi" w:cs="Times New Roman"/>
          <w:i/>
        </w:rPr>
        <w:t>European</w:t>
      </w:r>
      <w:proofErr w:type="spellEnd"/>
      <w:r w:rsidRPr="0087591B">
        <w:rPr>
          <w:rFonts w:asciiTheme="majorHAnsi" w:hAnsiTheme="majorHAnsi" w:cs="Times New Roman"/>
          <w:i/>
        </w:rPr>
        <w:t xml:space="preserve"> </w:t>
      </w:r>
      <w:proofErr w:type="spellStart"/>
      <w:r w:rsidRPr="0087591B">
        <w:rPr>
          <w:rFonts w:asciiTheme="majorHAnsi" w:hAnsiTheme="majorHAnsi" w:cs="Times New Roman"/>
          <w:i/>
        </w:rPr>
        <w:t>Contract</w:t>
      </w:r>
      <w:proofErr w:type="spellEnd"/>
      <w:r w:rsidRPr="0087591B">
        <w:rPr>
          <w:rFonts w:asciiTheme="majorHAnsi" w:hAnsiTheme="majorHAnsi" w:cs="Times New Roman"/>
          <w:i/>
        </w:rPr>
        <w:t xml:space="preserve"> </w:t>
      </w:r>
      <w:proofErr w:type="spellStart"/>
      <w:r w:rsidRPr="0087591B">
        <w:rPr>
          <w:rFonts w:asciiTheme="majorHAnsi" w:hAnsiTheme="majorHAnsi" w:cs="Times New Roman"/>
          <w:i/>
        </w:rPr>
        <w:t>Laws</w:t>
      </w:r>
      <w:proofErr w:type="spellEnd"/>
      <w:r w:rsidRPr="0087591B">
        <w:rPr>
          <w:rFonts w:asciiTheme="majorHAnsi" w:hAnsiTheme="majorHAnsi" w:cs="Times New Roman"/>
        </w:rPr>
        <w:t>, Oxford, 2018, pp. 1.851-1.856.</w:t>
      </w:r>
    </w:p>
  </w:footnote>
  <w:footnote w:id="16">
    <w:p w14:paraId="31B4E302" w14:textId="77777777" w:rsidR="00972DFB" w:rsidRDefault="00972DFB" w:rsidP="00972DFB">
      <w:pPr>
        <w:pStyle w:val="Textonotapie"/>
        <w:spacing w:line="240" w:lineRule="auto"/>
      </w:pPr>
      <w:r>
        <w:rPr>
          <w:rStyle w:val="Refdenotaalpie"/>
        </w:rPr>
        <w:footnoteRef/>
      </w:r>
      <w:r>
        <w:t xml:space="preserve"> </w:t>
      </w:r>
      <w:hyperlink r:id="rId2" w:history="1">
        <w:r w:rsidRPr="002700C1">
          <w:rPr>
            <w:rStyle w:val="Hipervnculo"/>
          </w:rPr>
          <w:t>https://www.poderjudicial.es/cgpj/es/Poder-Judicial/Noticias-Judiciales/El-Supremo-anula-por-usurario-un-prestamo-al-consumo-al-24--de-interes</w:t>
        </w:r>
      </w:hyperlink>
      <w:r>
        <w:t xml:space="preserve"> </w:t>
      </w:r>
    </w:p>
  </w:footnote>
  <w:footnote w:id="17">
    <w:p w14:paraId="037590C2" w14:textId="77777777" w:rsidR="00972DFB" w:rsidRDefault="00972DFB" w:rsidP="00972DFB">
      <w:pPr>
        <w:pStyle w:val="Textonotapie"/>
        <w:spacing w:line="240" w:lineRule="auto"/>
      </w:pPr>
      <w:r>
        <w:rPr>
          <w:rStyle w:val="Refdenotaalpie"/>
        </w:rPr>
        <w:footnoteRef/>
      </w:r>
      <w:r>
        <w:t xml:space="preserve"> </w:t>
      </w:r>
      <w:hyperlink r:id="rId3" w:history="1">
        <w:r w:rsidRPr="00EF54EA">
          <w:rPr>
            <w:rStyle w:val="Hipervnculo"/>
          </w:rPr>
          <w:t>https://www.asufin.com/revolving-el-tribunal-supremo-anula-un-prestamo-al-24-de-interes/</w:t>
        </w:r>
      </w:hyperlink>
      <w:r>
        <w:t xml:space="preserve"> </w:t>
      </w:r>
    </w:p>
  </w:footnote>
  <w:footnote w:id="18">
    <w:p w14:paraId="503F0B76" w14:textId="77777777" w:rsidR="00972DFB" w:rsidRDefault="00972DFB" w:rsidP="00972DFB">
      <w:pPr>
        <w:pStyle w:val="Textonotapie"/>
        <w:spacing w:line="240" w:lineRule="auto"/>
      </w:pPr>
      <w:r>
        <w:rPr>
          <w:rStyle w:val="Refdenotaalpie"/>
        </w:rPr>
        <w:footnoteRef/>
      </w:r>
      <w:r>
        <w:t xml:space="preserve"> </w:t>
      </w:r>
      <w:hyperlink r:id="rId4" w:history="1">
        <w:r w:rsidRPr="00BA00C6">
          <w:rPr>
            <w:rStyle w:val="Hipervnculo"/>
          </w:rPr>
          <w:t>https://cincodias.elpais.com/cincodias/2015/11/30/mercados/1448895739_053422.html</w:t>
        </w:r>
      </w:hyperlink>
    </w:p>
    <w:p w14:paraId="1DA7956C" w14:textId="77777777" w:rsidR="00972DFB" w:rsidRDefault="00000000" w:rsidP="00972DFB">
      <w:pPr>
        <w:pStyle w:val="Textonotapie"/>
      </w:pPr>
      <w:hyperlink r:id="rId5" w:history="1">
        <w:r w:rsidR="00972DFB" w:rsidRPr="008E59DC">
          <w:rPr>
            <w:rStyle w:val="Hipervnculo"/>
          </w:rPr>
          <w:t>https://www.elmundo.es/economia/2015/12/01/565cc528ca474164758b45bc.html</w:t>
        </w:r>
      </w:hyperlink>
      <w:r w:rsidR="00972DFB">
        <w:t xml:space="preserve"> </w:t>
      </w:r>
    </w:p>
    <w:p w14:paraId="411C04C2" w14:textId="77777777" w:rsidR="00972DFB" w:rsidRPr="00AD3EB6" w:rsidRDefault="00000000" w:rsidP="00972DFB">
      <w:pPr>
        <w:pStyle w:val="Textonotapie"/>
        <w:spacing w:line="240" w:lineRule="auto"/>
        <w:rPr>
          <w:lang w:val="es-ES_tradnl"/>
        </w:rPr>
      </w:pPr>
      <w:hyperlink r:id="rId6" w:history="1">
        <w:r w:rsidR="00972DFB" w:rsidRPr="00BA00C6">
          <w:rPr>
            <w:rStyle w:val="Hipervnculo"/>
            <w:lang w:val="es-ES_tradnl"/>
          </w:rPr>
          <w:t>https://www.rtve.es/noticias/20151201/supremo-anula-usurario-prestamo-consumo-246-interes/1265341.shtml</w:t>
        </w:r>
      </w:hyperlink>
      <w:r w:rsidR="00972DFB">
        <w:rPr>
          <w:lang w:val="es-ES_tradnl"/>
        </w:rPr>
        <w:t xml:space="preserve"> </w:t>
      </w:r>
    </w:p>
  </w:footnote>
  <w:footnote w:id="19">
    <w:p w14:paraId="6AEF6CFA" w14:textId="77777777" w:rsidR="00972DFB" w:rsidRDefault="00972DFB" w:rsidP="00972DFB">
      <w:pPr>
        <w:pStyle w:val="Textonotapie"/>
        <w:spacing w:line="240" w:lineRule="auto"/>
      </w:pPr>
      <w:r>
        <w:rPr>
          <w:rStyle w:val="Refdenotaalpie"/>
        </w:rPr>
        <w:footnoteRef/>
      </w:r>
      <w:r>
        <w:t xml:space="preserve"> </w:t>
      </w:r>
      <w:r w:rsidRPr="00722AEE">
        <w:t>Memoria</w:t>
      </w:r>
      <w:r>
        <w:t xml:space="preserve"> de reclamaciones</w:t>
      </w:r>
      <w:r w:rsidRPr="00722AEE">
        <w:t xml:space="preserve"> del </w:t>
      </w:r>
      <w:r>
        <w:t>Banco de España de 2015, p. 200 (</w:t>
      </w:r>
      <w:r w:rsidRPr="00722AEE">
        <w:t>https://www.bde.es/f/webbde/Secciones/Publicaciones/PublicacionesAnuales/MemoriaServicioReclamaciones/15/MR2015_Documento_Completo.pdf</w:t>
      </w:r>
      <w:r>
        <w:t>)</w:t>
      </w:r>
    </w:p>
    <w:p w14:paraId="7E349F3D" w14:textId="77777777" w:rsidR="00972DFB" w:rsidRPr="00AD3EB6" w:rsidRDefault="00972DFB" w:rsidP="00972DFB">
      <w:pPr>
        <w:pStyle w:val="Textonotapie"/>
        <w:spacing w:line="240" w:lineRule="auto"/>
        <w:rPr>
          <w:lang w:val="es-ES_tradnl"/>
        </w:rPr>
      </w:pPr>
      <w:r w:rsidRPr="00722AEE">
        <w:t>Memoria</w:t>
      </w:r>
      <w:r>
        <w:t xml:space="preserve"> de reclamaciones</w:t>
      </w:r>
      <w:r w:rsidRPr="00722AEE">
        <w:t xml:space="preserve"> del </w:t>
      </w:r>
      <w:r>
        <w:t>Banco de España de 2015, p. 240 (</w:t>
      </w:r>
      <w:hyperlink r:id="rId7" w:history="1">
        <w:r w:rsidRPr="00BA00C6">
          <w:rPr>
            <w:rStyle w:val="Hipervnculo"/>
          </w:rPr>
          <w:t>https://www.bde.es/f/webbde/Secciones/Publicaciones/PublicacionesAnuales/MemoriaServicioReclamaciones/16/Ficheros/MSR2016_Documento_completo.pdf</w:t>
        </w:r>
      </w:hyperlink>
      <w:r>
        <w:t xml:space="preserve">) </w:t>
      </w:r>
    </w:p>
  </w:footnote>
  <w:footnote w:id="20">
    <w:p w14:paraId="2FB9C1C2" w14:textId="77777777" w:rsidR="0059193A" w:rsidRDefault="0059193A" w:rsidP="0059193A">
      <w:pPr>
        <w:pStyle w:val="Textonotapie"/>
      </w:pPr>
      <w:r>
        <w:rPr>
          <w:rStyle w:val="Refdenotaalpie"/>
        </w:rPr>
        <w:footnoteRef/>
      </w:r>
      <w:r>
        <w:t xml:space="preserve"> Documento N. º 4 de la demanda.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BEBCE0" w14:textId="77777777" w:rsidR="00E2089E" w:rsidRDefault="00E2089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E81ED3" w14:textId="77777777" w:rsidR="00BD7402" w:rsidRPr="00E46B32" w:rsidRDefault="00BD7402" w:rsidP="00DF59E8">
    <w:pPr>
      <w:pStyle w:val="Encabezado"/>
      <w:tabs>
        <w:tab w:val="clear" w:pos="8504"/>
        <w:tab w:val="right" w:pos="9072"/>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9FCE33" w14:textId="77777777" w:rsidR="00E2089E" w:rsidRDefault="00E2089E" w:rsidP="005938EC">
    <w:pPr>
      <w:pStyle w:val="Encabezado"/>
      <w:spacing w:line="240" w:lineRule="auto"/>
      <w:rPr>
        <w:b/>
        <w:szCs w:val="22"/>
        <w:highlight w:val="yellow"/>
      </w:rPr>
    </w:pPr>
    <w:r>
      <w:rPr>
        <w:b/>
        <w:szCs w:val="22"/>
        <w:highlight w:val="yellow"/>
      </w:rPr>
      <w:fldChar w:fldCharType="begin"/>
    </w:r>
    <w:r>
      <w:rPr>
        <w:b/>
        <w:szCs w:val="22"/>
        <w:highlight w:val="yellow"/>
      </w:rPr>
      <w:instrText>juzgado_juzgado__1</w:instrText>
    </w:r>
    <w:r>
      <w:rPr>
        <w:b/>
        <w:szCs w:val="22"/>
        <w:highlight w:val="yellow"/>
      </w:rPr>
      <w:fldChar w:fldCharType="separate"/>
    </w:r>
    <w:r>
      <w:rPr>
        <w:b/>
        <w:noProof/>
        <w:szCs w:val="22"/>
        <w:highlight w:val="yellow"/>
      </w:rPr>
      <w:t>«Juzgados_Nombre»</w:t>
    </w:r>
    <w:r>
      <w:rPr>
        <w:b/>
        <w:szCs w:val="22"/>
        <w:highlight w:val="yellow"/>
      </w:rPr>
      <w:fldChar w:fldCharType="end"/>
    </w:r>
  </w:p>
  <w:p w14:paraId="64A08177" w14:textId="65B19203" w:rsidR="00BD7402" w:rsidRPr="001F6DDF" w:rsidRDefault="00BD7402" w:rsidP="005938EC">
    <w:pPr>
      <w:pStyle w:val="Encabezado"/>
      <w:spacing w:line="240" w:lineRule="auto"/>
      <w:rPr>
        <w:b/>
        <w:szCs w:val="22"/>
        <w:highlight w:val="yellow"/>
      </w:rPr>
    </w:pPr>
    <w:r w:rsidRPr="001F6DDF">
      <w:rPr>
        <w:b/>
        <w:szCs w:val="22"/>
        <w:highlight w:val="yellow"/>
      </w:rPr>
      <w:t xml:space="preserve">Procedimiento Ordinario </w:t>
    </w:r>
    <w:r w:rsidR="00F514E8" w:rsidRPr="001F6DDF">
      <w:rPr>
        <w:b/>
        <w:szCs w:val="22"/>
        <w:highlight w:val="yellow"/>
      </w:rPr>
      <w:t xml:space="preserve">de origen </w:t>
    </w:r>
    <w:r w:rsidR="00E2089E">
      <w:rPr>
        <w:b/>
        <w:szCs w:val="22"/>
        <w:highlight w:val="yellow"/>
      </w:rPr>
      <w:fldChar w:fldCharType="begin"/>
    </w:r>
    <w:r w:rsidR="00E2089E">
      <w:rPr>
        <w:b/>
        <w:szCs w:val="22"/>
        <w:highlight w:val="yellow"/>
      </w:rPr>
      <w:instrText>juzgado_numasunto__1</w:instrText>
    </w:r>
    <w:r w:rsidR="00E2089E">
      <w:rPr>
        <w:b/>
        <w:szCs w:val="22"/>
        <w:highlight w:val="yellow"/>
      </w:rPr>
      <w:fldChar w:fldCharType="separate"/>
    </w:r>
    <w:r w:rsidR="00E2089E">
      <w:rPr>
        <w:b/>
        <w:noProof/>
        <w:szCs w:val="22"/>
        <w:highlight w:val="yellow"/>
      </w:rPr>
      <w:t>«Juzgados_Núm_Autos»</w:t>
    </w:r>
    <w:r w:rsidR="00E2089E">
      <w:rPr>
        <w:b/>
        <w:szCs w:val="22"/>
        <w:highlight w:val="yellow"/>
      </w:rPr>
      <w:fldChar w:fldCharType="end"/>
    </w:r>
  </w:p>
  <w:p w14:paraId="3F845BA6" w14:textId="77777777" w:rsidR="00E2089E" w:rsidRDefault="00BD7402" w:rsidP="005938EC">
    <w:pPr>
      <w:pStyle w:val="Encabezado"/>
      <w:spacing w:line="240" w:lineRule="auto"/>
      <w:rPr>
        <w:szCs w:val="22"/>
        <w:highlight w:val="yellow"/>
      </w:rPr>
    </w:pPr>
    <w:r w:rsidRPr="001F6DDF">
      <w:rPr>
        <w:b/>
        <w:szCs w:val="22"/>
        <w:highlight w:val="yellow"/>
      </w:rPr>
      <w:t xml:space="preserve">Parte demandante: </w:t>
    </w:r>
    <w:r w:rsidR="00E2089E">
      <w:rPr>
        <w:szCs w:val="22"/>
        <w:highlight w:val="yellow"/>
      </w:rPr>
      <w:fldChar w:fldCharType="begin"/>
    </w:r>
    <w:r w:rsidR="00E2089E">
      <w:rPr>
        <w:szCs w:val="22"/>
        <w:highlight w:val="yellow"/>
      </w:rPr>
      <w:instrText>cliecont_snombreclicon__1</w:instrText>
    </w:r>
    <w:r w:rsidR="00E2089E">
      <w:rPr>
        <w:szCs w:val="22"/>
        <w:highlight w:val="yellow"/>
      </w:rPr>
      <w:fldChar w:fldCharType="separate"/>
    </w:r>
    <w:r w:rsidR="00E2089E">
      <w:rPr>
        <w:noProof/>
        <w:szCs w:val="22"/>
        <w:highlight w:val="yellow"/>
      </w:rPr>
      <w:t>«Contrarios_Nombre»</w:t>
    </w:r>
    <w:r w:rsidR="00E2089E">
      <w:rPr>
        <w:szCs w:val="22"/>
        <w:highlight w:val="yellow"/>
      </w:rPr>
      <w:fldChar w:fldCharType="end"/>
    </w:r>
  </w:p>
  <w:p w14:paraId="48EF00F8" w14:textId="61A985F1" w:rsidR="00BD7402" w:rsidRPr="00E2089E" w:rsidRDefault="00BD7402" w:rsidP="005938EC">
    <w:pPr>
      <w:pStyle w:val="Encabezado"/>
      <w:spacing w:line="240" w:lineRule="auto"/>
      <w:rPr>
        <w:szCs w:val="22"/>
        <w:lang w:val="pt-PT"/>
      </w:rPr>
    </w:pPr>
    <w:r w:rsidRPr="00E2089E">
      <w:rPr>
        <w:b/>
        <w:szCs w:val="22"/>
        <w:highlight w:val="yellow"/>
        <w:lang w:val="pt-PT"/>
      </w:rPr>
      <w:t xml:space="preserve">Parte demandada: </w:t>
    </w:r>
    <w:r w:rsidRPr="00E2089E">
      <w:rPr>
        <w:szCs w:val="22"/>
        <w:highlight w:val="yellow"/>
        <w:lang w:val="pt-PT"/>
      </w:rPr>
      <w:t>Wizink Bank, S.A.</w:t>
    </w:r>
  </w:p>
  <w:p w14:paraId="1405159E" w14:textId="77777777" w:rsidR="00BD7402" w:rsidRPr="00E2089E" w:rsidRDefault="00BD7402" w:rsidP="005938EC">
    <w:pPr>
      <w:pStyle w:val="Encabezado"/>
      <w:spacing w:line="240" w:lineRule="auto"/>
      <w:rPr>
        <w:i/>
        <w:szCs w:val="22"/>
        <w:lang w:val="pt-PT"/>
      </w:rPr>
    </w:pPr>
  </w:p>
  <w:p w14:paraId="04E6B4BA" w14:textId="6856A08C" w:rsidR="00BD7402" w:rsidRPr="007719B8" w:rsidRDefault="00BD7402" w:rsidP="006B335E">
    <w:pPr>
      <w:pStyle w:val="Encabezado"/>
      <w:spacing w:line="240" w:lineRule="auto"/>
      <w:rPr>
        <w:sz w:val="18"/>
      </w:rPr>
    </w:pPr>
    <w:r w:rsidRPr="007719B8">
      <w:rPr>
        <w:i/>
        <w:szCs w:val="22"/>
        <w:u w:val="single"/>
      </w:rPr>
      <w:t xml:space="preserve">Escrito de Wizink de </w:t>
    </w:r>
    <w:r w:rsidR="006B335E" w:rsidRPr="007719B8">
      <w:rPr>
        <w:i/>
        <w:szCs w:val="22"/>
        <w:u w:val="single"/>
      </w:rPr>
      <w:t>recurso de apelación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445E9"/>
    <w:multiLevelType w:val="multilevel"/>
    <w:tmpl w:val="7354F0E0"/>
    <w:styleLink w:val="ListaUM2"/>
    <w:lvl w:ilvl="0">
      <w:start w:val="1"/>
      <w:numFmt w:val="bullet"/>
      <w:lvlText w:val=""/>
      <w:lvlJc w:val="left"/>
      <w:pPr>
        <w:tabs>
          <w:tab w:val="num" w:pos="709"/>
        </w:tabs>
        <w:ind w:left="709" w:hanging="709"/>
      </w:pPr>
      <w:rPr>
        <w:rFonts w:ascii="Symbol" w:hAnsi="Symbol" w:hint="default"/>
      </w:rPr>
    </w:lvl>
    <w:lvl w:ilvl="1">
      <w:start w:val="1"/>
      <w:numFmt w:val="bullet"/>
      <w:lvlText w:val=""/>
      <w:lvlJc w:val="left"/>
      <w:pPr>
        <w:tabs>
          <w:tab w:val="num" w:pos="709"/>
        </w:tabs>
        <w:ind w:left="709" w:hanging="709"/>
      </w:pPr>
      <w:rPr>
        <w:rFonts w:ascii="Symbol" w:hAnsi="Symbol" w:hint="default"/>
        <w:color w:val="auto"/>
      </w:rPr>
    </w:lvl>
    <w:lvl w:ilvl="2">
      <w:start w:val="1"/>
      <w:numFmt w:val="none"/>
      <w:lvlText w:val=""/>
      <w:lvlJc w:val="left"/>
      <w:pPr>
        <w:tabs>
          <w:tab w:val="num" w:pos="709"/>
        </w:tabs>
        <w:ind w:left="709" w:hanging="709"/>
      </w:pPr>
      <w:rPr>
        <w:rFonts w:hint="default"/>
      </w:rPr>
    </w:lvl>
    <w:lvl w:ilvl="3">
      <w:start w:val="1"/>
      <w:numFmt w:val="none"/>
      <w:lvlText w:val=""/>
      <w:lvlJc w:val="left"/>
      <w:pPr>
        <w:tabs>
          <w:tab w:val="num" w:pos="709"/>
        </w:tabs>
        <w:ind w:left="709" w:hanging="709"/>
      </w:pPr>
      <w:rPr>
        <w:rFonts w:hint="default"/>
      </w:rPr>
    </w:lvl>
    <w:lvl w:ilvl="4">
      <w:start w:val="1"/>
      <w:numFmt w:val="none"/>
      <w:lvlText w:val=""/>
      <w:lvlJc w:val="left"/>
      <w:pPr>
        <w:tabs>
          <w:tab w:val="num" w:pos="709"/>
        </w:tabs>
        <w:ind w:left="709" w:hanging="709"/>
      </w:pPr>
      <w:rPr>
        <w:rFonts w:hint="default"/>
      </w:rPr>
    </w:lvl>
    <w:lvl w:ilvl="5">
      <w:start w:val="1"/>
      <w:numFmt w:val="none"/>
      <w:lvlText w:val=""/>
      <w:lvlJc w:val="left"/>
      <w:pPr>
        <w:tabs>
          <w:tab w:val="num" w:pos="709"/>
        </w:tabs>
        <w:ind w:left="709" w:hanging="709"/>
      </w:pPr>
      <w:rPr>
        <w:rFonts w:hint="default"/>
      </w:rPr>
    </w:lvl>
    <w:lvl w:ilvl="6">
      <w:start w:val="1"/>
      <w:numFmt w:val="none"/>
      <w:lvlText w:val=""/>
      <w:lvlJc w:val="left"/>
      <w:pPr>
        <w:tabs>
          <w:tab w:val="num" w:pos="709"/>
        </w:tabs>
        <w:ind w:left="709" w:hanging="709"/>
      </w:pPr>
      <w:rPr>
        <w:rFonts w:hint="default"/>
      </w:rPr>
    </w:lvl>
    <w:lvl w:ilvl="7">
      <w:start w:val="1"/>
      <w:numFmt w:val="none"/>
      <w:lvlText w:val=""/>
      <w:lvlJc w:val="left"/>
      <w:pPr>
        <w:tabs>
          <w:tab w:val="num" w:pos="709"/>
        </w:tabs>
        <w:ind w:left="709" w:hanging="709"/>
      </w:pPr>
      <w:rPr>
        <w:rFonts w:hint="default"/>
      </w:rPr>
    </w:lvl>
    <w:lvl w:ilvl="8">
      <w:start w:val="1"/>
      <w:numFmt w:val="none"/>
      <w:lvlText w:val=""/>
      <w:lvlJc w:val="left"/>
      <w:pPr>
        <w:tabs>
          <w:tab w:val="num" w:pos="709"/>
        </w:tabs>
        <w:ind w:left="709" w:hanging="709"/>
      </w:pPr>
      <w:rPr>
        <w:rFonts w:hint="default"/>
      </w:rPr>
    </w:lvl>
  </w:abstractNum>
  <w:abstractNum w:abstractNumId="1" w15:restartNumberingAfterBreak="0">
    <w:nsid w:val="17F30486"/>
    <w:multiLevelType w:val="multilevel"/>
    <w:tmpl w:val="C76AA05E"/>
    <w:styleLink w:val="ListaUM1"/>
    <w:lvl w:ilvl="0">
      <w:start w:val="1"/>
      <w:numFmt w:val="lowerRoman"/>
      <w:lvlText w:val="(%1)"/>
      <w:lvlJc w:val="left"/>
      <w:pPr>
        <w:tabs>
          <w:tab w:val="num" w:pos="709"/>
        </w:tabs>
        <w:ind w:left="709" w:hanging="709"/>
      </w:pPr>
      <w:rPr>
        <w:rFonts w:asciiTheme="minorHAnsi" w:hAnsiTheme="minorHAnsi" w:hint="default"/>
        <w:b w:val="0"/>
        <w:i w:val="0"/>
        <w:sz w:val="24"/>
      </w:rPr>
    </w:lvl>
    <w:lvl w:ilvl="1">
      <w:start w:val="1"/>
      <w:numFmt w:val="lowerLetter"/>
      <w:lvlText w:val="(%2)"/>
      <w:lvlJc w:val="left"/>
      <w:pPr>
        <w:tabs>
          <w:tab w:val="num" w:pos="709"/>
        </w:tabs>
        <w:ind w:left="709" w:hanging="709"/>
      </w:pPr>
      <w:rPr>
        <w:rFonts w:asciiTheme="minorHAnsi" w:hAnsiTheme="minorHAnsi" w:hint="default"/>
        <w:b w:val="0"/>
        <w:i w:val="0"/>
        <w:color w:val="auto"/>
        <w:sz w:val="24"/>
      </w:rPr>
    </w:lvl>
    <w:lvl w:ilvl="2">
      <w:start w:val="1"/>
      <w:numFmt w:val="lowerLetter"/>
      <w:lvlText w:val="(%3)"/>
      <w:lvlJc w:val="left"/>
      <w:pPr>
        <w:tabs>
          <w:tab w:val="num" w:pos="1134"/>
        </w:tabs>
        <w:ind w:left="1134" w:hanging="425"/>
      </w:pPr>
      <w:rPr>
        <w:rFonts w:asciiTheme="minorHAnsi" w:hAnsiTheme="minorHAnsi" w:hint="default"/>
        <w:sz w:val="24"/>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 w15:restartNumberingAfterBreak="0">
    <w:nsid w:val="200055F9"/>
    <w:multiLevelType w:val="multilevel"/>
    <w:tmpl w:val="8E7245DC"/>
    <w:styleLink w:val="ListaUM3"/>
    <w:lvl w:ilvl="0">
      <w:start w:val="1"/>
      <w:numFmt w:val="upperRoman"/>
      <w:lvlText w:val="%1."/>
      <w:lvlJc w:val="left"/>
      <w:pPr>
        <w:tabs>
          <w:tab w:val="num" w:pos="709"/>
        </w:tabs>
        <w:ind w:left="709" w:hanging="709"/>
      </w:pPr>
      <w:rPr>
        <w:rFonts w:asciiTheme="minorHAnsi" w:hAnsiTheme="minorHAnsi" w:hint="default"/>
        <w:b/>
        <w:sz w:val="24"/>
      </w:rPr>
    </w:lvl>
    <w:lvl w:ilvl="1">
      <w:start w:val="1"/>
      <w:numFmt w:val="lowerLetter"/>
      <w:lvlText w:val="(%2)"/>
      <w:lvlJc w:val="left"/>
      <w:pPr>
        <w:tabs>
          <w:tab w:val="num" w:pos="1134"/>
        </w:tabs>
        <w:ind w:left="1134" w:hanging="425"/>
      </w:pPr>
      <w:rPr>
        <w:rFonts w:asciiTheme="minorHAnsi" w:hAnsiTheme="minorHAnsi" w:hint="default"/>
        <w:color w:val="auto"/>
        <w:sz w:val="24"/>
      </w:rPr>
    </w:lvl>
    <w:lvl w:ilvl="2">
      <w:start w:val="1"/>
      <w:numFmt w:val="none"/>
      <w:lvlText w:val=""/>
      <w:lvlJc w:val="left"/>
      <w:pPr>
        <w:ind w:left="1440" w:firstLine="0"/>
      </w:pPr>
      <w:rPr>
        <w:rFonts w:hint="default"/>
      </w:rPr>
    </w:lvl>
    <w:lvl w:ilvl="3">
      <w:start w:val="1"/>
      <w:numFmt w:val="none"/>
      <w:lvlText w:val=""/>
      <w:lvlJc w:val="left"/>
      <w:pPr>
        <w:ind w:left="2160" w:firstLine="0"/>
      </w:pPr>
      <w:rPr>
        <w:rFonts w:hint="default"/>
      </w:rPr>
    </w:lvl>
    <w:lvl w:ilvl="4">
      <w:start w:val="1"/>
      <w:numFmt w:val="none"/>
      <w:lvlText w:val=""/>
      <w:lvlJc w:val="left"/>
      <w:pPr>
        <w:ind w:left="2880" w:firstLine="0"/>
      </w:pPr>
      <w:rPr>
        <w:rFonts w:hint="default"/>
      </w:rPr>
    </w:lvl>
    <w:lvl w:ilvl="5">
      <w:start w:val="1"/>
      <w:numFmt w:val="none"/>
      <w:lvlText w:val=""/>
      <w:lvlJc w:val="left"/>
      <w:pPr>
        <w:ind w:left="3600" w:firstLine="0"/>
      </w:pPr>
      <w:rPr>
        <w:rFonts w:hint="default"/>
      </w:rPr>
    </w:lvl>
    <w:lvl w:ilvl="6">
      <w:start w:val="1"/>
      <w:numFmt w:val="none"/>
      <w:lvlText w:val=""/>
      <w:lvlJc w:val="left"/>
      <w:pPr>
        <w:ind w:left="4320" w:firstLine="0"/>
      </w:pPr>
      <w:rPr>
        <w:rFonts w:hint="default"/>
      </w:rPr>
    </w:lvl>
    <w:lvl w:ilvl="7">
      <w:start w:val="1"/>
      <w:numFmt w:val="none"/>
      <w:lvlText w:val=""/>
      <w:lvlJc w:val="left"/>
      <w:pPr>
        <w:ind w:left="5040" w:firstLine="0"/>
      </w:pPr>
      <w:rPr>
        <w:rFonts w:hint="default"/>
      </w:rPr>
    </w:lvl>
    <w:lvl w:ilvl="8">
      <w:start w:val="1"/>
      <w:numFmt w:val="none"/>
      <w:lvlText w:val=""/>
      <w:lvlJc w:val="left"/>
      <w:pPr>
        <w:ind w:left="5760" w:firstLine="0"/>
      </w:pPr>
      <w:rPr>
        <w:rFonts w:hint="default"/>
      </w:rPr>
    </w:lvl>
  </w:abstractNum>
  <w:abstractNum w:abstractNumId="3" w15:restartNumberingAfterBreak="0">
    <w:nsid w:val="52E7390C"/>
    <w:multiLevelType w:val="multilevel"/>
    <w:tmpl w:val="C76AA05E"/>
    <w:numStyleLink w:val="ListaUM1"/>
  </w:abstractNum>
  <w:abstractNum w:abstractNumId="4" w15:restartNumberingAfterBreak="0">
    <w:nsid w:val="56332D8D"/>
    <w:multiLevelType w:val="multilevel"/>
    <w:tmpl w:val="671E5724"/>
    <w:lvl w:ilvl="0">
      <w:start w:val="1"/>
      <w:numFmt w:val="decimal"/>
      <w:pStyle w:val="Ttulo1"/>
      <w:lvlText w:val="%1."/>
      <w:lvlJc w:val="left"/>
      <w:pPr>
        <w:tabs>
          <w:tab w:val="num" w:pos="709"/>
        </w:tabs>
        <w:ind w:left="709" w:hanging="709"/>
      </w:pPr>
      <w:rPr>
        <w:rFonts w:asciiTheme="minorHAnsi" w:hAnsiTheme="minorHAnsi" w:hint="default"/>
        <w:b/>
        <w:i w:val="0"/>
        <w:color w:val="auto"/>
        <w:sz w:val="24"/>
      </w:rPr>
    </w:lvl>
    <w:lvl w:ilvl="1">
      <w:start w:val="1"/>
      <w:numFmt w:val="decimal"/>
      <w:pStyle w:val="Ttulo2"/>
      <w:lvlText w:val="%1.%2"/>
      <w:lvlJc w:val="left"/>
      <w:pPr>
        <w:tabs>
          <w:tab w:val="num" w:pos="709"/>
        </w:tabs>
        <w:ind w:left="709" w:hanging="709"/>
      </w:pPr>
      <w:rPr>
        <w:rFonts w:asciiTheme="minorHAnsi" w:hAnsiTheme="minorHAnsi" w:hint="default"/>
        <w:b w:val="0"/>
        <w:i w:val="0"/>
        <w:color w:val="auto"/>
        <w:sz w:val="24"/>
      </w:rPr>
    </w:lvl>
    <w:lvl w:ilvl="2">
      <w:start w:val="1"/>
      <w:numFmt w:val="decimal"/>
      <w:pStyle w:val="Ttulo3"/>
      <w:lvlText w:val="%1.%2.%3"/>
      <w:lvlJc w:val="left"/>
      <w:pPr>
        <w:tabs>
          <w:tab w:val="num" w:pos="709"/>
        </w:tabs>
        <w:ind w:left="709" w:hanging="709"/>
      </w:pPr>
      <w:rPr>
        <w:rFonts w:asciiTheme="minorHAnsi" w:hAnsiTheme="minorHAnsi" w:hint="default"/>
        <w:b/>
        <w:i w:val="0"/>
        <w:color w:val="auto"/>
        <w:sz w:val="24"/>
      </w:rPr>
    </w:lvl>
    <w:lvl w:ilvl="3">
      <w:start w:val="1"/>
      <w:numFmt w:val="upperLetter"/>
      <w:pStyle w:val="Ttulo4"/>
      <w:lvlText w:val="(%4)"/>
      <w:lvlJc w:val="left"/>
      <w:pPr>
        <w:tabs>
          <w:tab w:val="num" w:pos="709"/>
        </w:tabs>
        <w:ind w:left="709" w:hanging="709"/>
      </w:pPr>
      <w:rPr>
        <w:rFonts w:asciiTheme="minorHAnsi" w:hAnsiTheme="minorHAnsi" w:hint="default"/>
        <w:b w:val="0"/>
        <w:i w:val="0"/>
        <w:color w:val="auto"/>
        <w:sz w:val="24"/>
      </w:rPr>
    </w:lvl>
    <w:lvl w:ilvl="4">
      <w:start w:val="1"/>
      <w:numFmt w:val="lowerRoman"/>
      <w:pStyle w:val="Ttulo5"/>
      <w:lvlText w:val="(%5)"/>
      <w:lvlJc w:val="left"/>
      <w:pPr>
        <w:tabs>
          <w:tab w:val="num" w:pos="1134"/>
        </w:tabs>
        <w:ind w:left="1134" w:hanging="425"/>
      </w:pPr>
      <w:rPr>
        <w:rFonts w:asciiTheme="minorHAnsi" w:hAnsiTheme="minorHAnsi" w:hint="default"/>
        <w:b w:val="0"/>
        <w:i w:val="0"/>
        <w:color w:val="auto"/>
        <w:sz w:val="24"/>
      </w:rPr>
    </w:lvl>
    <w:lvl w:ilvl="5">
      <w:start w:val="1"/>
      <w:numFmt w:val="lowerLetter"/>
      <w:pStyle w:val="Ttulo6"/>
      <w:lvlText w:val="(%6)"/>
      <w:lvlJc w:val="left"/>
      <w:pPr>
        <w:tabs>
          <w:tab w:val="num" w:pos="1701"/>
        </w:tabs>
        <w:ind w:left="1701" w:hanging="567"/>
      </w:pPr>
      <w:rPr>
        <w:rFonts w:asciiTheme="minorHAnsi" w:hAnsiTheme="minorHAnsi" w:hint="default"/>
        <w:b w:val="0"/>
        <w:i w:val="0"/>
        <w:color w:val="auto"/>
        <w:sz w:val="24"/>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5" w15:restartNumberingAfterBreak="0">
    <w:nsid w:val="655B19C7"/>
    <w:multiLevelType w:val="hybridMultilevel"/>
    <w:tmpl w:val="8E26D072"/>
    <w:lvl w:ilvl="0" w:tplc="A3E641E2">
      <w:start w:val="1"/>
      <w:numFmt w:val="decimal"/>
      <w:lvlText w:val="(%1)"/>
      <w:lvlJc w:val="left"/>
      <w:pPr>
        <w:ind w:left="1778" w:hanging="360"/>
      </w:pPr>
      <w:rPr>
        <w:rFonts w:ascii="Arial Narrow" w:hAnsi="Arial Narrow" w:cstheme="majorHAnsi" w:hint="default"/>
        <w:b w:val="0"/>
        <w:i w:val="0"/>
        <w:sz w:val="24"/>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20487725">
    <w:abstractNumId w:val="1"/>
  </w:num>
  <w:num w:numId="2" w16cid:durableId="1872644725">
    <w:abstractNumId w:val="0"/>
  </w:num>
  <w:num w:numId="3" w16cid:durableId="1017735311">
    <w:abstractNumId w:val="2"/>
  </w:num>
  <w:num w:numId="4" w16cid:durableId="399905550">
    <w:abstractNumId w:val="4"/>
  </w:num>
  <w:num w:numId="5" w16cid:durableId="733087781">
    <w:abstractNumId w:val="5"/>
  </w:num>
  <w:num w:numId="6" w16cid:durableId="15369652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20491648">
    <w:abstractNumId w:val="3"/>
    <w:lvlOverride w:ilvl="0">
      <w:lvl w:ilvl="0">
        <w:start w:val="1"/>
        <w:numFmt w:val="lowerRoman"/>
        <w:lvlText w:val="(%1)"/>
        <w:lvlJc w:val="left"/>
        <w:pPr>
          <w:tabs>
            <w:tab w:val="num" w:pos="709"/>
          </w:tabs>
          <w:ind w:left="709" w:hanging="709"/>
        </w:pPr>
        <w:rPr>
          <w:rFonts w:asciiTheme="majorHAnsi" w:hAnsiTheme="majorHAnsi" w:hint="default"/>
          <w:b w:val="0"/>
          <w:i w:val="0"/>
          <w:sz w:val="23"/>
          <w:szCs w:val="23"/>
        </w:rPr>
      </w:lvl>
    </w:lvlOverride>
  </w:num>
  <w:num w:numId="8" w16cid:durableId="14209528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CF1"/>
    <w:rsid w:val="0000134C"/>
    <w:rsid w:val="00001CF9"/>
    <w:rsid w:val="00001D0F"/>
    <w:rsid w:val="00002FE2"/>
    <w:rsid w:val="0000335C"/>
    <w:rsid w:val="0000499D"/>
    <w:rsid w:val="00004BC1"/>
    <w:rsid w:val="0000515D"/>
    <w:rsid w:val="0000574E"/>
    <w:rsid w:val="00007737"/>
    <w:rsid w:val="000077F1"/>
    <w:rsid w:val="00007A10"/>
    <w:rsid w:val="0001017F"/>
    <w:rsid w:val="000104C4"/>
    <w:rsid w:val="000123B2"/>
    <w:rsid w:val="000124DC"/>
    <w:rsid w:val="0001264C"/>
    <w:rsid w:val="00012718"/>
    <w:rsid w:val="00012966"/>
    <w:rsid w:val="00013E87"/>
    <w:rsid w:val="0001481A"/>
    <w:rsid w:val="00014E29"/>
    <w:rsid w:val="000155AB"/>
    <w:rsid w:val="000155B9"/>
    <w:rsid w:val="00016310"/>
    <w:rsid w:val="00016572"/>
    <w:rsid w:val="00016A6C"/>
    <w:rsid w:val="00016F26"/>
    <w:rsid w:val="00016FB0"/>
    <w:rsid w:val="00020798"/>
    <w:rsid w:val="00020FE1"/>
    <w:rsid w:val="0002166D"/>
    <w:rsid w:val="00021836"/>
    <w:rsid w:val="00021ABE"/>
    <w:rsid w:val="00021D23"/>
    <w:rsid w:val="000224A0"/>
    <w:rsid w:val="000224B2"/>
    <w:rsid w:val="0002284D"/>
    <w:rsid w:val="000256CC"/>
    <w:rsid w:val="00026ADA"/>
    <w:rsid w:val="00027583"/>
    <w:rsid w:val="00027B48"/>
    <w:rsid w:val="000304EF"/>
    <w:rsid w:val="000309B8"/>
    <w:rsid w:val="00031772"/>
    <w:rsid w:val="0003182E"/>
    <w:rsid w:val="0003283F"/>
    <w:rsid w:val="000339B8"/>
    <w:rsid w:val="00035AEF"/>
    <w:rsid w:val="0003678A"/>
    <w:rsid w:val="00037D51"/>
    <w:rsid w:val="00037FCD"/>
    <w:rsid w:val="00040309"/>
    <w:rsid w:val="000409A4"/>
    <w:rsid w:val="000417D2"/>
    <w:rsid w:val="00042C7B"/>
    <w:rsid w:val="00043965"/>
    <w:rsid w:val="00043CE8"/>
    <w:rsid w:val="00043F67"/>
    <w:rsid w:val="000447A9"/>
    <w:rsid w:val="00044E92"/>
    <w:rsid w:val="00045548"/>
    <w:rsid w:val="00045771"/>
    <w:rsid w:val="00045E6D"/>
    <w:rsid w:val="000479F6"/>
    <w:rsid w:val="00047C49"/>
    <w:rsid w:val="000509F0"/>
    <w:rsid w:val="00050AED"/>
    <w:rsid w:val="000537E0"/>
    <w:rsid w:val="00054A20"/>
    <w:rsid w:val="00054A80"/>
    <w:rsid w:val="000566DA"/>
    <w:rsid w:val="0006138A"/>
    <w:rsid w:val="00062650"/>
    <w:rsid w:val="000630BC"/>
    <w:rsid w:val="00065314"/>
    <w:rsid w:val="0006565E"/>
    <w:rsid w:val="0006595E"/>
    <w:rsid w:val="00066496"/>
    <w:rsid w:val="000672AA"/>
    <w:rsid w:val="00067917"/>
    <w:rsid w:val="00067A44"/>
    <w:rsid w:val="0007013F"/>
    <w:rsid w:val="00070A12"/>
    <w:rsid w:val="00070DFF"/>
    <w:rsid w:val="00071BB5"/>
    <w:rsid w:val="00071C96"/>
    <w:rsid w:val="00071EEB"/>
    <w:rsid w:val="000721CC"/>
    <w:rsid w:val="00072C4D"/>
    <w:rsid w:val="000730A9"/>
    <w:rsid w:val="00073F97"/>
    <w:rsid w:val="000754A3"/>
    <w:rsid w:val="000756D0"/>
    <w:rsid w:val="00075E0C"/>
    <w:rsid w:val="00076DBC"/>
    <w:rsid w:val="000814BF"/>
    <w:rsid w:val="0008194B"/>
    <w:rsid w:val="00082C61"/>
    <w:rsid w:val="00083F39"/>
    <w:rsid w:val="0008435E"/>
    <w:rsid w:val="0008663C"/>
    <w:rsid w:val="0008668D"/>
    <w:rsid w:val="00086F75"/>
    <w:rsid w:val="000871F7"/>
    <w:rsid w:val="00090229"/>
    <w:rsid w:val="000903F6"/>
    <w:rsid w:val="00091169"/>
    <w:rsid w:val="0009145A"/>
    <w:rsid w:val="00091BDF"/>
    <w:rsid w:val="00091D4E"/>
    <w:rsid w:val="00092D30"/>
    <w:rsid w:val="00092D50"/>
    <w:rsid w:val="00093CCA"/>
    <w:rsid w:val="000947B4"/>
    <w:rsid w:val="0009497F"/>
    <w:rsid w:val="00095EB3"/>
    <w:rsid w:val="000968EF"/>
    <w:rsid w:val="00097006"/>
    <w:rsid w:val="000A1071"/>
    <w:rsid w:val="000A2822"/>
    <w:rsid w:val="000A2CE4"/>
    <w:rsid w:val="000A2DBB"/>
    <w:rsid w:val="000A319A"/>
    <w:rsid w:val="000A349A"/>
    <w:rsid w:val="000A34F5"/>
    <w:rsid w:val="000A3DE5"/>
    <w:rsid w:val="000A7206"/>
    <w:rsid w:val="000A7515"/>
    <w:rsid w:val="000A7856"/>
    <w:rsid w:val="000B016C"/>
    <w:rsid w:val="000B1ADF"/>
    <w:rsid w:val="000B1E53"/>
    <w:rsid w:val="000B20C8"/>
    <w:rsid w:val="000B224B"/>
    <w:rsid w:val="000B347A"/>
    <w:rsid w:val="000B452D"/>
    <w:rsid w:val="000B4611"/>
    <w:rsid w:val="000B5D0C"/>
    <w:rsid w:val="000B5E5D"/>
    <w:rsid w:val="000B6D5C"/>
    <w:rsid w:val="000B7559"/>
    <w:rsid w:val="000C0D84"/>
    <w:rsid w:val="000C0F6D"/>
    <w:rsid w:val="000C100A"/>
    <w:rsid w:val="000C17D3"/>
    <w:rsid w:val="000C237C"/>
    <w:rsid w:val="000C30B2"/>
    <w:rsid w:val="000C3138"/>
    <w:rsid w:val="000C352B"/>
    <w:rsid w:val="000C3BC5"/>
    <w:rsid w:val="000C3DF3"/>
    <w:rsid w:val="000C4652"/>
    <w:rsid w:val="000C4CC2"/>
    <w:rsid w:val="000C4D93"/>
    <w:rsid w:val="000C5976"/>
    <w:rsid w:val="000C5A30"/>
    <w:rsid w:val="000C6348"/>
    <w:rsid w:val="000C64BA"/>
    <w:rsid w:val="000C668E"/>
    <w:rsid w:val="000C69E8"/>
    <w:rsid w:val="000C7701"/>
    <w:rsid w:val="000C7E08"/>
    <w:rsid w:val="000D10AF"/>
    <w:rsid w:val="000D1515"/>
    <w:rsid w:val="000D2E73"/>
    <w:rsid w:val="000D493C"/>
    <w:rsid w:val="000D52B8"/>
    <w:rsid w:val="000D5737"/>
    <w:rsid w:val="000D737E"/>
    <w:rsid w:val="000E039D"/>
    <w:rsid w:val="000E0823"/>
    <w:rsid w:val="000E119E"/>
    <w:rsid w:val="000E1744"/>
    <w:rsid w:val="000E1ADB"/>
    <w:rsid w:val="000E4B51"/>
    <w:rsid w:val="000E5DA5"/>
    <w:rsid w:val="000E6260"/>
    <w:rsid w:val="000E66B2"/>
    <w:rsid w:val="000E7463"/>
    <w:rsid w:val="000E74E3"/>
    <w:rsid w:val="000E787A"/>
    <w:rsid w:val="000F0855"/>
    <w:rsid w:val="000F0A92"/>
    <w:rsid w:val="000F173E"/>
    <w:rsid w:val="000F1DD9"/>
    <w:rsid w:val="000F1F0C"/>
    <w:rsid w:val="000F26A0"/>
    <w:rsid w:val="000F289C"/>
    <w:rsid w:val="000F2C9F"/>
    <w:rsid w:val="000F4CBD"/>
    <w:rsid w:val="000F4FD3"/>
    <w:rsid w:val="000F6B89"/>
    <w:rsid w:val="001000CB"/>
    <w:rsid w:val="001003E1"/>
    <w:rsid w:val="0010141B"/>
    <w:rsid w:val="00101A8E"/>
    <w:rsid w:val="001023A7"/>
    <w:rsid w:val="00102E8A"/>
    <w:rsid w:val="001044CB"/>
    <w:rsid w:val="00105262"/>
    <w:rsid w:val="00105304"/>
    <w:rsid w:val="0010634D"/>
    <w:rsid w:val="00106DA0"/>
    <w:rsid w:val="00107397"/>
    <w:rsid w:val="0011036E"/>
    <w:rsid w:val="00111780"/>
    <w:rsid w:val="00112061"/>
    <w:rsid w:val="0011246E"/>
    <w:rsid w:val="00114286"/>
    <w:rsid w:val="00114325"/>
    <w:rsid w:val="0011461A"/>
    <w:rsid w:val="00114F2E"/>
    <w:rsid w:val="00116C08"/>
    <w:rsid w:val="00122732"/>
    <w:rsid w:val="00122D09"/>
    <w:rsid w:val="00123064"/>
    <w:rsid w:val="00126D62"/>
    <w:rsid w:val="00127C53"/>
    <w:rsid w:val="0013025B"/>
    <w:rsid w:val="00130899"/>
    <w:rsid w:val="001323D4"/>
    <w:rsid w:val="00132D22"/>
    <w:rsid w:val="00132F4F"/>
    <w:rsid w:val="001340CB"/>
    <w:rsid w:val="001347D4"/>
    <w:rsid w:val="001355CE"/>
    <w:rsid w:val="00136F63"/>
    <w:rsid w:val="001376F7"/>
    <w:rsid w:val="00137AF4"/>
    <w:rsid w:val="00137BC2"/>
    <w:rsid w:val="0014023A"/>
    <w:rsid w:val="00141157"/>
    <w:rsid w:val="00141B7E"/>
    <w:rsid w:val="001424C2"/>
    <w:rsid w:val="00143D84"/>
    <w:rsid w:val="00144431"/>
    <w:rsid w:val="00144454"/>
    <w:rsid w:val="00144DE6"/>
    <w:rsid w:val="00145A39"/>
    <w:rsid w:val="00146AD4"/>
    <w:rsid w:val="00147749"/>
    <w:rsid w:val="001500DE"/>
    <w:rsid w:val="001504C7"/>
    <w:rsid w:val="00150F2B"/>
    <w:rsid w:val="001531FB"/>
    <w:rsid w:val="00153B63"/>
    <w:rsid w:val="00153BD0"/>
    <w:rsid w:val="00153C72"/>
    <w:rsid w:val="00153C8C"/>
    <w:rsid w:val="00153D74"/>
    <w:rsid w:val="00154E78"/>
    <w:rsid w:val="0015678A"/>
    <w:rsid w:val="00157C9E"/>
    <w:rsid w:val="001640C0"/>
    <w:rsid w:val="00164548"/>
    <w:rsid w:val="0016657C"/>
    <w:rsid w:val="001666F6"/>
    <w:rsid w:val="00166AA9"/>
    <w:rsid w:val="00166D37"/>
    <w:rsid w:val="00175255"/>
    <w:rsid w:val="00175509"/>
    <w:rsid w:val="00175E85"/>
    <w:rsid w:val="0017679C"/>
    <w:rsid w:val="001767BA"/>
    <w:rsid w:val="00176C24"/>
    <w:rsid w:val="001803E3"/>
    <w:rsid w:val="001817EB"/>
    <w:rsid w:val="0018192C"/>
    <w:rsid w:val="00182254"/>
    <w:rsid w:val="00182AA5"/>
    <w:rsid w:val="0018451E"/>
    <w:rsid w:val="001846F4"/>
    <w:rsid w:val="00185849"/>
    <w:rsid w:val="00190938"/>
    <w:rsid w:val="00190CBC"/>
    <w:rsid w:val="00191B1D"/>
    <w:rsid w:val="00192062"/>
    <w:rsid w:val="00194B2C"/>
    <w:rsid w:val="00194FED"/>
    <w:rsid w:val="00195488"/>
    <w:rsid w:val="00195BCF"/>
    <w:rsid w:val="00195C19"/>
    <w:rsid w:val="00196B1E"/>
    <w:rsid w:val="001A09D9"/>
    <w:rsid w:val="001A1366"/>
    <w:rsid w:val="001A1845"/>
    <w:rsid w:val="001A1AEC"/>
    <w:rsid w:val="001A20BE"/>
    <w:rsid w:val="001A28F8"/>
    <w:rsid w:val="001A3260"/>
    <w:rsid w:val="001A37FF"/>
    <w:rsid w:val="001A63E6"/>
    <w:rsid w:val="001A6EEE"/>
    <w:rsid w:val="001A7217"/>
    <w:rsid w:val="001B1990"/>
    <w:rsid w:val="001B1EDD"/>
    <w:rsid w:val="001B4049"/>
    <w:rsid w:val="001B56CB"/>
    <w:rsid w:val="001B6749"/>
    <w:rsid w:val="001B68AA"/>
    <w:rsid w:val="001C16C3"/>
    <w:rsid w:val="001C1960"/>
    <w:rsid w:val="001C1AC7"/>
    <w:rsid w:val="001C1AE2"/>
    <w:rsid w:val="001C1C41"/>
    <w:rsid w:val="001C229C"/>
    <w:rsid w:val="001C3FD0"/>
    <w:rsid w:val="001C4780"/>
    <w:rsid w:val="001C523C"/>
    <w:rsid w:val="001C612F"/>
    <w:rsid w:val="001C7074"/>
    <w:rsid w:val="001C74E2"/>
    <w:rsid w:val="001D0CFA"/>
    <w:rsid w:val="001D1AFE"/>
    <w:rsid w:val="001D3405"/>
    <w:rsid w:val="001D45B5"/>
    <w:rsid w:val="001D486C"/>
    <w:rsid w:val="001D5CD8"/>
    <w:rsid w:val="001E07A2"/>
    <w:rsid w:val="001E110B"/>
    <w:rsid w:val="001E2149"/>
    <w:rsid w:val="001E291E"/>
    <w:rsid w:val="001E35C7"/>
    <w:rsid w:val="001F1014"/>
    <w:rsid w:val="001F3189"/>
    <w:rsid w:val="001F395C"/>
    <w:rsid w:val="001F434D"/>
    <w:rsid w:val="001F4D11"/>
    <w:rsid w:val="001F58CD"/>
    <w:rsid w:val="001F6DDF"/>
    <w:rsid w:val="001F7353"/>
    <w:rsid w:val="001F735C"/>
    <w:rsid w:val="0020076E"/>
    <w:rsid w:val="00200BA9"/>
    <w:rsid w:val="002025D8"/>
    <w:rsid w:val="0020375A"/>
    <w:rsid w:val="002051E7"/>
    <w:rsid w:val="00206F0F"/>
    <w:rsid w:val="00210A39"/>
    <w:rsid w:val="002114B9"/>
    <w:rsid w:val="00211907"/>
    <w:rsid w:val="002129F1"/>
    <w:rsid w:val="00212A7C"/>
    <w:rsid w:val="0021354D"/>
    <w:rsid w:val="00213DE7"/>
    <w:rsid w:val="00214CD2"/>
    <w:rsid w:val="00215D4D"/>
    <w:rsid w:val="00216640"/>
    <w:rsid w:val="0021745F"/>
    <w:rsid w:val="00220242"/>
    <w:rsid w:val="00220AF7"/>
    <w:rsid w:val="00221D3B"/>
    <w:rsid w:val="00222051"/>
    <w:rsid w:val="002220FF"/>
    <w:rsid w:val="002240F5"/>
    <w:rsid w:val="00224756"/>
    <w:rsid w:val="00224B14"/>
    <w:rsid w:val="00224E6F"/>
    <w:rsid w:val="00225060"/>
    <w:rsid w:val="00225302"/>
    <w:rsid w:val="002263DF"/>
    <w:rsid w:val="00226717"/>
    <w:rsid w:val="00226978"/>
    <w:rsid w:val="00227C5E"/>
    <w:rsid w:val="00230BAD"/>
    <w:rsid w:val="002314AA"/>
    <w:rsid w:val="00233C32"/>
    <w:rsid w:val="00233CAF"/>
    <w:rsid w:val="00234619"/>
    <w:rsid w:val="00235363"/>
    <w:rsid w:val="002359DA"/>
    <w:rsid w:val="00237F35"/>
    <w:rsid w:val="002400D3"/>
    <w:rsid w:val="00240D6B"/>
    <w:rsid w:val="00241D7E"/>
    <w:rsid w:val="0024223E"/>
    <w:rsid w:val="002423FA"/>
    <w:rsid w:val="00242EB5"/>
    <w:rsid w:val="00242F5F"/>
    <w:rsid w:val="00243CFD"/>
    <w:rsid w:val="00245DC2"/>
    <w:rsid w:val="0024625F"/>
    <w:rsid w:val="00246B44"/>
    <w:rsid w:val="00246E33"/>
    <w:rsid w:val="00247B5E"/>
    <w:rsid w:val="00251401"/>
    <w:rsid w:val="00251B98"/>
    <w:rsid w:val="00252212"/>
    <w:rsid w:val="00252295"/>
    <w:rsid w:val="00252553"/>
    <w:rsid w:val="00252581"/>
    <w:rsid w:val="002535EA"/>
    <w:rsid w:val="00253F02"/>
    <w:rsid w:val="002564A8"/>
    <w:rsid w:val="002566C7"/>
    <w:rsid w:val="00256D46"/>
    <w:rsid w:val="00260583"/>
    <w:rsid w:val="00260B9B"/>
    <w:rsid w:val="00261596"/>
    <w:rsid w:val="00262056"/>
    <w:rsid w:val="00262574"/>
    <w:rsid w:val="00262B56"/>
    <w:rsid w:val="00262FF9"/>
    <w:rsid w:val="00264029"/>
    <w:rsid w:val="00264468"/>
    <w:rsid w:val="00265220"/>
    <w:rsid w:val="002666A7"/>
    <w:rsid w:val="002669DF"/>
    <w:rsid w:val="00266B73"/>
    <w:rsid w:val="00267414"/>
    <w:rsid w:val="00267A28"/>
    <w:rsid w:val="00270454"/>
    <w:rsid w:val="0027094E"/>
    <w:rsid w:val="0027117C"/>
    <w:rsid w:val="002719F7"/>
    <w:rsid w:val="00271AB4"/>
    <w:rsid w:val="002725B3"/>
    <w:rsid w:val="002727BA"/>
    <w:rsid w:val="00273BA7"/>
    <w:rsid w:val="00273D19"/>
    <w:rsid w:val="00274D04"/>
    <w:rsid w:val="00276DC3"/>
    <w:rsid w:val="002778DC"/>
    <w:rsid w:val="002803EB"/>
    <w:rsid w:val="00281A05"/>
    <w:rsid w:val="00281E26"/>
    <w:rsid w:val="0028295D"/>
    <w:rsid w:val="00282AC9"/>
    <w:rsid w:val="00282AE6"/>
    <w:rsid w:val="00282C0E"/>
    <w:rsid w:val="00282DE3"/>
    <w:rsid w:val="002831DE"/>
    <w:rsid w:val="0028445F"/>
    <w:rsid w:val="00285506"/>
    <w:rsid w:val="002857ED"/>
    <w:rsid w:val="00285858"/>
    <w:rsid w:val="00291D16"/>
    <w:rsid w:val="002928F5"/>
    <w:rsid w:val="00292A81"/>
    <w:rsid w:val="0029408A"/>
    <w:rsid w:val="00295B55"/>
    <w:rsid w:val="00295EE9"/>
    <w:rsid w:val="00295FBF"/>
    <w:rsid w:val="00297C99"/>
    <w:rsid w:val="002A037B"/>
    <w:rsid w:val="002A103E"/>
    <w:rsid w:val="002A26C0"/>
    <w:rsid w:val="002A30B4"/>
    <w:rsid w:val="002A321C"/>
    <w:rsid w:val="002A397C"/>
    <w:rsid w:val="002A4BEF"/>
    <w:rsid w:val="002A4DCB"/>
    <w:rsid w:val="002A4F08"/>
    <w:rsid w:val="002A5429"/>
    <w:rsid w:val="002A5685"/>
    <w:rsid w:val="002A5C5C"/>
    <w:rsid w:val="002A6A38"/>
    <w:rsid w:val="002B0034"/>
    <w:rsid w:val="002B0106"/>
    <w:rsid w:val="002B0BE1"/>
    <w:rsid w:val="002B1589"/>
    <w:rsid w:val="002B190F"/>
    <w:rsid w:val="002B1E7E"/>
    <w:rsid w:val="002B3523"/>
    <w:rsid w:val="002B3AF2"/>
    <w:rsid w:val="002B3DEC"/>
    <w:rsid w:val="002B4BE3"/>
    <w:rsid w:val="002B4E4B"/>
    <w:rsid w:val="002B51B9"/>
    <w:rsid w:val="002B653F"/>
    <w:rsid w:val="002B745C"/>
    <w:rsid w:val="002B7959"/>
    <w:rsid w:val="002C04F2"/>
    <w:rsid w:val="002C2149"/>
    <w:rsid w:val="002C39B4"/>
    <w:rsid w:val="002C3FA6"/>
    <w:rsid w:val="002C7D9C"/>
    <w:rsid w:val="002D0C33"/>
    <w:rsid w:val="002D1F04"/>
    <w:rsid w:val="002D218E"/>
    <w:rsid w:val="002D28FD"/>
    <w:rsid w:val="002D29A3"/>
    <w:rsid w:val="002D2B0A"/>
    <w:rsid w:val="002D479E"/>
    <w:rsid w:val="002D4C74"/>
    <w:rsid w:val="002D5594"/>
    <w:rsid w:val="002D56AF"/>
    <w:rsid w:val="002D62E9"/>
    <w:rsid w:val="002D6A0E"/>
    <w:rsid w:val="002E0F9B"/>
    <w:rsid w:val="002E1292"/>
    <w:rsid w:val="002E2C4A"/>
    <w:rsid w:val="002E2E0D"/>
    <w:rsid w:val="002E3FA6"/>
    <w:rsid w:val="002E4E72"/>
    <w:rsid w:val="002E5A92"/>
    <w:rsid w:val="002E5FBB"/>
    <w:rsid w:val="002E6A5D"/>
    <w:rsid w:val="002E771C"/>
    <w:rsid w:val="002F0A14"/>
    <w:rsid w:val="002F1028"/>
    <w:rsid w:val="002F2062"/>
    <w:rsid w:val="002F2225"/>
    <w:rsid w:val="002F29A8"/>
    <w:rsid w:val="002F2BC5"/>
    <w:rsid w:val="002F3416"/>
    <w:rsid w:val="002F5549"/>
    <w:rsid w:val="002F5D4C"/>
    <w:rsid w:val="002F650A"/>
    <w:rsid w:val="002F66E9"/>
    <w:rsid w:val="002F7AEF"/>
    <w:rsid w:val="003005E0"/>
    <w:rsid w:val="00301684"/>
    <w:rsid w:val="00301B2E"/>
    <w:rsid w:val="00302576"/>
    <w:rsid w:val="00302648"/>
    <w:rsid w:val="003034D5"/>
    <w:rsid w:val="00303C33"/>
    <w:rsid w:val="00303C5D"/>
    <w:rsid w:val="00304169"/>
    <w:rsid w:val="00304EB7"/>
    <w:rsid w:val="00306B71"/>
    <w:rsid w:val="00307A0D"/>
    <w:rsid w:val="00307AC3"/>
    <w:rsid w:val="00310263"/>
    <w:rsid w:val="00310A2B"/>
    <w:rsid w:val="00310C5B"/>
    <w:rsid w:val="003110EA"/>
    <w:rsid w:val="00311FDC"/>
    <w:rsid w:val="00312274"/>
    <w:rsid w:val="003148BA"/>
    <w:rsid w:val="0031508B"/>
    <w:rsid w:val="00315647"/>
    <w:rsid w:val="003158BD"/>
    <w:rsid w:val="00316492"/>
    <w:rsid w:val="00317780"/>
    <w:rsid w:val="00317A02"/>
    <w:rsid w:val="00321A00"/>
    <w:rsid w:val="003231C6"/>
    <w:rsid w:val="00324054"/>
    <w:rsid w:val="0032420F"/>
    <w:rsid w:val="003247E8"/>
    <w:rsid w:val="00324FE1"/>
    <w:rsid w:val="003258BE"/>
    <w:rsid w:val="0032774F"/>
    <w:rsid w:val="00327774"/>
    <w:rsid w:val="00327E92"/>
    <w:rsid w:val="003309EF"/>
    <w:rsid w:val="00332772"/>
    <w:rsid w:val="003329B7"/>
    <w:rsid w:val="00334840"/>
    <w:rsid w:val="00335975"/>
    <w:rsid w:val="00336750"/>
    <w:rsid w:val="003418BD"/>
    <w:rsid w:val="00341977"/>
    <w:rsid w:val="00341EED"/>
    <w:rsid w:val="003429EE"/>
    <w:rsid w:val="00342EBE"/>
    <w:rsid w:val="003434CA"/>
    <w:rsid w:val="00343D13"/>
    <w:rsid w:val="00343D7E"/>
    <w:rsid w:val="00344A8F"/>
    <w:rsid w:val="00345990"/>
    <w:rsid w:val="00346163"/>
    <w:rsid w:val="00347314"/>
    <w:rsid w:val="00347468"/>
    <w:rsid w:val="00347713"/>
    <w:rsid w:val="003502FA"/>
    <w:rsid w:val="00352DE1"/>
    <w:rsid w:val="00353099"/>
    <w:rsid w:val="003533C3"/>
    <w:rsid w:val="0035423A"/>
    <w:rsid w:val="00355D47"/>
    <w:rsid w:val="003579C1"/>
    <w:rsid w:val="00357B61"/>
    <w:rsid w:val="00362AA1"/>
    <w:rsid w:val="00363F93"/>
    <w:rsid w:val="003642B2"/>
    <w:rsid w:val="00364D63"/>
    <w:rsid w:val="00365644"/>
    <w:rsid w:val="00365679"/>
    <w:rsid w:val="003656A6"/>
    <w:rsid w:val="00365A7E"/>
    <w:rsid w:val="00365BE5"/>
    <w:rsid w:val="0036641E"/>
    <w:rsid w:val="00370638"/>
    <w:rsid w:val="0037115A"/>
    <w:rsid w:val="003729C1"/>
    <w:rsid w:val="003765F6"/>
    <w:rsid w:val="0037761C"/>
    <w:rsid w:val="00377B6E"/>
    <w:rsid w:val="00380700"/>
    <w:rsid w:val="0038216A"/>
    <w:rsid w:val="003824D7"/>
    <w:rsid w:val="003837C0"/>
    <w:rsid w:val="0038462A"/>
    <w:rsid w:val="00384C9E"/>
    <w:rsid w:val="003854DE"/>
    <w:rsid w:val="0038576F"/>
    <w:rsid w:val="00385B2A"/>
    <w:rsid w:val="00385CAA"/>
    <w:rsid w:val="003860CB"/>
    <w:rsid w:val="0038660A"/>
    <w:rsid w:val="0038671A"/>
    <w:rsid w:val="00390FFB"/>
    <w:rsid w:val="00391849"/>
    <w:rsid w:val="00391F7E"/>
    <w:rsid w:val="00392799"/>
    <w:rsid w:val="00393A95"/>
    <w:rsid w:val="00394648"/>
    <w:rsid w:val="00395776"/>
    <w:rsid w:val="00396D7D"/>
    <w:rsid w:val="0039763F"/>
    <w:rsid w:val="00397A52"/>
    <w:rsid w:val="003A0154"/>
    <w:rsid w:val="003A0364"/>
    <w:rsid w:val="003A3700"/>
    <w:rsid w:val="003A532A"/>
    <w:rsid w:val="003A5A0A"/>
    <w:rsid w:val="003A6745"/>
    <w:rsid w:val="003A67B6"/>
    <w:rsid w:val="003B00B8"/>
    <w:rsid w:val="003B00C7"/>
    <w:rsid w:val="003B07AD"/>
    <w:rsid w:val="003B109F"/>
    <w:rsid w:val="003B2334"/>
    <w:rsid w:val="003B2BA8"/>
    <w:rsid w:val="003B2F65"/>
    <w:rsid w:val="003B31EE"/>
    <w:rsid w:val="003B40F0"/>
    <w:rsid w:val="003B4C13"/>
    <w:rsid w:val="003B6E93"/>
    <w:rsid w:val="003B7197"/>
    <w:rsid w:val="003B75DF"/>
    <w:rsid w:val="003C0250"/>
    <w:rsid w:val="003C02A2"/>
    <w:rsid w:val="003C0911"/>
    <w:rsid w:val="003C2317"/>
    <w:rsid w:val="003C3ACF"/>
    <w:rsid w:val="003C4644"/>
    <w:rsid w:val="003C4DCF"/>
    <w:rsid w:val="003C4FED"/>
    <w:rsid w:val="003C572E"/>
    <w:rsid w:val="003C5944"/>
    <w:rsid w:val="003C7C5A"/>
    <w:rsid w:val="003D00FA"/>
    <w:rsid w:val="003D04BA"/>
    <w:rsid w:val="003D054E"/>
    <w:rsid w:val="003D2223"/>
    <w:rsid w:val="003D3F70"/>
    <w:rsid w:val="003D50D4"/>
    <w:rsid w:val="003D5FB8"/>
    <w:rsid w:val="003D6F4E"/>
    <w:rsid w:val="003D7089"/>
    <w:rsid w:val="003D76C0"/>
    <w:rsid w:val="003E00E7"/>
    <w:rsid w:val="003E040C"/>
    <w:rsid w:val="003E1B04"/>
    <w:rsid w:val="003E1D17"/>
    <w:rsid w:val="003E2514"/>
    <w:rsid w:val="003E49BF"/>
    <w:rsid w:val="003E721F"/>
    <w:rsid w:val="003E7CBD"/>
    <w:rsid w:val="003E7D2B"/>
    <w:rsid w:val="003F19A6"/>
    <w:rsid w:val="003F4077"/>
    <w:rsid w:val="003F49E8"/>
    <w:rsid w:val="003F4BB4"/>
    <w:rsid w:val="004005FC"/>
    <w:rsid w:val="00400804"/>
    <w:rsid w:val="00401498"/>
    <w:rsid w:val="004043F5"/>
    <w:rsid w:val="00405D99"/>
    <w:rsid w:val="00407CED"/>
    <w:rsid w:val="00411103"/>
    <w:rsid w:val="0041156F"/>
    <w:rsid w:val="004115C5"/>
    <w:rsid w:val="00411943"/>
    <w:rsid w:val="00414046"/>
    <w:rsid w:val="0041437C"/>
    <w:rsid w:val="0041453A"/>
    <w:rsid w:val="004160A0"/>
    <w:rsid w:val="00416F09"/>
    <w:rsid w:val="00417051"/>
    <w:rsid w:val="00420A37"/>
    <w:rsid w:val="00421442"/>
    <w:rsid w:val="004218CD"/>
    <w:rsid w:val="004218FF"/>
    <w:rsid w:val="004228A8"/>
    <w:rsid w:val="004228E9"/>
    <w:rsid w:val="00422B2C"/>
    <w:rsid w:val="00423FB8"/>
    <w:rsid w:val="004248BC"/>
    <w:rsid w:val="00425B9F"/>
    <w:rsid w:val="00426320"/>
    <w:rsid w:val="00426699"/>
    <w:rsid w:val="004275D9"/>
    <w:rsid w:val="00427BCB"/>
    <w:rsid w:val="00430C4B"/>
    <w:rsid w:val="00431BA0"/>
    <w:rsid w:val="00436200"/>
    <w:rsid w:val="0044138C"/>
    <w:rsid w:val="00441799"/>
    <w:rsid w:val="004417D5"/>
    <w:rsid w:val="00442EEA"/>
    <w:rsid w:val="004433C7"/>
    <w:rsid w:val="00443994"/>
    <w:rsid w:val="00443DF6"/>
    <w:rsid w:val="0044492D"/>
    <w:rsid w:val="00444EE9"/>
    <w:rsid w:val="004455DE"/>
    <w:rsid w:val="00446AF1"/>
    <w:rsid w:val="00447977"/>
    <w:rsid w:val="00447ABC"/>
    <w:rsid w:val="0045052F"/>
    <w:rsid w:val="004513D1"/>
    <w:rsid w:val="00451BB6"/>
    <w:rsid w:val="0045280F"/>
    <w:rsid w:val="00453BE4"/>
    <w:rsid w:val="004542A6"/>
    <w:rsid w:val="00454AA1"/>
    <w:rsid w:val="00455506"/>
    <w:rsid w:val="00456001"/>
    <w:rsid w:val="004560C2"/>
    <w:rsid w:val="004561E7"/>
    <w:rsid w:val="00456DD4"/>
    <w:rsid w:val="004574F8"/>
    <w:rsid w:val="00460217"/>
    <w:rsid w:val="00461151"/>
    <w:rsid w:val="0046280E"/>
    <w:rsid w:val="00463373"/>
    <w:rsid w:val="00463D68"/>
    <w:rsid w:val="004645F2"/>
    <w:rsid w:val="004658B6"/>
    <w:rsid w:val="00466723"/>
    <w:rsid w:val="00467CF9"/>
    <w:rsid w:val="00470ABF"/>
    <w:rsid w:val="00471134"/>
    <w:rsid w:val="0047206E"/>
    <w:rsid w:val="00472650"/>
    <w:rsid w:val="004726DD"/>
    <w:rsid w:val="004729A5"/>
    <w:rsid w:val="00473696"/>
    <w:rsid w:val="00474D9B"/>
    <w:rsid w:val="00476BFD"/>
    <w:rsid w:val="00477F9E"/>
    <w:rsid w:val="004808DF"/>
    <w:rsid w:val="00480B94"/>
    <w:rsid w:val="00481962"/>
    <w:rsid w:val="004822EF"/>
    <w:rsid w:val="00482D74"/>
    <w:rsid w:val="004859BF"/>
    <w:rsid w:val="00485C2A"/>
    <w:rsid w:val="00487880"/>
    <w:rsid w:val="0049130A"/>
    <w:rsid w:val="004915C4"/>
    <w:rsid w:val="0049249C"/>
    <w:rsid w:val="004938D0"/>
    <w:rsid w:val="00493FF9"/>
    <w:rsid w:val="0049454F"/>
    <w:rsid w:val="00494E4C"/>
    <w:rsid w:val="004950DE"/>
    <w:rsid w:val="00495B06"/>
    <w:rsid w:val="00495F8C"/>
    <w:rsid w:val="004A1816"/>
    <w:rsid w:val="004A1BA2"/>
    <w:rsid w:val="004A1C0E"/>
    <w:rsid w:val="004A3599"/>
    <w:rsid w:val="004A386B"/>
    <w:rsid w:val="004A4E9B"/>
    <w:rsid w:val="004A6EA6"/>
    <w:rsid w:val="004A73DD"/>
    <w:rsid w:val="004A77E4"/>
    <w:rsid w:val="004A7AED"/>
    <w:rsid w:val="004B065B"/>
    <w:rsid w:val="004B0C78"/>
    <w:rsid w:val="004B16CB"/>
    <w:rsid w:val="004B197B"/>
    <w:rsid w:val="004B371E"/>
    <w:rsid w:val="004B4B28"/>
    <w:rsid w:val="004B57D3"/>
    <w:rsid w:val="004B5999"/>
    <w:rsid w:val="004B623A"/>
    <w:rsid w:val="004C3228"/>
    <w:rsid w:val="004C4FA3"/>
    <w:rsid w:val="004C6B89"/>
    <w:rsid w:val="004C7628"/>
    <w:rsid w:val="004C7A98"/>
    <w:rsid w:val="004D13D9"/>
    <w:rsid w:val="004D184F"/>
    <w:rsid w:val="004D1B69"/>
    <w:rsid w:val="004D1F1D"/>
    <w:rsid w:val="004D2C64"/>
    <w:rsid w:val="004D37E9"/>
    <w:rsid w:val="004D396E"/>
    <w:rsid w:val="004D3F4C"/>
    <w:rsid w:val="004D3FD5"/>
    <w:rsid w:val="004D401A"/>
    <w:rsid w:val="004D48DD"/>
    <w:rsid w:val="004D52E5"/>
    <w:rsid w:val="004D53FE"/>
    <w:rsid w:val="004D541E"/>
    <w:rsid w:val="004E1468"/>
    <w:rsid w:val="004E1473"/>
    <w:rsid w:val="004E1B34"/>
    <w:rsid w:val="004E36DC"/>
    <w:rsid w:val="004E5B31"/>
    <w:rsid w:val="004E6815"/>
    <w:rsid w:val="004E78B3"/>
    <w:rsid w:val="004E792F"/>
    <w:rsid w:val="004F01B6"/>
    <w:rsid w:val="004F060C"/>
    <w:rsid w:val="004F066A"/>
    <w:rsid w:val="004F179C"/>
    <w:rsid w:val="004F2DA2"/>
    <w:rsid w:val="004F2F36"/>
    <w:rsid w:val="004F3520"/>
    <w:rsid w:val="004F3B26"/>
    <w:rsid w:val="004F517F"/>
    <w:rsid w:val="004F5871"/>
    <w:rsid w:val="004F67FB"/>
    <w:rsid w:val="004F6BD4"/>
    <w:rsid w:val="004F70D4"/>
    <w:rsid w:val="004F7A33"/>
    <w:rsid w:val="0050050D"/>
    <w:rsid w:val="0050233D"/>
    <w:rsid w:val="005026D8"/>
    <w:rsid w:val="00502A8E"/>
    <w:rsid w:val="00502AC9"/>
    <w:rsid w:val="0050339B"/>
    <w:rsid w:val="00503B13"/>
    <w:rsid w:val="00504C8F"/>
    <w:rsid w:val="005051DC"/>
    <w:rsid w:val="00505D7D"/>
    <w:rsid w:val="00506BC2"/>
    <w:rsid w:val="0050709F"/>
    <w:rsid w:val="00510694"/>
    <w:rsid w:val="005109DB"/>
    <w:rsid w:val="00510B07"/>
    <w:rsid w:val="00511552"/>
    <w:rsid w:val="005120AA"/>
    <w:rsid w:val="005127D9"/>
    <w:rsid w:val="00512935"/>
    <w:rsid w:val="00513182"/>
    <w:rsid w:val="005137C6"/>
    <w:rsid w:val="00513EF2"/>
    <w:rsid w:val="005160DF"/>
    <w:rsid w:val="005161FB"/>
    <w:rsid w:val="005176EF"/>
    <w:rsid w:val="00521E88"/>
    <w:rsid w:val="00522CC4"/>
    <w:rsid w:val="00523501"/>
    <w:rsid w:val="00523525"/>
    <w:rsid w:val="005235CE"/>
    <w:rsid w:val="00523D02"/>
    <w:rsid w:val="00524CFA"/>
    <w:rsid w:val="00524F32"/>
    <w:rsid w:val="005253CD"/>
    <w:rsid w:val="00525D61"/>
    <w:rsid w:val="005270AF"/>
    <w:rsid w:val="0052762E"/>
    <w:rsid w:val="0053110A"/>
    <w:rsid w:val="00531DF3"/>
    <w:rsid w:val="005326E2"/>
    <w:rsid w:val="00532E61"/>
    <w:rsid w:val="005335AA"/>
    <w:rsid w:val="00533B43"/>
    <w:rsid w:val="005340D2"/>
    <w:rsid w:val="005363D4"/>
    <w:rsid w:val="00536C1B"/>
    <w:rsid w:val="00537A4F"/>
    <w:rsid w:val="00541737"/>
    <w:rsid w:val="00541FB8"/>
    <w:rsid w:val="005422EF"/>
    <w:rsid w:val="005429B6"/>
    <w:rsid w:val="00542E4B"/>
    <w:rsid w:val="0054336D"/>
    <w:rsid w:val="0054460D"/>
    <w:rsid w:val="00545233"/>
    <w:rsid w:val="00545A91"/>
    <w:rsid w:val="005507D8"/>
    <w:rsid w:val="00550EFA"/>
    <w:rsid w:val="00554214"/>
    <w:rsid w:val="00554285"/>
    <w:rsid w:val="00554FF2"/>
    <w:rsid w:val="00560FFC"/>
    <w:rsid w:val="00562FE0"/>
    <w:rsid w:val="0056380D"/>
    <w:rsid w:val="00564F6C"/>
    <w:rsid w:val="00565487"/>
    <w:rsid w:val="0056568D"/>
    <w:rsid w:val="00565FEE"/>
    <w:rsid w:val="00566EB8"/>
    <w:rsid w:val="00566FC9"/>
    <w:rsid w:val="00567011"/>
    <w:rsid w:val="00567508"/>
    <w:rsid w:val="00570554"/>
    <w:rsid w:val="00570586"/>
    <w:rsid w:val="005714AE"/>
    <w:rsid w:val="005714EE"/>
    <w:rsid w:val="00571A81"/>
    <w:rsid w:val="005730EE"/>
    <w:rsid w:val="005735A7"/>
    <w:rsid w:val="005745B3"/>
    <w:rsid w:val="005760AD"/>
    <w:rsid w:val="00577C0B"/>
    <w:rsid w:val="00577F98"/>
    <w:rsid w:val="00581C34"/>
    <w:rsid w:val="00582E69"/>
    <w:rsid w:val="0058376B"/>
    <w:rsid w:val="00583FD0"/>
    <w:rsid w:val="005844A0"/>
    <w:rsid w:val="00585D71"/>
    <w:rsid w:val="00585D80"/>
    <w:rsid w:val="0059002A"/>
    <w:rsid w:val="00590C73"/>
    <w:rsid w:val="00590D8E"/>
    <w:rsid w:val="0059193A"/>
    <w:rsid w:val="00591A08"/>
    <w:rsid w:val="00592B23"/>
    <w:rsid w:val="00592C5F"/>
    <w:rsid w:val="005938EC"/>
    <w:rsid w:val="005939F4"/>
    <w:rsid w:val="00594C1A"/>
    <w:rsid w:val="00594CAF"/>
    <w:rsid w:val="00594FB8"/>
    <w:rsid w:val="0059605E"/>
    <w:rsid w:val="00596BBF"/>
    <w:rsid w:val="00596E02"/>
    <w:rsid w:val="005A073A"/>
    <w:rsid w:val="005A0E8B"/>
    <w:rsid w:val="005A18FF"/>
    <w:rsid w:val="005A317A"/>
    <w:rsid w:val="005A3256"/>
    <w:rsid w:val="005A38B0"/>
    <w:rsid w:val="005A509E"/>
    <w:rsid w:val="005A5E7B"/>
    <w:rsid w:val="005A6F9A"/>
    <w:rsid w:val="005A7E17"/>
    <w:rsid w:val="005B0224"/>
    <w:rsid w:val="005B09A7"/>
    <w:rsid w:val="005B0BAB"/>
    <w:rsid w:val="005B2089"/>
    <w:rsid w:val="005B2D71"/>
    <w:rsid w:val="005B301A"/>
    <w:rsid w:val="005B34FD"/>
    <w:rsid w:val="005B460E"/>
    <w:rsid w:val="005B6435"/>
    <w:rsid w:val="005B6919"/>
    <w:rsid w:val="005B6C38"/>
    <w:rsid w:val="005B70D1"/>
    <w:rsid w:val="005C3425"/>
    <w:rsid w:val="005C3BCB"/>
    <w:rsid w:val="005C3EDF"/>
    <w:rsid w:val="005C6728"/>
    <w:rsid w:val="005C7100"/>
    <w:rsid w:val="005D100F"/>
    <w:rsid w:val="005D14C7"/>
    <w:rsid w:val="005D1A9E"/>
    <w:rsid w:val="005D2CBE"/>
    <w:rsid w:val="005D2F3D"/>
    <w:rsid w:val="005D5D3F"/>
    <w:rsid w:val="005D5FCE"/>
    <w:rsid w:val="005D6192"/>
    <w:rsid w:val="005D6611"/>
    <w:rsid w:val="005D6A4B"/>
    <w:rsid w:val="005D6D7C"/>
    <w:rsid w:val="005D79C5"/>
    <w:rsid w:val="005E0788"/>
    <w:rsid w:val="005E0979"/>
    <w:rsid w:val="005E11D5"/>
    <w:rsid w:val="005E1EB9"/>
    <w:rsid w:val="005E217B"/>
    <w:rsid w:val="005E2C24"/>
    <w:rsid w:val="005E2F39"/>
    <w:rsid w:val="005E3F79"/>
    <w:rsid w:val="005E4334"/>
    <w:rsid w:val="005E4F36"/>
    <w:rsid w:val="005E51A7"/>
    <w:rsid w:val="005E733F"/>
    <w:rsid w:val="005E7C80"/>
    <w:rsid w:val="005F0349"/>
    <w:rsid w:val="005F0476"/>
    <w:rsid w:val="005F0FAF"/>
    <w:rsid w:val="005F207B"/>
    <w:rsid w:val="005F20C9"/>
    <w:rsid w:val="005F2183"/>
    <w:rsid w:val="005F2BAE"/>
    <w:rsid w:val="005F329E"/>
    <w:rsid w:val="005F409D"/>
    <w:rsid w:val="005F45EC"/>
    <w:rsid w:val="005F4BB1"/>
    <w:rsid w:val="005F509F"/>
    <w:rsid w:val="005F56D3"/>
    <w:rsid w:val="005F626F"/>
    <w:rsid w:val="005F6B94"/>
    <w:rsid w:val="005F6CA0"/>
    <w:rsid w:val="005F6CEA"/>
    <w:rsid w:val="006006B2"/>
    <w:rsid w:val="006008B6"/>
    <w:rsid w:val="00600C2E"/>
    <w:rsid w:val="0060243E"/>
    <w:rsid w:val="00603D44"/>
    <w:rsid w:val="00605AB3"/>
    <w:rsid w:val="00606B89"/>
    <w:rsid w:val="00607214"/>
    <w:rsid w:val="00610801"/>
    <w:rsid w:val="00610CF3"/>
    <w:rsid w:val="006125E7"/>
    <w:rsid w:val="006128DC"/>
    <w:rsid w:val="00612D54"/>
    <w:rsid w:val="00612D84"/>
    <w:rsid w:val="00612E47"/>
    <w:rsid w:val="00613100"/>
    <w:rsid w:val="006134AA"/>
    <w:rsid w:val="00615B84"/>
    <w:rsid w:val="0061600A"/>
    <w:rsid w:val="00616E92"/>
    <w:rsid w:val="00617219"/>
    <w:rsid w:val="00617384"/>
    <w:rsid w:val="00620802"/>
    <w:rsid w:val="00620A6F"/>
    <w:rsid w:val="00621DBE"/>
    <w:rsid w:val="006229ED"/>
    <w:rsid w:val="00623797"/>
    <w:rsid w:val="00623FC9"/>
    <w:rsid w:val="00633B77"/>
    <w:rsid w:val="00634115"/>
    <w:rsid w:val="00634397"/>
    <w:rsid w:val="00637FF8"/>
    <w:rsid w:val="006400BA"/>
    <w:rsid w:val="006403AC"/>
    <w:rsid w:val="00641B13"/>
    <w:rsid w:val="00641E9B"/>
    <w:rsid w:val="00642A8E"/>
    <w:rsid w:val="0064338B"/>
    <w:rsid w:val="00643700"/>
    <w:rsid w:val="006443B8"/>
    <w:rsid w:val="006448EA"/>
    <w:rsid w:val="00644B74"/>
    <w:rsid w:val="00644DF8"/>
    <w:rsid w:val="00645062"/>
    <w:rsid w:val="0064708F"/>
    <w:rsid w:val="0065160A"/>
    <w:rsid w:val="00652D45"/>
    <w:rsid w:val="0065370D"/>
    <w:rsid w:val="00654920"/>
    <w:rsid w:val="00655D8A"/>
    <w:rsid w:val="006608D6"/>
    <w:rsid w:val="006611AF"/>
    <w:rsid w:val="0066136F"/>
    <w:rsid w:val="00661E86"/>
    <w:rsid w:val="00663634"/>
    <w:rsid w:val="00664E41"/>
    <w:rsid w:val="00666281"/>
    <w:rsid w:val="006663A7"/>
    <w:rsid w:val="006670D4"/>
    <w:rsid w:val="0067078E"/>
    <w:rsid w:val="00671EEE"/>
    <w:rsid w:val="00672C6D"/>
    <w:rsid w:val="00674969"/>
    <w:rsid w:val="00674DB3"/>
    <w:rsid w:val="006751EA"/>
    <w:rsid w:val="006753CC"/>
    <w:rsid w:val="006776EB"/>
    <w:rsid w:val="00680A41"/>
    <w:rsid w:val="00680A85"/>
    <w:rsid w:val="006811B6"/>
    <w:rsid w:val="00684969"/>
    <w:rsid w:val="00685BBB"/>
    <w:rsid w:val="00685C91"/>
    <w:rsid w:val="0068635B"/>
    <w:rsid w:val="00686C9A"/>
    <w:rsid w:val="006872E7"/>
    <w:rsid w:val="006873FB"/>
    <w:rsid w:val="00687A83"/>
    <w:rsid w:val="00690ACA"/>
    <w:rsid w:val="00690FCF"/>
    <w:rsid w:val="00695CE8"/>
    <w:rsid w:val="00697947"/>
    <w:rsid w:val="00697B15"/>
    <w:rsid w:val="006A12A7"/>
    <w:rsid w:val="006A2F8B"/>
    <w:rsid w:val="006A3C10"/>
    <w:rsid w:val="006A41AF"/>
    <w:rsid w:val="006A42F6"/>
    <w:rsid w:val="006A6BB7"/>
    <w:rsid w:val="006A71B2"/>
    <w:rsid w:val="006B0405"/>
    <w:rsid w:val="006B335E"/>
    <w:rsid w:val="006B3879"/>
    <w:rsid w:val="006B3F25"/>
    <w:rsid w:val="006B4504"/>
    <w:rsid w:val="006B4C95"/>
    <w:rsid w:val="006B501E"/>
    <w:rsid w:val="006B5419"/>
    <w:rsid w:val="006B60CA"/>
    <w:rsid w:val="006B6540"/>
    <w:rsid w:val="006C069B"/>
    <w:rsid w:val="006C0AC7"/>
    <w:rsid w:val="006C12EB"/>
    <w:rsid w:val="006C1552"/>
    <w:rsid w:val="006C16E0"/>
    <w:rsid w:val="006C2BEC"/>
    <w:rsid w:val="006C46B1"/>
    <w:rsid w:val="006C4F65"/>
    <w:rsid w:val="006C5102"/>
    <w:rsid w:val="006C52DA"/>
    <w:rsid w:val="006C6F00"/>
    <w:rsid w:val="006D1662"/>
    <w:rsid w:val="006D19AE"/>
    <w:rsid w:val="006D1ECE"/>
    <w:rsid w:val="006D35A7"/>
    <w:rsid w:val="006D37C6"/>
    <w:rsid w:val="006D39FE"/>
    <w:rsid w:val="006D4942"/>
    <w:rsid w:val="006D55A3"/>
    <w:rsid w:val="006D5BC6"/>
    <w:rsid w:val="006D5C52"/>
    <w:rsid w:val="006D5E53"/>
    <w:rsid w:val="006D6E38"/>
    <w:rsid w:val="006D79DC"/>
    <w:rsid w:val="006D7B7C"/>
    <w:rsid w:val="006D7C8E"/>
    <w:rsid w:val="006E052E"/>
    <w:rsid w:val="006E0E87"/>
    <w:rsid w:val="006E140A"/>
    <w:rsid w:val="006E152C"/>
    <w:rsid w:val="006E1B69"/>
    <w:rsid w:val="006E3831"/>
    <w:rsid w:val="006E3FB6"/>
    <w:rsid w:val="006E426A"/>
    <w:rsid w:val="006E789C"/>
    <w:rsid w:val="006F0726"/>
    <w:rsid w:val="006F0776"/>
    <w:rsid w:val="006F0929"/>
    <w:rsid w:val="006F0AD3"/>
    <w:rsid w:val="006F2023"/>
    <w:rsid w:val="006F32BC"/>
    <w:rsid w:val="006F32C7"/>
    <w:rsid w:val="006F42D5"/>
    <w:rsid w:val="006F4F6E"/>
    <w:rsid w:val="006F5344"/>
    <w:rsid w:val="006F5C45"/>
    <w:rsid w:val="006F68D4"/>
    <w:rsid w:val="006F7538"/>
    <w:rsid w:val="0070020B"/>
    <w:rsid w:val="00700A9B"/>
    <w:rsid w:val="00701F94"/>
    <w:rsid w:val="00701FE3"/>
    <w:rsid w:val="00703D59"/>
    <w:rsid w:val="00704C9B"/>
    <w:rsid w:val="00704F4A"/>
    <w:rsid w:val="00705206"/>
    <w:rsid w:val="00705B81"/>
    <w:rsid w:val="00705BA1"/>
    <w:rsid w:val="0070724B"/>
    <w:rsid w:val="007076CC"/>
    <w:rsid w:val="00707F40"/>
    <w:rsid w:val="00710157"/>
    <w:rsid w:val="007103F1"/>
    <w:rsid w:val="00710E4F"/>
    <w:rsid w:val="007122A0"/>
    <w:rsid w:val="00713A30"/>
    <w:rsid w:val="007143AC"/>
    <w:rsid w:val="00714CEC"/>
    <w:rsid w:val="00715676"/>
    <w:rsid w:val="00716925"/>
    <w:rsid w:val="00717347"/>
    <w:rsid w:val="007206C1"/>
    <w:rsid w:val="00720B38"/>
    <w:rsid w:val="00720E50"/>
    <w:rsid w:val="007211EC"/>
    <w:rsid w:val="007215EF"/>
    <w:rsid w:val="00721DE9"/>
    <w:rsid w:val="00722AEE"/>
    <w:rsid w:val="00722D4A"/>
    <w:rsid w:val="00722DC1"/>
    <w:rsid w:val="00723F88"/>
    <w:rsid w:val="00724D0E"/>
    <w:rsid w:val="00727431"/>
    <w:rsid w:val="00727B9D"/>
    <w:rsid w:val="00730B94"/>
    <w:rsid w:val="007311AA"/>
    <w:rsid w:val="007324BC"/>
    <w:rsid w:val="00732F0D"/>
    <w:rsid w:val="00733033"/>
    <w:rsid w:val="00733755"/>
    <w:rsid w:val="00733EBE"/>
    <w:rsid w:val="007342CD"/>
    <w:rsid w:val="00734573"/>
    <w:rsid w:val="00740CF7"/>
    <w:rsid w:val="00741D51"/>
    <w:rsid w:val="0074277D"/>
    <w:rsid w:val="00742C07"/>
    <w:rsid w:val="00743C04"/>
    <w:rsid w:val="00746427"/>
    <w:rsid w:val="00747465"/>
    <w:rsid w:val="007511C6"/>
    <w:rsid w:val="007520C6"/>
    <w:rsid w:val="007522C0"/>
    <w:rsid w:val="00752AF3"/>
    <w:rsid w:val="0075466D"/>
    <w:rsid w:val="00754A05"/>
    <w:rsid w:val="00754DAB"/>
    <w:rsid w:val="00755BE1"/>
    <w:rsid w:val="007569D6"/>
    <w:rsid w:val="007573D5"/>
    <w:rsid w:val="007636D4"/>
    <w:rsid w:val="007639A6"/>
    <w:rsid w:val="00764A72"/>
    <w:rsid w:val="00764C35"/>
    <w:rsid w:val="00764ED7"/>
    <w:rsid w:val="0076575D"/>
    <w:rsid w:val="00765CCC"/>
    <w:rsid w:val="007668E3"/>
    <w:rsid w:val="00766FE4"/>
    <w:rsid w:val="00767098"/>
    <w:rsid w:val="00767C9B"/>
    <w:rsid w:val="007700EE"/>
    <w:rsid w:val="007719B8"/>
    <w:rsid w:val="00771E2F"/>
    <w:rsid w:val="00772211"/>
    <w:rsid w:val="00772327"/>
    <w:rsid w:val="00772897"/>
    <w:rsid w:val="007728DE"/>
    <w:rsid w:val="00772E5B"/>
    <w:rsid w:val="0077461E"/>
    <w:rsid w:val="00775531"/>
    <w:rsid w:val="007762F8"/>
    <w:rsid w:val="007769E2"/>
    <w:rsid w:val="007771C1"/>
    <w:rsid w:val="00780CA3"/>
    <w:rsid w:val="00780E01"/>
    <w:rsid w:val="00781522"/>
    <w:rsid w:val="0078189D"/>
    <w:rsid w:val="00781E07"/>
    <w:rsid w:val="00781F90"/>
    <w:rsid w:val="00782AEC"/>
    <w:rsid w:val="00782C19"/>
    <w:rsid w:val="00783F2F"/>
    <w:rsid w:val="007859E1"/>
    <w:rsid w:val="00787BBE"/>
    <w:rsid w:val="007910A6"/>
    <w:rsid w:val="0079196D"/>
    <w:rsid w:val="00791D0D"/>
    <w:rsid w:val="00791F35"/>
    <w:rsid w:val="0079263F"/>
    <w:rsid w:val="007927CF"/>
    <w:rsid w:val="00792BFF"/>
    <w:rsid w:val="00795295"/>
    <w:rsid w:val="0079554A"/>
    <w:rsid w:val="00795EAC"/>
    <w:rsid w:val="00796D82"/>
    <w:rsid w:val="00796F0F"/>
    <w:rsid w:val="00797252"/>
    <w:rsid w:val="007A0717"/>
    <w:rsid w:val="007A1B14"/>
    <w:rsid w:val="007A2AC3"/>
    <w:rsid w:val="007A313A"/>
    <w:rsid w:val="007A392C"/>
    <w:rsid w:val="007A3B28"/>
    <w:rsid w:val="007A3BB1"/>
    <w:rsid w:val="007A3ECD"/>
    <w:rsid w:val="007A46BD"/>
    <w:rsid w:val="007A5F6D"/>
    <w:rsid w:val="007A751F"/>
    <w:rsid w:val="007B0825"/>
    <w:rsid w:val="007B0F39"/>
    <w:rsid w:val="007B2001"/>
    <w:rsid w:val="007B2A0D"/>
    <w:rsid w:val="007B2A8D"/>
    <w:rsid w:val="007B2EA3"/>
    <w:rsid w:val="007B358D"/>
    <w:rsid w:val="007B3E18"/>
    <w:rsid w:val="007B545C"/>
    <w:rsid w:val="007B5865"/>
    <w:rsid w:val="007B6C85"/>
    <w:rsid w:val="007B6F01"/>
    <w:rsid w:val="007B7653"/>
    <w:rsid w:val="007C1BDD"/>
    <w:rsid w:val="007C216E"/>
    <w:rsid w:val="007C558E"/>
    <w:rsid w:val="007C5ACD"/>
    <w:rsid w:val="007C652F"/>
    <w:rsid w:val="007C6E49"/>
    <w:rsid w:val="007C756C"/>
    <w:rsid w:val="007D3C4A"/>
    <w:rsid w:val="007D47F0"/>
    <w:rsid w:val="007D5873"/>
    <w:rsid w:val="007D5B51"/>
    <w:rsid w:val="007D6618"/>
    <w:rsid w:val="007D6B29"/>
    <w:rsid w:val="007D6D44"/>
    <w:rsid w:val="007D6FF2"/>
    <w:rsid w:val="007D7633"/>
    <w:rsid w:val="007D76B9"/>
    <w:rsid w:val="007E03A9"/>
    <w:rsid w:val="007E102D"/>
    <w:rsid w:val="007E2FAD"/>
    <w:rsid w:val="007E3FDF"/>
    <w:rsid w:val="007E546F"/>
    <w:rsid w:val="007E68AD"/>
    <w:rsid w:val="007E7F14"/>
    <w:rsid w:val="007F01BC"/>
    <w:rsid w:val="007F04B7"/>
    <w:rsid w:val="007F0CD5"/>
    <w:rsid w:val="007F1C53"/>
    <w:rsid w:val="007F204B"/>
    <w:rsid w:val="007F2909"/>
    <w:rsid w:val="007F29DB"/>
    <w:rsid w:val="007F3E60"/>
    <w:rsid w:val="007F6907"/>
    <w:rsid w:val="007F697B"/>
    <w:rsid w:val="007F7084"/>
    <w:rsid w:val="007F7B22"/>
    <w:rsid w:val="007F7FBD"/>
    <w:rsid w:val="00800327"/>
    <w:rsid w:val="00800506"/>
    <w:rsid w:val="00801795"/>
    <w:rsid w:val="00803E05"/>
    <w:rsid w:val="008061DB"/>
    <w:rsid w:val="008065D4"/>
    <w:rsid w:val="00807A19"/>
    <w:rsid w:val="00810218"/>
    <w:rsid w:val="008103DA"/>
    <w:rsid w:val="00810656"/>
    <w:rsid w:val="008108F3"/>
    <w:rsid w:val="008109FF"/>
    <w:rsid w:val="00810AA0"/>
    <w:rsid w:val="00810EED"/>
    <w:rsid w:val="008121AE"/>
    <w:rsid w:val="0081261E"/>
    <w:rsid w:val="00814712"/>
    <w:rsid w:val="00814795"/>
    <w:rsid w:val="0081485E"/>
    <w:rsid w:val="00815E71"/>
    <w:rsid w:val="00821623"/>
    <w:rsid w:val="00821DEE"/>
    <w:rsid w:val="00823F91"/>
    <w:rsid w:val="008251F0"/>
    <w:rsid w:val="00826A62"/>
    <w:rsid w:val="00830D8E"/>
    <w:rsid w:val="0083178F"/>
    <w:rsid w:val="00833281"/>
    <w:rsid w:val="00833D6A"/>
    <w:rsid w:val="00833D9B"/>
    <w:rsid w:val="0083550C"/>
    <w:rsid w:val="008359CB"/>
    <w:rsid w:val="00836555"/>
    <w:rsid w:val="00836F46"/>
    <w:rsid w:val="00837B14"/>
    <w:rsid w:val="008400F9"/>
    <w:rsid w:val="00840C58"/>
    <w:rsid w:val="00840F37"/>
    <w:rsid w:val="0084193A"/>
    <w:rsid w:val="00843943"/>
    <w:rsid w:val="0084614F"/>
    <w:rsid w:val="008464DA"/>
    <w:rsid w:val="00846E14"/>
    <w:rsid w:val="00846E56"/>
    <w:rsid w:val="0084767D"/>
    <w:rsid w:val="0084778F"/>
    <w:rsid w:val="0085178D"/>
    <w:rsid w:val="00852CD9"/>
    <w:rsid w:val="00854772"/>
    <w:rsid w:val="00854DDF"/>
    <w:rsid w:val="00855541"/>
    <w:rsid w:val="008556F0"/>
    <w:rsid w:val="008561E2"/>
    <w:rsid w:val="00856325"/>
    <w:rsid w:val="008568BE"/>
    <w:rsid w:val="00856FB5"/>
    <w:rsid w:val="00857FF2"/>
    <w:rsid w:val="00860790"/>
    <w:rsid w:val="00860862"/>
    <w:rsid w:val="00861247"/>
    <w:rsid w:val="00861B04"/>
    <w:rsid w:val="00863EA5"/>
    <w:rsid w:val="0086401E"/>
    <w:rsid w:val="0086416C"/>
    <w:rsid w:val="00864175"/>
    <w:rsid w:val="00864227"/>
    <w:rsid w:val="00865432"/>
    <w:rsid w:val="0086559B"/>
    <w:rsid w:val="00865FB3"/>
    <w:rsid w:val="00866232"/>
    <w:rsid w:val="008667BF"/>
    <w:rsid w:val="0086687E"/>
    <w:rsid w:val="00866D7B"/>
    <w:rsid w:val="0086715B"/>
    <w:rsid w:val="008707A3"/>
    <w:rsid w:val="0087133C"/>
    <w:rsid w:val="00871CE0"/>
    <w:rsid w:val="00872EB4"/>
    <w:rsid w:val="008735A8"/>
    <w:rsid w:val="00873628"/>
    <w:rsid w:val="00873A4D"/>
    <w:rsid w:val="00873CFB"/>
    <w:rsid w:val="00875D43"/>
    <w:rsid w:val="00876160"/>
    <w:rsid w:val="00876D97"/>
    <w:rsid w:val="008803AA"/>
    <w:rsid w:val="00882073"/>
    <w:rsid w:val="00882956"/>
    <w:rsid w:val="008850AF"/>
    <w:rsid w:val="008864AB"/>
    <w:rsid w:val="00886AEE"/>
    <w:rsid w:val="00887CD2"/>
    <w:rsid w:val="00890CFE"/>
    <w:rsid w:val="008929D2"/>
    <w:rsid w:val="008934CD"/>
    <w:rsid w:val="008936C6"/>
    <w:rsid w:val="008942AD"/>
    <w:rsid w:val="00894A9D"/>
    <w:rsid w:val="00894F77"/>
    <w:rsid w:val="008A1675"/>
    <w:rsid w:val="008A209F"/>
    <w:rsid w:val="008A2889"/>
    <w:rsid w:val="008A2E91"/>
    <w:rsid w:val="008A40D2"/>
    <w:rsid w:val="008A4ABE"/>
    <w:rsid w:val="008A54A2"/>
    <w:rsid w:val="008A5709"/>
    <w:rsid w:val="008A610A"/>
    <w:rsid w:val="008A783C"/>
    <w:rsid w:val="008B165F"/>
    <w:rsid w:val="008B1934"/>
    <w:rsid w:val="008B339D"/>
    <w:rsid w:val="008B3948"/>
    <w:rsid w:val="008B3C7C"/>
    <w:rsid w:val="008B51D3"/>
    <w:rsid w:val="008B6880"/>
    <w:rsid w:val="008B7332"/>
    <w:rsid w:val="008B7D21"/>
    <w:rsid w:val="008B7F41"/>
    <w:rsid w:val="008C108E"/>
    <w:rsid w:val="008C1DC0"/>
    <w:rsid w:val="008C2E35"/>
    <w:rsid w:val="008C2E78"/>
    <w:rsid w:val="008C39A5"/>
    <w:rsid w:val="008C4083"/>
    <w:rsid w:val="008C4DD2"/>
    <w:rsid w:val="008C52F9"/>
    <w:rsid w:val="008C5545"/>
    <w:rsid w:val="008C5A9C"/>
    <w:rsid w:val="008C65BA"/>
    <w:rsid w:val="008C6D32"/>
    <w:rsid w:val="008D2297"/>
    <w:rsid w:val="008D2A52"/>
    <w:rsid w:val="008D4059"/>
    <w:rsid w:val="008D4D5A"/>
    <w:rsid w:val="008D5B21"/>
    <w:rsid w:val="008D5B6A"/>
    <w:rsid w:val="008D5C60"/>
    <w:rsid w:val="008D5E25"/>
    <w:rsid w:val="008D6FE0"/>
    <w:rsid w:val="008D7CAE"/>
    <w:rsid w:val="008E1A3F"/>
    <w:rsid w:val="008E243F"/>
    <w:rsid w:val="008E2713"/>
    <w:rsid w:val="008E2EE0"/>
    <w:rsid w:val="008E4C8C"/>
    <w:rsid w:val="008E52BD"/>
    <w:rsid w:val="008E5323"/>
    <w:rsid w:val="008E5C26"/>
    <w:rsid w:val="008E6D92"/>
    <w:rsid w:val="008E7EA6"/>
    <w:rsid w:val="008F07FC"/>
    <w:rsid w:val="008F0A58"/>
    <w:rsid w:val="008F1090"/>
    <w:rsid w:val="008F1D38"/>
    <w:rsid w:val="008F214C"/>
    <w:rsid w:val="008F2991"/>
    <w:rsid w:val="008F3071"/>
    <w:rsid w:val="008F4B67"/>
    <w:rsid w:val="008F5280"/>
    <w:rsid w:val="008F5BDB"/>
    <w:rsid w:val="008F5F52"/>
    <w:rsid w:val="008F6259"/>
    <w:rsid w:val="009002A7"/>
    <w:rsid w:val="00900FAC"/>
    <w:rsid w:val="009013E1"/>
    <w:rsid w:val="00902691"/>
    <w:rsid w:val="00903A9B"/>
    <w:rsid w:val="009042D3"/>
    <w:rsid w:val="009054C5"/>
    <w:rsid w:val="009056E0"/>
    <w:rsid w:val="009062D7"/>
    <w:rsid w:val="00907BF6"/>
    <w:rsid w:val="00910724"/>
    <w:rsid w:val="00911DEA"/>
    <w:rsid w:val="009136DB"/>
    <w:rsid w:val="00913B59"/>
    <w:rsid w:val="00914C73"/>
    <w:rsid w:val="00916768"/>
    <w:rsid w:val="00917BF0"/>
    <w:rsid w:val="00920274"/>
    <w:rsid w:val="00920A43"/>
    <w:rsid w:val="009216E8"/>
    <w:rsid w:val="00922105"/>
    <w:rsid w:val="00923686"/>
    <w:rsid w:val="0092405E"/>
    <w:rsid w:val="0092410D"/>
    <w:rsid w:val="0092687F"/>
    <w:rsid w:val="00927104"/>
    <w:rsid w:val="00932E24"/>
    <w:rsid w:val="00933302"/>
    <w:rsid w:val="009344C5"/>
    <w:rsid w:val="00934F85"/>
    <w:rsid w:val="009354E5"/>
    <w:rsid w:val="00941334"/>
    <w:rsid w:val="00941455"/>
    <w:rsid w:val="00942CA9"/>
    <w:rsid w:val="0094300D"/>
    <w:rsid w:val="009434AE"/>
    <w:rsid w:val="009437F5"/>
    <w:rsid w:val="00944757"/>
    <w:rsid w:val="00945B61"/>
    <w:rsid w:val="00946AC8"/>
    <w:rsid w:val="00946B5A"/>
    <w:rsid w:val="00947525"/>
    <w:rsid w:val="00952781"/>
    <w:rsid w:val="009534CF"/>
    <w:rsid w:val="00953945"/>
    <w:rsid w:val="009563DC"/>
    <w:rsid w:val="0095669F"/>
    <w:rsid w:val="00956C81"/>
    <w:rsid w:val="00956E76"/>
    <w:rsid w:val="0096133B"/>
    <w:rsid w:val="0096313D"/>
    <w:rsid w:val="00964137"/>
    <w:rsid w:val="0096423F"/>
    <w:rsid w:val="009643A8"/>
    <w:rsid w:val="00964982"/>
    <w:rsid w:val="00964A95"/>
    <w:rsid w:val="00964FE5"/>
    <w:rsid w:val="00966754"/>
    <w:rsid w:val="009674D6"/>
    <w:rsid w:val="00970187"/>
    <w:rsid w:val="00970715"/>
    <w:rsid w:val="0097080E"/>
    <w:rsid w:val="0097103F"/>
    <w:rsid w:val="00971EC9"/>
    <w:rsid w:val="00972153"/>
    <w:rsid w:val="00972DFB"/>
    <w:rsid w:val="009735F5"/>
    <w:rsid w:val="00973837"/>
    <w:rsid w:val="00974154"/>
    <w:rsid w:val="009743F8"/>
    <w:rsid w:val="009761D2"/>
    <w:rsid w:val="009771CA"/>
    <w:rsid w:val="00977201"/>
    <w:rsid w:val="009818D4"/>
    <w:rsid w:val="009818EC"/>
    <w:rsid w:val="00982064"/>
    <w:rsid w:val="009837CC"/>
    <w:rsid w:val="00983CAE"/>
    <w:rsid w:val="009841BD"/>
    <w:rsid w:val="00984F50"/>
    <w:rsid w:val="00985185"/>
    <w:rsid w:val="00985FC1"/>
    <w:rsid w:val="00986678"/>
    <w:rsid w:val="009877B2"/>
    <w:rsid w:val="0099013B"/>
    <w:rsid w:val="00990179"/>
    <w:rsid w:val="00991905"/>
    <w:rsid w:val="00991B2B"/>
    <w:rsid w:val="00991B39"/>
    <w:rsid w:val="00992D47"/>
    <w:rsid w:val="009931D8"/>
    <w:rsid w:val="009938D6"/>
    <w:rsid w:val="009947E8"/>
    <w:rsid w:val="00996141"/>
    <w:rsid w:val="0099618A"/>
    <w:rsid w:val="00996C9D"/>
    <w:rsid w:val="009A0F28"/>
    <w:rsid w:val="009A16C1"/>
    <w:rsid w:val="009A2C46"/>
    <w:rsid w:val="009A3729"/>
    <w:rsid w:val="009A4FD2"/>
    <w:rsid w:val="009A55F3"/>
    <w:rsid w:val="009A6726"/>
    <w:rsid w:val="009A6945"/>
    <w:rsid w:val="009A6DAF"/>
    <w:rsid w:val="009A72C9"/>
    <w:rsid w:val="009B0EC1"/>
    <w:rsid w:val="009B0F29"/>
    <w:rsid w:val="009B15BF"/>
    <w:rsid w:val="009B1ECD"/>
    <w:rsid w:val="009B22E9"/>
    <w:rsid w:val="009B3640"/>
    <w:rsid w:val="009B3CF3"/>
    <w:rsid w:val="009B4587"/>
    <w:rsid w:val="009B4B96"/>
    <w:rsid w:val="009B5F29"/>
    <w:rsid w:val="009B625B"/>
    <w:rsid w:val="009B62F2"/>
    <w:rsid w:val="009B63DD"/>
    <w:rsid w:val="009B7D09"/>
    <w:rsid w:val="009C1255"/>
    <w:rsid w:val="009C1653"/>
    <w:rsid w:val="009C1F8C"/>
    <w:rsid w:val="009C2EB3"/>
    <w:rsid w:val="009C4012"/>
    <w:rsid w:val="009C5BAC"/>
    <w:rsid w:val="009C5D4D"/>
    <w:rsid w:val="009D19C0"/>
    <w:rsid w:val="009D36A7"/>
    <w:rsid w:val="009D39DF"/>
    <w:rsid w:val="009D4432"/>
    <w:rsid w:val="009D44C0"/>
    <w:rsid w:val="009D55CB"/>
    <w:rsid w:val="009D601A"/>
    <w:rsid w:val="009D70ED"/>
    <w:rsid w:val="009E01F1"/>
    <w:rsid w:val="009E1458"/>
    <w:rsid w:val="009E1615"/>
    <w:rsid w:val="009E20F5"/>
    <w:rsid w:val="009E2BB4"/>
    <w:rsid w:val="009E3350"/>
    <w:rsid w:val="009E3B53"/>
    <w:rsid w:val="009E3E7D"/>
    <w:rsid w:val="009E42EA"/>
    <w:rsid w:val="009E45A6"/>
    <w:rsid w:val="009E70BF"/>
    <w:rsid w:val="009F0A90"/>
    <w:rsid w:val="009F1A14"/>
    <w:rsid w:val="009F29FF"/>
    <w:rsid w:val="009F3F59"/>
    <w:rsid w:val="009F4857"/>
    <w:rsid w:val="009F5036"/>
    <w:rsid w:val="009F5AD9"/>
    <w:rsid w:val="00A009BD"/>
    <w:rsid w:val="00A04921"/>
    <w:rsid w:val="00A0668B"/>
    <w:rsid w:val="00A066FD"/>
    <w:rsid w:val="00A10058"/>
    <w:rsid w:val="00A10335"/>
    <w:rsid w:val="00A116DB"/>
    <w:rsid w:val="00A11A16"/>
    <w:rsid w:val="00A126CC"/>
    <w:rsid w:val="00A12748"/>
    <w:rsid w:val="00A12969"/>
    <w:rsid w:val="00A1306F"/>
    <w:rsid w:val="00A1351F"/>
    <w:rsid w:val="00A138EA"/>
    <w:rsid w:val="00A1451D"/>
    <w:rsid w:val="00A14AC0"/>
    <w:rsid w:val="00A15710"/>
    <w:rsid w:val="00A1689F"/>
    <w:rsid w:val="00A16BD2"/>
    <w:rsid w:val="00A16D81"/>
    <w:rsid w:val="00A222D4"/>
    <w:rsid w:val="00A22348"/>
    <w:rsid w:val="00A2373B"/>
    <w:rsid w:val="00A24B2C"/>
    <w:rsid w:val="00A25018"/>
    <w:rsid w:val="00A2522D"/>
    <w:rsid w:val="00A2586C"/>
    <w:rsid w:val="00A25C1F"/>
    <w:rsid w:val="00A27C64"/>
    <w:rsid w:val="00A30581"/>
    <w:rsid w:val="00A30722"/>
    <w:rsid w:val="00A30CD5"/>
    <w:rsid w:val="00A3126E"/>
    <w:rsid w:val="00A332EE"/>
    <w:rsid w:val="00A33545"/>
    <w:rsid w:val="00A3518B"/>
    <w:rsid w:val="00A37031"/>
    <w:rsid w:val="00A4052B"/>
    <w:rsid w:val="00A4338E"/>
    <w:rsid w:val="00A449AE"/>
    <w:rsid w:val="00A464F9"/>
    <w:rsid w:val="00A4662A"/>
    <w:rsid w:val="00A46BD2"/>
    <w:rsid w:val="00A46D92"/>
    <w:rsid w:val="00A47BA7"/>
    <w:rsid w:val="00A5129B"/>
    <w:rsid w:val="00A51EAB"/>
    <w:rsid w:val="00A520F3"/>
    <w:rsid w:val="00A525F7"/>
    <w:rsid w:val="00A52F38"/>
    <w:rsid w:val="00A532FD"/>
    <w:rsid w:val="00A53497"/>
    <w:rsid w:val="00A54D7A"/>
    <w:rsid w:val="00A56035"/>
    <w:rsid w:val="00A560DA"/>
    <w:rsid w:val="00A56289"/>
    <w:rsid w:val="00A5681E"/>
    <w:rsid w:val="00A57177"/>
    <w:rsid w:val="00A614A4"/>
    <w:rsid w:val="00A6235F"/>
    <w:rsid w:val="00A63495"/>
    <w:rsid w:val="00A636A4"/>
    <w:rsid w:val="00A637EF"/>
    <w:rsid w:val="00A6518F"/>
    <w:rsid w:val="00A65209"/>
    <w:rsid w:val="00A65390"/>
    <w:rsid w:val="00A65DF8"/>
    <w:rsid w:val="00A65FCD"/>
    <w:rsid w:val="00A660DC"/>
    <w:rsid w:val="00A66915"/>
    <w:rsid w:val="00A6697A"/>
    <w:rsid w:val="00A67419"/>
    <w:rsid w:val="00A70E66"/>
    <w:rsid w:val="00A71041"/>
    <w:rsid w:val="00A72958"/>
    <w:rsid w:val="00A731A2"/>
    <w:rsid w:val="00A758AA"/>
    <w:rsid w:val="00A758CC"/>
    <w:rsid w:val="00A76B33"/>
    <w:rsid w:val="00A76E96"/>
    <w:rsid w:val="00A8001C"/>
    <w:rsid w:val="00A80AB7"/>
    <w:rsid w:val="00A80DE0"/>
    <w:rsid w:val="00A814A2"/>
    <w:rsid w:val="00A8164F"/>
    <w:rsid w:val="00A8476A"/>
    <w:rsid w:val="00A84CA9"/>
    <w:rsid w:val="00A85BE3"/>
    <w:rsid w:val="00A878F9"/>
    <w:rsid w:val="00A90859"/>
    <w:rsid w:val="00A9246C"/>
    <w:rsid w:val="00A9258D"/>
    <w:rsid w:val="00A93309"/>
    <w:rsid w:val="00A9363E"/>
    <w:rsid w:val="00A93A0F"/>
    <w:rsid w:val="00A94696"/>
    <w:rsid w:val="00A94DDC"/>
    <w:rsid w:val="00A95350"/>
    <w:rsid w:val="00A957C3"/>
    <w:rsid w:val="00A95C70"/>
    <w:rsid w:val="00A95D93"/>
    <w:rsid w:val="00A962D7"/>
    <w:rsid w:val="00A9639A"/>
    <w:rsid w:val="00A963CF"/>
    <w:rsid w:val="00A96436"/>
    <w:rsid w:val="00AA0EDC"/>
    <w:rsid w:val="00AA1680"/>
    <w:rsid w:val="00AA185F"/>
    <w:rsid w:val="00AA242F"/>
    <w:rsid w:val="00AA2A74"/>
    <w:rsid w:val="00AA4118"/>
    <w:rsid w:val="00AA483E"/>
    <w:rsid w:val="00AA4866"/>
    <w:rsid w:val="00AA4C62"/>
    <w:rsid w:val="00AA511A"/>
    <w:rsid w:val="00AA536D"/>
    <w:rsid w:val="00AA5A7C"/>
    <w:rsid w:val="00AA69BE"/>
    <w:rsid w:val="00AA7650"/>
    <w:rsid w:val="00AA7B17"/>
    <w:rsid w:val="00AA7CEA"/>
    <w:rsid w:val="00AB0240"/>
    <w:rsid w:val="00AB1065"/>
    <w:rsid w:val="00AB2B4A"/>
    <w:rsid w:val="00AB5D0F"/>
    <w:rsid w:val="00AB61AF"/>
    <w:rsid w:val="00AB6CBC"/>
    <w:rsid w:val="00AB79AD"/>
    <w:rsid w:val="00AC129C"/>
    <w:rsid w:val="00AC13CD"/>
    <w:rsid w:val="00AC1AE1"/>
    <w:rsid w:val="00AC2289"/>
    <w:rsid w:val="00AC25FB"/>
    <w:rsid w:val="00AC3B85"/>
    <w:rsid w:val="00AC4113"/>
    <w:rsid w:val="00AC559D"/>
    <w:rsid w:val="00AC6259"/>
    <w:rsid w:val="00AC63F3"/>
    <w:rsid w:val="00AC6F29"/>
    <w:rsid w:val="00AC71D7"/>
    <w:rsid w:val="00AC7211"/>
    <w:rsid w:val="00AC72B5"/>
    <w:rsid w:val="00AC75D1"/>
    <w:rsid w:val="00AC7D23"/>
    <w:rsid w:val="00AD02A3"/>
    <w:rsid w:val="00AD02E8"/>
    <w:rsid w:val="00AD07C5"/>
    <w:rsid w:val="00AD1526"/>
    <w:rsid w:val="00AD1C3F"/>
    <w:rsid w:val="00AD2480"/>
    <w:rsid w:val="00AD376B"/>
    <w:rsid w:val="00AD386B"/>
    <w:rsid w:val="00AD3EB6"/>
    <w:rsid w:val="00AD4A58"/>
    <w:rsid w:val="00AD4C52"/>
    <w:rsid w:val="00AD5956"/>
    <w:rsid w:val="00AD5C4F"/>
    <w:rsid w:val="00AD5C89"/>
    <w:rsid w:val="00AD5D81"/>
    <w:rsid w:val="00AD61C7"/>
    <w:rsid w:val="00AE027C"/>
    <w:rsid w:val="00AE2894"/>
    <w:rsid w:val="00AE33F1"/>
    <w:rsid w:val="00AE3E79"/>
    <w:rsid w:val="00AE3F6E"/>
    <w:rsid w:val="00AE41F4"/>
    <w:rsid w:val="00AE4604"/>
    <w:rsid w:val="00AE4832"/>
    <w:rsid w:val="00AE50E0"/>
    <w:rsid w:val="00AE5B83"/>
    <w:rsid w:val="00AE6ABC"/>
    <w:rsid w:val="00AE6C89"/>
    <w:rsid w:val="00AE6E39"/>
    <w:rsid w:val="00AE7714"/>
    <w:rsid w:val="00AE7F45"/>
    <w:rsid w:val="00AF0A87"/>
    <w:rsid w:val="00AF0B06"/>
    <w:rsid w:val="00AF11E4"/>
    <w:rsid w:val="00AF1951"/>
    <w:rsid w:val="00AF21E4"/>
    <w:rsid w:val="00AF2B11"/>
    <w:rsid w:val="00AF4C4E"/>
    <w:rsid w:val="00AF5AE2"/>
    <w:rsid w:val="00AF6684"/>
    <w:rsid w:val="00AF6BC0"/>
    <w:rsid w:val="00AF6E3C"/>
    <w:rsid w:val="00AF7D25"/>
    <w:rsid w:val="00B016CA"/>
    <w:rsid w:val="00B01CB2"/>
    <w:rsid w:val="00B02682"/>
    <w:rsid w:val="00B02E40"/>
    <w:rsid w:val="00B033C5"/>
    <w:rsid w:val="00B035A1"/>
    <w:rsid w:val="00B038FE"/>
    <w:rsid w:val="00B03D17"/>
    <w:rsid w:val="00B0405E"/>
    <w:rsid w:val="00B04801"/>
    <w:rsid w:val="00B06B5F"/>
    <w:rsid w:val="00B07D1F"/>
    <w:rsid w:val="00B1159C"/>
    <w:rsid w:val="00B1198C"/>
    <w:rsid w:val="00B11C4E"/>
    <w:rsid w:val="00B135CE"/>
    <w:rsid w:val="00B16154"/>
    <w:rsid w:val="00B1692E"/>
    <w:rsid w:val="00B16980"/>
    <w:rsid w:val="00B16B5E"/>
    <w:rsid w:val="00B1779D"/>
    <w:rsid w:val="00B17DA4"/>
    <w:rsid w:val="00B23565"/>
    <w:rsid w:val="00B24274"/>
    <w:rsid w:val="00B26821"/>
    <w:rsid w:val="00B268B1"/>
    <w:rsid w:val="00B26C13"/>
    <w:rsid w:val="00B27C5C"/>
    <w:rsid w:val="00B319EF"/>
    <w:rsid w:val="00B32FF4"/>
    <w:rsid w:val="00B3345A"/>
    <w:rsid w:val="00B3419F"/>
    <w:rsid w:val="00B34618"/>
    <w:rsid w:val="00B35312"/>
    <w:rsid w:val="00B3536D"/>
    <w:rsid w:val="00B35B1C"/>
    <w:rsid w:val="00B36BD5"/>
    <w:rsid w:val="00B36BFC"/>
    <w:rsid w:val="00B3743F"/>
    <w:rsid w:val="00B37755"/>
    <w:rsid w:val="00B405D9"/>
    <w:rsid w:val="00B40744"/>
    <w:rsid w:val="00B411A5"/>
    <w:rsid w:val="00B41C6F"/>
    <w:rsid w:val="00B41EC9"/>
    <w:rsid w:val="00B422DD"/>
    <w:rsid w:val="00B43503"/>
    <w:rsid w:val="00B44C57"/>
    <w:rsid w:val="00B452A8"/>
    <w:rsid w:val="00B478EF"/>
    <w:rsid w:val="00B53199"/>
    <w:rsid w:val="00B54188"/>
    <w:rsid w:val="00B54242"/>
    <w:rsid w:val="00B546D3"/>
    <w:rsid w:val="00B549A0"/>
    <w:rsid w:val="00B5548D"/>
    <w:rsid w:val="00B55548"/>
    <w:rsid w:val="00B55570"/>
    <w:rsid w:val="00B55C8B"/>
    <w:rsid w:val="00B5704A"/>
    <w:rsid w:val="00B5752B"/>
    <w:rsid w:val="00B57D81"/>
    <w:rsid w:val="00B60DAE"/>
    <w:rsid w:val="00B60E49"/>
    <w:rsid w:val="00B62A7A"/>
    <w:rsid w:val="00B62BD8"/>
    <w:rsid w:val="00B638DC"/>
    <w:rsid w:val="00B64734"/>
    <w:rsid w:val="00B653E0"/>
    <w:rsid w:val="00B67FCD"/>
    <w:rsid w:val="00B704A2"/>
    <w:rsid w:val="00B705B4"/>
    <w:rsid w:val="00B71A44"/>
    <w:rsid w:val="00B71E96"/>
    <w:rsid w:val="00B72D13"/>
    <w:rsid w:val="00B7352E"/>
    <w:rsid w:val="00B740CD"/>
    <w:rsid w:val="00B77653"/>
    <w:rsid w:val="00B77D4A"/>
    <w:rsid w:val="00B800D5"/>
    <w:rsid w:val="00B813AF"/>
    <w:rsid w:val="00B81F69"/>
    <w:rsid w:val="00B831E1"/>
    <w:rsid w:val="00B837D4"/>
    <w:rsid w:val="00B840D8"/>
    <w:rsid w:val="00B8562D"/>
    <w:rsid w:val="00B85E80"/>
    <w:rsid w:val="00B875A7"/>
    <w:rsid w:val="00B87C82"/>
    <w:rsid w:val="00B9055A"/>
    <w:rsid w:val="00B9055C"/>
    <w:rsid w:val="00B90714"/>
    <w:rsid w:val="00B922A4"/>
    <w:rsid w:val="00B92D45"/>
    <w:rsid w:val="00B9348D"/>
    <w:rsid w:val="00B935BB"/>
    <w:rsid w:val="00B94036"/>
    <w:rsid w:val="00B94112"/>
    <w:rsid w:val="00B955BB"/>
    <w:rsid w:val="00B95D6E"/>
    <w:rsid w:val="00B9679B"/>
    <w:rsid w:val="00B96CCC"/>
    <w:rsid w:val="00B9723E"/>
    <w:rsid w:val="00B976AA"/>
    <w:rsid w:val="00B97BCC"/>
    <w:rsid w:val="00BA1000"/>
    <w:rsid w:val="00BA1782"/>
    <w:rsid w:val="00BA2916"/>
    <w:rsid w:val="00BA4766"/>
    <w:rsid w:val="00BA4A5C"/>
    <w:rsid w:val="00BA4F3B"/>
    <w:rsid w:val="00BA5106"/>
    <w:rsid w:val="00BA561F"/>
    <w:rsid w:val="00BA5803"/>
    <w:rsid w:val="00BA5E87"/>
    <w:rsid w:val="00BB1F12"/>
    <w:rsid w:val="00BB2118"/>
    <w:rsid w:val="00BB24AC"/>
    <w:rsid w:val="00BB2A0F"/>
    <w:rsid w:val="00BB2C60"/>
    <w:rsid w:val="00BB3010"/>
    <w:rsid w:val="00BB3776"/>
    <w:rsid w:val="00BB47FE"/>
    <w:rsid w:val="00BB4DC6"/>
    <w:rsid w:val="00BB697D"/>
    <w:rsid w:val="00BB72C0"/>
    <w:rsid w:val="00BB7897"/>
    <w:rsid w:val="00BC04DE"/>
    <w:rsid w:val="00BC0B54"/>
    <w:rsid w:val="00BC12AB"/>
    <w:rsid w:val="00BC1801"/>
    <w:rsid w:val="00BC22D8"/>
    <w:rsid w:val="00BC2F69"/>
    <w:rsid w:val="00BC37B1"/>
    <w:rsid w:val="00BC3856"/>
    <w:rsid w:val="00BC3866"/>
    <w:rsid w:val="00BC4158"/>
    <w:rsid w:val="00BC5D10"/>
    <w:rsid w:val="00BC5D2F"/>
    <w:rsid w:val="00BC6469"/>
    <w:rsid w:val="00BC6AFB"/>
    <w:rsid w:val="00BD0508"/>
    <w:rsid w:val="00BD0C3D"/>
    <w:rsid w:val="00BD16CA"/>
    <w:rsid w:val="00BD2098"/>
    <w:rsid w:val="00BD2DA2"/>
    <w:rsid w:val="00BD3407"/>
    <w:rsid w:val="00BD366C"/>
    <w:rsid w:val="00BD4A66"/>
    <w:rsid w:val="00BD5E37"/>
    <w:rsid w:val="00BD612D"/>
    <w:rsid w:val="00BD71A9"/>
    <w:rsid w:val="00BD7298"/>
    <w:rsid w:val="00BD7402"/>
    <w:rsid w:val="00BD7614"/>
    <w:rsid w:val="00BE1005"/>
    <w:rsid w:val="00BE1037"/>
    <w:rsid w:val="00BE1FAA"/>
    <w:rsid w:val="00BE2CB5"/>
    <w:rsid w:val="00BE350E"/>
    <w:rsid w:val="00BE58A0"/>
    <w:rsid w:val="00BE6493"/>
    <w:rsid w:val="00BE66CF"/>
    <w:rsid w:val="00BF0A05"/>
    <w:rsid w:val="00BF0A14"/>
    <w:rsid w:val="00BF110D"/>
    <w:rsid w:val="00BF182C"/>
    <w:rsid w:val="00BF258B"/>
    <w:rsid w:val="00BF2753"/>
    <w:rsid w:val="00BF418A"/>
    <w:rsid w:val="00BF4F37"/>
    <w:rsid w:val="00BF5270"/>
    <w:rsid w:val="00BF5ACC"/>
    <w:rsid w:val="00BF6CCD"/>
    <w:rsid w:val="00C00A15"/>
    <w:rsid w:val="00C0208C"/>
    <w:rsid w:val="00C030B4"/>
    <w:rsid w:val="00C051AE"/>
    <w:rsid w:val="00C068B9"/>
    <w:rsid w:val="00C0716D"/>
    <w:rsid w:val="00C07A44"/>
    <w:rsid w:val="00C11B1A"/>
    <w:rsid w:val="00C121E3"/>
    <w:rsid w:val="00C12AF1"/>
    <w:rsid w:val="00C12B11"/>
    <w:rsid w:val="00C12B43"/>
    <w:rsid w:val="00C13D36"/>
    <w:rsid w:val="00C1475E"/>
    <w:rsid w:val="00C17BDD"/>
    <w:rsid w:val="00C205A0"/>
    <w:rsid w:val="00C2237E"/>
    <w:rsid w:val="00C22EEE"/>
    <w:rsid w:val="00C24A31"/>
    <w:rsid w:val="00C25F79"/>
    <w:rsid w:val="00C26472"/>
    <w:rsid w:val="00C26DF3"/>
    <w:rsid w:val="00C27126"/>
    <w:rsid w:val="00C276B5"/>
    <w:rsid w:val="00C30D39"/>
    <w:rsid w:val="00C3209C"/>
    <w:rsid w:val="00C3273F"/>
    <w:rsid w:val="00C33728"/>
    <w:rsid w:val="00C337C6"/>
    <w:rsid w:val="00C34319"/>
    <w:rsid w:val="00C34727"/>
    <w:rsid w:val="00C3516E"/>
    <w:rsid w:val="00C35C2C"/>
    <w:rsid w:val="00C36F61"/>
    <w:rsid w:val="00C3743C"/>
    <w:rsid w:val="00C41AC8"/>
    <w:rsid w:val="00C4263E"/>
    <w:rsid w:val="00C4282D"/>
    <w:rsid w:val="00C43C87"/>
    <w:rsid w:val="00C43ED8"/>
    <w:rsid w:val="00C45743"/>
    <w:rsid w:val="00C47053"/>
    <w:rsid w:val="00C47237"/>
    <w:rsid w:val="00C5007A"/>
    <w:rsid w:val="00C502A4"/>
    <w:rsid w:val="00C5097C"/>
    <w:rsid w:val="00C50D84"/>
    <w:rsid w:val="00C52B11"/>
    <w:rsid w:val="00C52C59"/>
    <w:rsid w:val="00C5303F"/>
    <w:rsid w:val="00C54120"/>
    <w:rsid w:val="00C546FE"/>
    <w:rsid w:val="00C5475F"/>
    <w:rsid w:val="00C55610"/>
    <w:rsid w:val="00C55763"/>
    <w:rsid w:val="00C55C21"/>
    <w:rsid w:val="00C5602E"/>
    <w:rsid w:val="00C56A0B"/>
    <w:rsid w:val="00C56A90"/>
    <w:rsid w:val="00C579D3"/>
    <w:rsid w:val="00C616EC"/>
    <w:rsid w:val="00C62195"/>
    <w:rsid w:val="00C626FB"/>
    <w:rsid w:val="00C6358A"/>
    <w:rsid w:val="00C644C6"/>
    <w:rsid w:val="00C645F2"/>
    <w:rsid w:val="00C64BE2"/>
    <w:rsid w:val="00C6514B"/>
    <w:rsid w:val="00C664B5"/>
    <w:rsid w:val="00C666E4"/>
    <w:rsid w:val="00C673FF"/>
    <w:rsid w:val="00C71DCB"/>
    <w:rsid w:val="00C7219D"/>
    <w:rsid w:val="00C72957"/>
    <w:rsid w:val="00C729A2"/>
    <w:rsid w:val="00C72D96"/>
    <w:rsid w:val="00C7450C"/>
    <w:rsid w:val="00C75FB9"/>
    <w:rsid w:val="00C76033"/>
    <w:rsid w:val="00C765D2"/>
    <w:rsid w:val="00C76A07"/>
    <w:rsid w:val="00C76C0D"/>
    <w:rsid w:val="00C77873"/>
    <w:rsid w:val="00C81F57"/>
    <w:rsid w:val="00C82175"/>
    <w:rsid w:val="00C8284B"/>
    <w:rsid w:val="00C831EE"/>
    <w:rsid w:val="00C8494E"/>
    <w:rsid w:val="00C85A80"/>
    <w:rsid w:val="00C85B14"/>
    <w:rsid w:val="00C8627F"/>
    <w:rsid w:val="00C87D41"/>
    <w:rsid w:val="00C90C49"/>
    <w:rsid w:val="00C9161B"/>
    <w:rsid w:val="00C91845"/>
    <w:rsid w:val="00C92DD7"/>
    <w:rsid w:val="00C92E6C"/>
    <w:rsid w:val="00C94E04"/>
    <w:rsid w:val="00C951B7"/>
    <w:rsid w:val="00C95209"/>
    <w:rsid w:val="00C95612"/>
    <w:rsid w:val="00C95DEB"/>
    <w:rsid w:val="00C965A9"/>
    <w:rsid w:val="00C96CD1"/>
    <w:rsid w:val="00CA0D43"/>
    <w:rsid w:val="00CA3895"/>
    <w:rsid w:val="00CA3B5A"/>
    <w:rsid w:val="00CA41E0"/>
    <w:rsid w:val="00CA48A1"/>
    <w:rsid w:val="00CA4ED4"/>
    <w:rsid w:val="00CA4F2C"/>
    <w:rsid w:val="00CA5197"/>
    <w:rsid w:val="00CA5391"/>
    <w:rsid w:val="00CA7529"/>
    <w:rsid w:val="00CA7727"/>
    <w:rsid w:val="00CA79CD"/>
    <w:rsid w:val="00CB0332"/>
    <w:rsid w:val="00CB234A"/>
    <w:rsid w:val="00CB3578"/>
    <w:rsid w:val="00CB3D35"/>
    <w:rsid w:val="00CB6569"/>
    <w:rsid w:val="00CB68E4"/>
    <w:rsid w:val="00CC00A4"/>
    <w:rsid w:val="00CC0EE5"/>
    <w:rsid w:val="00CC0F7E"/>
    <w:rsid w:val="00CC1334"/>
    <w:rsid w:val="00CC1F30"/>
    <w:rsid w:val="00CC21AB"/>
    <w:rsid w:val="00CC290C"/>
    <w:rsid w:val="00CC2F6D"/>
    <w:rsid w:val="00CC3325"/>
    <w:rsid w:val="00CC36B8"/>
    <w:rsid w:val="00CC3D17"/>
    <w:rsid w:val="00CC44E2"/>
    <w:rsid w:val="00CC4BB3"/>
    <w:rsid w:val="00CC4CB2"/>
    <w:rsid w:val="00CC5098"/>
    <w:rsid w:val="00CC5B0D"/>
    <w:rsid w:val="00CC5C8D"/>
    <w:rsid w:val="00CC74E6"/>
    <w:rsid w:val="00CC7A46"/>
    <w:rsid w:val="00CD1567"/>
    <w:rsid w:val="00CD2F2E"/>
    <w:rsid w:val="00CD5946"/>
    <w:rsid w:val="00CE0B9E"/>
    <w:rsid w:val="00CE0DA9"/>
    <w:rsid w:val="00CE1D78"/>
    <w:rsid w:val="00CE272E"/>
    <w:rsid w:val="00CE283F"/>
    <w:rsid w:val="00CE366D"/>
    <w:rsid w:val="00CE388F"/>
    <w:rsid w:val="00CE3D32"/>
    <w:rsid w:val="00CE3F23"/>
    <w:rsid w:val="00CE43E6"/>
    <w:rsid w:val="00CE6ADD"/>
    <w:rsid w:val="00CE78DA"/>
    <w:rsid w:val="00CF0250"/>
    <w:rsid w:val="00CF06AF"/>
    <w:rsid w:val="00CF0823"/>
    <w:rsid w:val="00CF0A68"/>
    <w:rsid w:val="00CF0DBB"/>
    <w:rsid w:val="00CF0DE0"/>
    <w:rsid w:val="00CF1524"/>
    <w:rsid w:val="00CF30AB"/>
    <w:rsid w:val="00CF3224"/>
    <w:rsid w:val="00CF4DD2"/>
    <w:rsid w:val="00CF5E73"/>
    <w:rsid w:val="00CF6E1E"/>
    <w:rsid w:val="00CF7220"/>
    <w:rsid w:val="00CF755B"/>
    <w:rsid w:val="00CF7A7D"/>
    <w:rsid w:val="00D00340"/>
    <w:rsid w:val="00D027D5"/>
    <w:rsid w:val="00D02D1B"/>
    <w:rsid w:val="00D02D33"/>
    <w:rsid w:val="00D03C6C"/>
    <w:rsid w:val="00D05BCE"/>
    <w:rsid w:val="00D072FD"/>
    <w:rsid w:val="00D0737B"/>
    <w:rsid w:val="00D07A80"/>
    <w:rsid w:val="00D07E40"/>
    <w:rsid w:val="00D11F54"/>
    <w:rsid w:val="00D121B4"/>
    <w:rsid w:val="00D132AD"/>
    <w:rsid w:val="00D136DA"/>
    <w:rsid w:val="00D14622"/>
    <w:rsid w:val="00D14C94"/>
    <w:rsid w:val="00D17041"/>
    <w:rsid w:val="00D17474"/>
    <w:rsid w:val="00D17CE7"/>
    <w:rsid w:val="00D17DF3"/>
    <w:rsid w:val="00D20AE4"/>
    <w:rsid w:val="00D214E6"/>
    <w:rsid w:val="00D21D2A"/>
    <w:rsid w:val="00D22509"/>
    <w:rsid w:val="00D2362C"/>
    <w:rsid w:val="00D241D0"/>
    <w:rsid w:val="00D256EE"/>
    <w:rsid w:val="00D258D5"/>
    <w:rsid w:val="00D25E1F"/>
    <w:rsid w:val="00D30CF2"/>
    <w:rsid w:val="00D319D6"/>
    <w:rsid w:val="00D326AC"/>
    <w:rsid w:val="00D32AE4"/>
    <w:rsid w:val="00D3413F"/>
    <w:rsid w:val="00D34E11"/>
    <w:rsid w:val="00D35B57"/>
    <w:rsid w:val="00D35BAB"/>
    <w:rsid w:val="00D40020"/>
    <w:rsid w:val="00D40D02"/>
    <w:rsid w:val="00D422A2"/>
    <w:rsid w:val="00D42654"/>
    <w:rsid w:val="00D43029"/>
    <w:rsid w:val="00D43E89"/>
    <w:rsid w:val="00D45090"/>
    <w:rsid w:val="00D45419"/>
    <w:rsid w:val="00D46008"/>
    <w:rsid w:val="00D47A9D"/>
    <w:rsid w:val="00D47D14"/>
    <w:rsid w:val="00D502D7"/>
    <w:rsid w:val="00D50883"/>
    <w:rsid w:val="00D50D18"/>
    <w:rsid w:val="00D52C9C"/>
    <w:rsid w:val="00D52F3A"/>
    <w:rsid w:val="00D5316E"/>
    <w:rsid w:val="00D53A3C"/>
    <w:rsid w:val="00D53B8B"/>
    <w:rsid w:val="00D53C70"/>
    <w:rsid w:val="00D53EDC"/>
    <w:rsid w:val="00D54791"/>
    <w:rsid w:val="00D55ACB"/>
    <w:rsid w:val="00D55CC1"/>
    <w:rsid w:val="00D5637A"/>
    <w:rsid w:val="00D61717"/>
    <w:rsid w:val="00D61C3F"/>
    <w:rsid w:val="00D6214C"/>
    <w:rsid w:val="00D62B42"/>
    <w:rsid w:val="00D62C5F"/>
    <w:rsid w:val="00D648AB"/>
    <w:rsid w:val="00D64BC4"/>
    <w:rsid w:val="00D67882"/>
    <w:rsid w:val="00D71EEB"/>
    <w:rsid w:val="00D72014"/>
    <w:rsid w:val="00D72B84"/>
    <w:rsid w:val="00D731E5"/>
    <w:rsid w:val="00D73B3C"/>
    <w:rsid w:val="00D75CBA"/>
    <w:rsid w:val="00D765F1"/>
    <w:rsid w:val="00D77060"/>
    <w:rsid w:val="00D77187"/>
    <w:rsid w:val="00D80A72"/>
    <w:rsid w:val="00D81336"/>
    <w:rsid w:val="00D81499"/>
    <w:rsid w:val="00D81546"/>
    <w:rsid w:val="00D81845"/>
    <w:rsid w:val="00D81B8C"/>
    <w:rsid w:val="00D841C5"/>
    <w:rsid w:val="00D84A48"/>
    <w:rsid w:val="00D8638A"/>
    <w:rsid w:val="00D878F3"/>
    <w:rsid w:val="00D87B4C"/>
    <w:rsid w:val="00D900BA"/>
    <w:rsid w:val="00D9022B"/>
    <w:rsid w:val="00D919E0"/>
    <w:rsid w:val="00D91D5D"/>
    <w:rsid w:val="00D91F62"/>
    <w:rsid w:val="00D92066"/>
    <w:rsid w:val="00D92CB9"/>
    <w:rsid w:val="00D93F12"/>
    <w:rsid w:val="00D953DE"/>
    <w:rsid w:val="00D95400"/>
    <w:rsid w:val="00D9678D"/>
    <w:rsid w:val="00D96C2F"/>
    <w:rsid w:val="00D96C46"/>
    <w:rsid w:val="00D96E27"/>
    <w:rsid w:val="00D97700"/>
    <w:rsid w:val="00D97F28"/>
    <w:rsid w:val="00DA068F"/>
    <w:rsid w:val="00DA089B"/>
    <w:rsid w:val="00DA10C3"/>
    <w:rsid w:val="00DA169E"/>
    <w:rsid w:val="00DA27C5"/>
    <w:rsid w:val="00DA3693"/>
    <w:rsid w:val="00DA6F1B"/>
    <w:rsid w:val="00DA7622"/>
    <w:rsid w:val="00DA7B3F"/>
    <w:rsid w:val="00DB0ADB"/>
    <w:rsid w:val="00DB23CA"/>
    <w:rsid w:val="00DB35DA"/>
    <w:rsid w:val="00DB3C16"/>
    <w:rsid w:val="00DB5953"/>
    <w:rsid w:val="00DB6C0B"/>
    <w:rsid w:val="00DB6D86"/>
    <w:rsid w:val="00DB7555"/>
    <w:rsid w:val="00DC0665"/>
    <w:rsid w:val="00DC08B8"/>
    <w:rsid w:val="00DC2BCB"/>
    <w:rsid w:val="00DC3787"/>
    <w:rsid w:val="00DC3D54"/>
    <w:rsid w:val="00DC3FD7"/>
    <w:rsid w:val="00DC4180"/>
    <w:rsid w:val="00DC615A"/>
    <w:rsid w:val="00DC6556"/>
    <w:rsid w:val="00DC7187"/>
    <w:rsid w:val="00DD1539"/>
    <w:rsid w:val="00DD2521"/>
    <w:rsid w:val="00DD2FD8"/>
    <w:rsid w:val="00DD468A"/>
    <w:rsid w:val="00DD59D7"/>
    <w:rsid w:val="00DE0E23"/>
    <w:rsid w:val="00DE1801"/>
    <w:rsid w:val="00DE1BF6"/>
    <w:rsid w:val="00DE2708"/>
    <w:rsid w:val="00DE290F"/>
    <w:rsid w:val="00DE31FE"/>
    <w:rsid w:val="00DE3B91"/>
    <w:rsid w:val="00DE42CE"/>
    <w:rsid w:val="00DE4729"/>
    <w:rsid w:val="00DE5280"/>
    <w:rsid w:val="00DE5971"/>
    <w:rsid w:val="00DE59A6"/>
    <w:rsid w:val="00DE7705"/>
    <w:rsid w:val="00DE7A9C"/>
    <w:rsid w:val="00DF065B"/>
    <w:rsid w:val="00DF06BA"/>
    <w:rsid w:val="00DF3561"/>
    <w:rsid w:val="00DF3DDF"/>
    <w:rsid w:val="00DF473F"/>
    <w:rsid w:val="00DF4E82"/>
    <w:rsid w:val="00DF542A"/>
    <w:rsid w:val="00DF59E8"/>
    <w:rsid w:val="00DF6485"/>
    <w:rsid w:val="00DF714D"/>
    <w:rsid w:val="00DF7167"/>
    <w:rsid w:val="00E0097D"/>
    <w:rsid w:val="00E00B96"/>
    <w:rsid w:val="00E02205"/>
    <w:rsid w:val="00E03844"/>
    <w:rsid w:val="00E0455B"/>
    <w:rsid w:val="00E047F4"/>
    <w:rsid w:val="00E055BE"/>
    <w:rsid w:val="00E0581B"/>
    <w:rsid w:val="00E069B3"/>
    <w:rsid w:val="00E06DC0"/>
    <w:rsid w:val="00E10A7D"/>
    <w:rsid w:val="00E1158C"/>
    <w:rsid w:val="00E11B18"/>
    <w:rsid w:val="00E11F32"/>
    <w:rsid w:val="00E12700"/>
    <w:rsid w:val="00E14FB8"/>
    <w:rsid w:val="00E15A22"/>
    <w:rsid w:val="00E2089E"/>
    <w:rsid w:val="00E225BC"/>
    <w:rsid w:val="00E230E6"/>
    <w:rsid w:val="00E23B38"/>
    <w:rsid w:val="00E23D85"/>
    <w:rsid w:val="00E2487A"/>
    <w:rsid w:val="00E24A0E"/>
    <w:rsid w:val="00E258AC"/>
    <w:rsid w:val="00E25ECF"/>
    <w:rsid w:val="00E26926"/>
    <w:rsid w:val="00E27022"/>
    <w:rsid w:val="00E3054D"/>
    <w:rsid w:val="00E31B6D"/>
    <w:rsid w:val="00E33424"/>
    <w:rsid w:val="00E33B60"/>
    <w:rsid w:val="00E362F4"/>
    <w:rsid w:val="00E374E6"/>
    <w:rsid w:val="00E40504"/>
    <w:rsid w:val="00E40AB9"/>
    <w:rsid w:val="00E4112A"/>
    <w:rsid w:val="00E415B8"/>
    <w:rsid w:val="00E41891"/>
    <w:rsid w:val="00E421D0"/>
    <w:rsid w:val="00E42E2E"/>
    <w:rsid w:val="00E43BA8"/>
    <w:rsid w:val="00E43CE2"/>
    <w:rsid w:val="00E45482"/>
    <w:rsid w:val="00E457C1"/>
    <w:rsid w:val="00E461FE"/>
    <w:rsid w:val="00E4625E"/>
    <w:rsid w:val="00E463BD"/>
    <w:rsid w:val="00E46B32"/>
    <w:rsid w:val="00E47D55"/>
    <w:rsid w:val="00E47E49"/>
    <w:rsid w:val="00E50087"/>
    <w:rsid w:val="00E50CF1"/>
    <w:rsid w:val="00E5120D"/>
    <w:rsid w:val="00E5238C"/>
    <w:rsid w:val="00E523E8"/>
    <w:rsid w:val="00E53CA9"/>
    <w:rsid w:val="00E561B5"/>
    <w:rsid w:val="00E563AC"/>
    <w:rsid w:val="00E577E1"/>
    <w:rsid w:val="00E60220"/>
    <w:rsid w:val="00E6091E"/>
    <w:rsid w:val="00E60994"/>
    <w:rsid w:val="00E6099E"/>
    <w:rsid w:val="00E60A2E"/>
    <w:rsid w:val="00E61947"/>
    <w:rsid w:val="00E61FBD"/>
    <w:rsid w:val="00E6275E"/>
    <w:rsid w:val="00E631DC"/>
    <w:rsid w:val="00E63CF9"/>
    <w:rsid w:val="00E64D94"/>
    <w:rsid w:val="00E66A94"/>
    <w:rsid w:val="00E66C23"/>
    <w:rsid w:val="00E66F84"/>
    <w:rsid w:val="00E670AE"/>
    <w:rsid w:val="00E673C9"/>
    <w:rsid w:val="00E67CF9"/>
    <w:rsid w:val="00E700C5"/>
    <w:rsid w:val="00E70A28"/>
    <w:rsid w:val="00E7277E"/>
    <w:rsid w:val="00E72F2C"/>
    <w:rsid w:val="00E73B17"/>
    <w:rsid w:val="00E74405"/>
    <w:rsid w:val="00E75E62"/>
    <w:rsid w:val="00E769B1"/>
    <w:rsid w:val="00E80F33"/>
    <w:rsid w:val="00E8145D"/>
    <w:rsid w:val="00E816F3"/>
    <w:rsid w:val="00E82368"/>
    <w:rsid w:val="00E85A5B"/>
    <w:rsid w:val="00E85D68"/>
    <w:rsid w:val="00E87BE7"/>
    <w:rsid w:val="00E908DB"/>
    <w:rsid w:val="00E910FA"/>
    <w:rsid w:val="00E91535"/>
    <w:rsid w:val="00E91931"/>
    <w:rsid w:val="00E935A1"/>
    <w:rsid w:val="00E93634"/>
    <w:rsid w:val="00E936C3"/>
    <w:rsid w:val="00E93986"/>
    <w:rsid w:val="00E93AE9"/>
    <w:rsid w:val="00E943E0"/>
    <w:rsid w:val="00E949BE"/>
    <w:rsid w:val="00E960B7"/>
    <w:rsid w:val="00E967B2"/>
    <w:rsid w:val="00EA069B"/>
    <w:rsid w:val="00EA18EA"/>
    <w:rsid w:val="00EA1B3D"/>
    <w:rsid w:val="00EA3074"/>
    <w:rsid w:val="00EA41B5"/>
    <w:rsid w:val="00EA6800"/>
    <w:rsid w:val="00EB1524"/>
    <w:rsid w:val="00EB1DAF"/>
    <w:rsid w:val="00EB5087"/>
    <w:rsid w:val="00EB53CE"/>
    <w:rsid w:val="00EB6083"/>
    <w:rsid w:val="00EB6861"/>
    <w:rsid w:val="00EB6CB9"/>
    <w:rsid w:val="00EB6D10"/>
    <w:rsid w:val="00EB7E23"/>
    <w:rsid w:val="00EC001B"/>
    <w:rsid w:val="00EC0FBD"/>
    <w:rsid w:val="00EC27B8"/>
    <w:rsid w:val="00EC2C22"/>
    <w:rsid w:val="00EC45C4"/>
    <w:rsid w:val="00EC5149"/>
    <w:rsid w:val="00EC5AD6"/>
    <w:rsid w:val="00EC78EE"/>
    <w:rsid w:val="00ED106F"/>
    <w:rsid w:val="00ED1A2A"/>
    <w:rsid w:val="00ED2772"/>
    <w:rsid w:val="00ED2E2A"/>
    <w:rsid w:val="00ED3217"/>
    <w:rsid w:val="00ED44A1"/>
    <w:rsid w:val="00ED6C48"/>
    <w:rsid w:val="00ED7E20"/>
    <w:rsid w:val="00EE0EBE"/>
    <w:rsid w:val="00EE1312"/>
    <w:rsid w:val="00EE2500"/>
    <w:rsid w:val="00EE4D19"/>
    <w:rsid w:val="00EE5693"/>
    <w:rsid w:val="00EE5CE6"/>
    <w:rsid w:val="00EE7015"/>
    <w:rsid w:val="00EE7491"/>
    <w:rsid w:val="00EF0A2E"/>
    <w:rsid w:val="00EF17D1"/>
    <w:rsid w:val="00EF23AA"/>
    <w:rsid w:val="00EF3816"/>
    <w:rsid w:val="00EF4D1D"/>
    <w:rsid w:val="00EF5C83"/>
    <w:rsid w:val="00EF6557"/>
    <w:rsid w:val="00EF6A4C"/>
    <w:rsid w:val="00EF6AF2"/>
    <w:rsid w:val="00F00411"/>
    <w:rsid w:val="00F01380"/>
    <w:rsid w:val="00F014F8"/>
    <w:rsid w:val="00F01B2D"/>
    <w:rsid w:val="00F02B06"/>
    <w:rsid w:val="00F03F20"/>
    <w:rsid w:val="00F0406F"/>
    <w:rsid w:val="00F0467E"/>
    <w:rsid w:val="00F0521E"/>
    <w:rsid w:val="00F05C0E"/>
    <w:rsid w:val="00F06335"/>
    <w:rsid w:val="00F06EDC"/>
    <w:rsid w:val="00F070A1"/>
    <w:rsid w:val="00F073ED"/>
    <w:rsid w:val="00F07681"/>
    <w:rsid w:val="00F07759"/>
    <w:rsid w:val="00F07E2D"/>
    <w:rsid w:val="00F10223"/>
    <w:rsid w:val="00F10A3C"/>
    <w:rsid w:val="00F10DA5"/>
    <w:rsid w:val="00F10DF7"/>
    <w:rsid w:val="00F11AE5"/>
    <w:rsid w:val="00F1289D"/>
    <w:rsid w:val="00F14DC9"/>
    <w:rsid w:val="00F168D9"/>
    <w:rsid w:val="00F16E7B"/>
    <w:rsid w:val="00F17B9C"/>
    <w:rsid w:val="00F20E46"/>
    <w:rsid w:val="00F23521"/>
    <w:rsid w:val="00F25F72"/>
    <w:rsid w:val="00F26253"/>
    <w:rsid w:val="00F30ABA"/>
    <w:rsid w:val="00F33065"/>
    <w:rsid w:val="00F333F5"/>
    <w:rsid w:val="00F33BAC"/>
    <w:rsid w:val="00F340AF"/>
    <w:rsid w:val="00F34405"/>
    <w:rsid w:val="00F3445B"/>
    <w:rsid w:val="00F35F53"/>
    <w:rsid w:val="00F36451"/>
    <w:rsid w:val="00F36797"/>
    <w:rsid w:val="00F36CE1"/>
    <w:rsid w:val="00F40451"/>
    <w:rsid w:val="00F41A5C"/>
    <w:rsid w:val="00F41CC3"/>
    <w:rsid w:val="00F427C2"/>
    <w:rsid w:val="00F43B82"/>
    <w:rsid w:val="00F4586C"/>
    <w:rsid w:val="00F45997"/>
    <w:rsid w:val="00F45B16"/>
    <w:rsid w:val="00F47BD2"/>
    <w:rsid w:val="00F5005E"/>
    <w:rsid w:val="00F51213"/>
    <w:rsid w:val="00F514E8"/>
    <w:rsid w:val="00F51757"/>
    <w:rsid w:val="00F51DC7"/>
    <w:rsid w:val="00F52076"/>
    <w:rsid w:val="00F522A0"/>
    <w:rsid w:val="00F52A16"/>
    <w:rsid w:val="00F52F8B"/>
    <w:rsid w:val="00F54509"/>
    <w:rsid w:val="00F546AC"/>
    <w:rsid w:val="00F55DE5"/>
    <w:rsid w:val="00F57563"/>
    <w:rsid w:val="00F60B69"/>
    <w:rsid w:val="00F61026"/>
    <w:rsid w:val="00F613AA"/>
    <w:rsid w:val="00F62531"/>
    <w:rsid w:val="00F6276E"/>
    <w:rsid w:val="00F62ADD"/>
    <w:rsid w:val="00F62FBC"/>
    <w:rsid w:val="00F6427E"/>
    <w:rsid w:val="00F64EA1"/>
    <w:rsid w:val="00F658AA"/>
    <w:rsid w:val="00F67107"/>
    <w:rsid w:val="00F70C7C"/>
    <w:rsid w:val="00F72041"/>
    <w:rsid w:val="00F734D0"/>
    <w:rsid w:val="00F73F5C"/>
    <w:rsid w:val="00F740A7"/>
    <w:rsid w:val="00F74662"/>
    <w:rsid w:val="00F75E8C"/>
    <w:rsid w:val="00F76B55"/>
    <w:rsid w:val="00F77334"/>
    <w:rsid w:val="00F773D6"/>
    <w:rsid w:val="00F77EFF"/>
    <w:rsid w:val="00F800F0"/>
    <w:rsid w:val="00F8032F"/>
    <w:rsid w:val="00F80AE5"/>
    <w:rsid w:val="00F82E15"/>
    <w:rsid w:val="00F83C85"/>
    <w:rsid w:val="00F84D01"/>
    <w:rsid w:val="00F84E38"/>
    <w:rsid w:val="00F84F88"/>
    <w:rsid w:val="00F86CF4"/>
    <w:rsid w:val="00F877A0"/>
    <w:rsid w:val="00F87F6D"/>
    <w:rsid w:val="00F924B6"/>
    <w:rsid w:val="00F92A0D"/>
    <w:rsid w:val="00F93899"/>
    <w:rsid w:val="00F93D43"/>
    <w:rsid w:val="00F94930"/>
    <w:rsid w:val="00F9599F"/>
    <w:rsid w:val="00F974A9"/>
    <w:rsid w:val="00F978A4"/>
    <w:rsid w:val="00FA0234"/>
    <w:rsid w:val="00FA0631"/>
    <w:rsid w:val="00FA0EF7"/>
    <w:rsid w:val="00FA12C8"/>
    <w:rsid w:val="00FA15EB"/>
    <w:rsid w:val="00FA27EB"/>
    <w:rsid w:val="00FA2A9B"/>
    <w:rsid w:val="00FA4E09"/>
    <w:rsid w:val="00FA4EE8"/>
    <w:rsid w:val="00FA64CA"/>
    <w:rsid w:val="00FB056B"/>
    <w:rsid w:val="00FB0872"/>
    <w:rsid w:val="00FB0BA5"/>
    <w:rsid w:val="00FB1A9B"/>
    <w:rsid w:val="00FB3812"/>
    <w:rsid w:val="00FB47E0"/>
    <w:rsid w:val="00FB5CC6"/>
    <w:rsid w:val="00FB6769"/>
    <w:rsid w:val="00FB7D5B"/>
    <w:rsid w:val="00FC06EC"/>
    <w:rsid w:val="00FC258B"/>
    <w:rsid w:val="00FC3127"/>
    <w:rsid w:val="00FC4181"/>
    <w:rsid w:val="00FC45CA"/>
    <w:rsid w:val="00FC4B20"/>
    <w:rsid w:val="00FC7571"/>
    <w:rsid w:val="00FD0D6D"/>
    <w:rsid w:val="00FD2A94"/>
    <w:rsid w:val="00FD2B74"/>
    <w:rsid w:val="00FD2CDC"/>
    <w:rsid w:val="00FD3396"/>
    <w:rsid w:val="00FD4FE9"/>
    <w:rsid w:val="00FD5709"/>
    <w:rsid w:val="00FD62CE"/>
    <w:rsid w:val="00FD6381"/>
    <w:rsid w:val="00FD6690"/>
    <w:rsid w:val="00FD7E95"/>
    <w:rsid w:val="00FE055C"/>
    <w:rsid w:val="00FE0F41"/>
    <w:rsid w:val="00FE1119"/>
    <w:rsid w:val="00FE1344"/>
    <w:rsid w:val="00FE14A6"/>
    <w:rsid w:val="00FE1C38"/>
    <w:rsid w:val="00FE1EBA"/>
    <w:rsid w:val="00FE2DD2"/>
    <w:rsid w:val="00FE3793"/>
    <w:rsid w:val="00FE40FB"/>
    <w:rsid w:val="00FE411F"/>
    <w:rsid w:val="00FE4830"/>
    <w:rsid w:val="00FE50E3"/>
    <w:rsid w:val="00FF2BF0"/>
    <w:rsid w:val="00FF31A0"/>
    <w:rsid w:val="00FF3674"/>
    <w:rsid w:val="00FF75D8"/>
    <w:rsid w:val="00FF7D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B5E2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before="120" w:after="120" w:line="276" w:lineRule="auto"/>
        <w:jc w:val="both"/>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6" w:unhideWhenUsed="1" w:qFormat="1"/>
    <w:lsdException w:name="heading 6" w:semiHidden="1" w:uiPriority="7" w:unhideWhenUsed="1" w:qFormat="1"/>
    <w:lsdException w:name="heading 7" w:semiHidden="1" w:uiPriority="7" w:unhideWhenUsed="1"/>
    <w:lsdException w:name="heading 8" w:semiHidden="1" w:uiPriority="7" w:unhideWhenUsed="1" w:qFormat="1"/>
    <w:lsdException w:name="heading 9" w:semiHidden="1" w:uiPriority="7"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13" w:unhideWhenUsed="1"/>
    <w:lsdException w:name="footer" w:semiHidden="1" w:uiPriority="14"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5"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75D"/>
  </w:style>
  <w:style w:type="paragraph" w:styleId="Ttulo1">
    <w:name w:val="heading 1"/>
    <w:basedOn w:val="Normal"/>
    <w:next w:val="Normal"/>
    <w:link w:val="Ttulo1Car"/>
    <w:uiPriority w:val="2"/>
    <w:qFormat/>
    <w:rsid w:val="0083178F"/>
    <w:pPr>
      <w:keepNext/>
      <w:numPr>
        <w:numId w:val="4"/>
      </w:numPr>
      <w:outlineLvl w:val="0"/>
    </w:pPr>
    <w:rPr>
      <w:rFonts w:eastAsiaTheme="majorEastAsia" w:cstheme="majorBidi"/>
      <w:b/>
      <w:bCs/>
      <w:caps/>
      <w:szCs w:val="28"/>
    </w:rPr>
  </w:style>
  <w:style w:type="paragraph" w:styleId="Ttulo2">
    <w:name w:val="heading 2"/>
    <w:basedOn w:val="Normal"/>
    <w:next w:val="Normal"/>
    <w:link w:val="Ttulo2Car"/>
    <w:uiPriority w:val="3"/>
    <w:qFormat/>
    <w:rsid w:val="000C64BA"/>
    <w:pPr>
      <w:keepNext/>
      <w:numPr>
        <w:ilvl w:val="1"/>
        <w:numId w:val="4"/>
      </w:numPr>
      <w:outlineLvl w:val="1"/>
    </w:pPr>
    <w:rPr>
      <w:rFonts w:eastAsiaTheme="majorEastAsia" w:cstheme="majorBidi"/>
      <w:b/>
      <w:bCs/>
      <w:smallCaps/>
      <w:szCs w:val="26"/>
    </w:rPr>
  </w:style>
  <w:style w:type="paragraph" w:styleId="Ttulo3">
    <w:name w:val="heading 3"/>
    <w:basedOn w:val="Normal"/>
    <w:next w:val="Normal"/>
    <w:link w:val="Ttulo3Car"/>
    <w:uiPriority w:val="4"/>
    <w:qFormat/>
    <w:rsid w:val="000C64BA"/>
    <w:pPr>
      <w:keepNext/>
      <w:numPr>
        <w:ilvl w:val="2"/>
        <w:numId w:val="4"/>
      </w:numPr>
      <w:outlineLvl w:val="2"/>
    </w:pPr>
    <w:rPr>
      <w:rFonts w:eastAsiaTheme="majorEastAsia" w:cstheme="majorBidi"/>
      <w:b/>
      <w:bCs/>
    </w:rPr>
  </w:style>
  <w:style w:type="paragraph" w:styleId="Ttulo4">
    <w:name w:val="heading 4"/>
    <w:basedOn w:val="Normal"/>
    <w:next w:val="TextoNivel4"/>
    <w:link w:val="Ttulo4Car"/>
    <w:uiPriority w:val="5"/>
    <w:qFormat/>
    <w:rsid w:val="0083178F"/>
    <w:pPr>
      <w:numPr>
        <w:ilvl w:val="3"/>
        <w:numId w:val="4"/>
      </w:numPr>
      <w:outlineLvl w:val="3"/>
    </w:pPr>
    <w:rPr>
      <w:rFonts w:eastAsiaTheme="majorEastAsia" w:cstheme="majorBidi"/>
      <w:bCs/>
      <w:iCs/>
    </w:rPr>
  </w:style>
  <w:style w:type="paragraph" w:styleId="Ttulo5">
    <w:name w:val="heading 5"/>
    <w:basedOn w:val="Normal"/>
    <w:next w:val="Textonivel5"/>
    <w:link w:val="Ttulo5Car"/>
    <w:uiPriority w:val="6"/>
    <w:qFormat/>
    <w:rsid w:val="0083178F"/>
    <w:pPr>
      <w:numPr>
        <w:ilvl w:val="4"/>
        <w:numId w:val="4"/>
      </w:numPr>
      <w:outlineLvl w:val="4"/>
    </w:pPr>
    <w:rPr>
      <w:rFonts w:eastAsiaTheme="majorEastAsia" w:cstheme="majorBidi"/>
    </w:rPr>
  </w:style>
  <w:style w:type="paragraph" w:styleId="Ttulo6">
    <w:name w:val="heading 6"/>
    <w:basedOn w:val="Normal"/>
    <w:next w:val="Textonivel6"/>
    <w:link w:val="Ttulo6Car"/>
    <w:uiPriority w:val="7"/>
    <w:qFormat/>
    <w:rsid w:val="0083178F"/>
    <w:pPr>
      <w:numPr>
        <w:ilvl w:val="5"/>
        <w:numId w:val="4"/>
      </w:numPr>
      <w:outlineLvl w:val="5"/>
    </w:pPr>
    <w:rPr>
      <w:rFonts w:eastAsiaTheme="majorEastAsia" w:cstheme="majorBidi"/>
      <w:iCs/>
    </w:rPr>
  </w:style>
  <w:style w:type="paragraph" w:styleId="Ttulo7">
    <w:name w:val="heading 7"/>
    <w:basedOn w:val="Normal"/>
    <w:next w:val="Normal"/>
    <w:link w:val="Ttulo7Car"/>
    <w:uiPriority w:val="7"/>
    <w:semiHidden/>
    <w:rsid w:val="0083178F"/>
    <w:pPr>
      <w:spacing w:before="200" w:after="0"/>
      <w:outlineLvl w:val="6"/>
    </w:pPr>
    <w:rPr>
      <w:rFonts w:asciiTheme="majorHAnsi" w:eastAsiaTheme="majorEastAsia" w:hAnsiTheme="majorHAnsi" w:cstheme="majorBidi"/>
      <w:i/>
      <w:iCs/>
      <w:color w:val="5B7080" w:themeColor="text1" w:themeTint="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
    <w:qFormat/>
    <w:rsid w:val="0083178F"/>
    <w:pPr>
      <w:keepNext/>
      <w:contextualSpacing/>
      <w:jc w:val="center"/>
    </w:pPr>
    <w:rPr>
      <w:rFonts w:eastAsiaTheme="majorEastAsia" w:cstheme="majorBidi"/>
      <w:b/>
      <w:caps/>
      <w:spacing w:val="5"/>
      <w:kern w:val="28"/>
      <w:szCs w:val="52"/>
    </w:rPr>
  </w:style>
  <w:style w:type="character" w:customStyle="1" w:styleId="TtuloCar">
    <w:name w:val="Título Car"/>
    <w:basedOn w:val="Fuentedeprrafopredeter"/>
    <w:link w:val="Ttulo"/>
    <w:uiPriority w:val="1"/>
    <w:rsid w:val="0083178F"/>
    <w:rPr>
      <w:rFonts w:eastAsiaTheme="majorEastAsia" w:cstheme="majorBidi"/>
      <w:b/>
      <w:caps/>
      <w:spacing w:val="5"/>
      <w:kern w:val="28"/>
      <w:szCs w:val="52"/>
    </w:rPr>
  </w:style>
  <w:style w:type="character" w:customStyle="1" w:styleId="Ttulo1Car">
    <w:name w:val="Título 1 Car"/>
    <w:basedOn w:val="Fuentedeprrafopredeter"/>
    <w:link w:val="Ttulo1"/>
    <w:uiPriority w:val="2"/>
    <w:rsid w:val="0083178F"/>
    <w:rPr>
      <w:rFonts w:eastAsiaTheme="majorEastAsia" w:cstheme="majorBidi"/>
      <w:b/>
      <w:bCs/>
      <w:caps/>
      <w:szCs w:val="28"/>
    </w:rPr>
  </w:style>
  <w:style w:type="character" w:customStyle="1" w:styleId="Ttulo2Car">
    <w:name w:val="Título 2 Car"/>
    <w:basedOn w:val="Fuentedeprrafopredeter"/>
    <w:link w:val="Ttulo2"/>
    <w:uiPriority w:val="3"/>
    <w:rsid w:val="000C64BA"/>
    <w:rPr>
      <w:rFonts w:eastAsiaTheme="majorEastAsia" w:cstheme="majorBidi"/>
      <w:b/>
      <w:bCs/>
      <w:smallCaps/>
      <w:szCs w:val="26"/>
    </w:rPr>
  </w:style>
  <w:style w:type="character" w:customStyle="1" w:styleId="Ttulo3Car">
    <w:name w:val="Título 3 Car"/>
    <w:basedOn w:val="Fuentedeprrafopredeter"/>
    <w:link w:val="Ttulo3"/>
    <w:uiPriority w:val="4"/>
    <w:rsid w:val="000C64BA"/>
    <w:rPr>
      <w:rFonts w:eastAsiaTheme="majorEastAsia" w:cstheme="majorBidi"/>
      <w:b/>
      <w:bCs/>
    </w:rPr>
  </w:style>
  <w:style w:type="character" w:customStyle="1" w:styleId="Ttulo4Car">
    <w:name w:val="Título 4 Car"/>
    <w:basedOn w:val="Fuentedeprrafopredeter"/>
    <w:link w:val="Ttulo4"/>
    <w:uiPriority w:val="5"/>
    <w:rsid w:val="0083178F"/>
    <w:rPr>
      <w:rFonts w:eastAsiaTheme="majorEastAsia" w:cstheme="majorBidi"/>
      <w:bCs/>
      <w:iCs/>
    </w:rPr>
  </w:style>
  <w:style w:type="paragraph" w:styleId="Prrafodelista">
    <w:name w:val="List Paragraph"/>
    <w:basedOn w:val="Normal"/>
    <w:link w:val="PrrafodelistaCar"/>
    <w:uiPriority w:val="15"/>
    <w:qFormat/>
    <w:rsid w:val="0083178F"/>
    <w:pPr>
      <w:ind w:left="709"/>
    </w:pPr>
  </w:style>
  <w:style w:type="paragraph" w:customStyle="1" w:styleId="TextoNivel4">
    <w:name w:val="Texto Nivel 4"/>
    <w:basedOn w:val="Normal"/>
    <w:uiPriority w:val="8"/>
    <w:qFormat/>
    <w:rsid w:val="0083178F"/>
    <w:pPr>
      <w:ind w:left="709"/>
    </w:pPr>
  </w:style>
  <w:style w:type="character" w:customStyle="1" w:styleId="Ttulo5Car">
    <w:name w:val="Título 5 Car"/>
    <w:basedOn w:val="Fuentedeprrafopredeter"/>
    <w:link w:val="Ttulo5"/>
    <w:uiPriority w:val="6"/>
    <w:rsid w:val="0083178F"/>
    <w:rPr>
      <w:rFonts w:eastAsiaTheme="majorEastAsia" w:cstheme="majorBidi"/>
    </w:rPr>
  </w:style>
  <w:style w:type="paragraph" w:customStyle="1" w:styleId="Textonivel5">
    <w:name w:val="Texto nivel 5"/>
    <w:basedOn w:val="Normal"/>
    <w:uiPriority w:val="9"/>
    <w:qFormat/>
    <w:rsid w:val="0083178F"/>
    <w:pPr>
      <w:ind w:left="1134"/>
    </w:pPr>
  </w:style>
  <w:style w:type="paragraph" w:customStyle="1" w:styleId="Textonivel6">
    <w:name w:val="Texto nivel 6"/>
    <w:basedOn w:val="Normal"/>
    <w:uiPriority w:val="10"/>
    <w:qFormat/>
    <w:rsid w:val="0083178F"/>
    <w:pPr>
      <w:ind w:left="1701"/>
    </w:pPr>
  </w:style>
  <w:style w:type="character" w:customStyle="1" w:styleId="Ttulo6Car">
    <w:name w:val="Título 6 Car"/>
    <w:basedOn w:val="Fuentedeprrafopredeter"/>
    <w:link w:val="Ttulo6"/>
    <w:uiPriority w:val="7"/>
    <w:rsid w:val="0083178F"/>
    <w:rPr>
      <w:rFonts w:eastAsiaTheme="majorEastAsia" w:cstheme="majorBidi"/>
      <w:iCs/>
    </w:rPr>
  </w:style>
  <w:style w:type="numbering" w:customStyle="1" w:styleId="ListaUM1">
    <w:name w:val="Lista UM 1"/>
    <w:uiPriority w:val="99"/>
    <w:rsid w:val="0083178F"/>
    <w:pPr>
      <w:numPr>
        <w:numId w:val="1"/>
      </w:numPr>
    </w:pPr>
  </w:style>
  <w:style w:type="numbering" w:customStyle="1" w:styleId="ListaUM2">
    <w:name w:val="Lista UM 2"/>
    <w:uiPriority w:val="99"/>
    <w:rsid w:val="0083178F"/>
    <w:pPr>
      <w:numPr>
        <w:numId w:val="2"/>
      </w:numPr>
    </w:pPr>
  </w:style>
  <w:style w:type="paragraph" w:customStyle="1" w:styleId="Citas">
    <w:name w:val="Citas"/>
    <w:basedOn w:val="Normal"/>
    <w:next w:val="Normal"/>
    <w:uiPriority w:val="11"/>
    <w:qFormat/>
    <w:rsid w:val="0083178F"/>
    <w:pPr>
      <w:ind w:left="567" w:right="567"/>
    </w:pPr>
    <w:rPr>
      <w:i/>
    </w:rPr>
  </w:style>
  <w:style w:type="paragraph" w:styleId="Textonotapie">
    <w:name w:val="footnote text"/>
    <w:aliases w:val="Ref. de nota al pie1,sobrescrito"/>
    <w:basedOn w:val="Normal"/>
    <w:link w:val="TextonotapieCar"/>
    <w:unhideWhenUsed/>
    <w:qFormat/>
    <w:rsid w:val="0083178F"/>
    <w:pPr>
      <w:tabs>
        <w:tab w:val="left" w:pos="709"/>
      </w:tabs>
      <w:spacing w:before="60" w:after="60"/>
    </w:pPr>
    <w:rPr>
      <w:sz w:val="20"/>
    </w:rPr>
  </w:style>
  <w:style w:type="character" w:customStyle="1" w:styleId="TextonotapieCar">
    <w:name w:val="Texto nota pie Car"/>
    <w:aliases w:val="Ref. de nota al pie1 Car,sobrescrito Car"/>
    <w:basedOn w:val="Fuentedeprrafopredeter"/>
    <w:link w:val="Textonotapie"/>
    <w:uiPriority w:val="99"/>
    <w:qFormat/>
    <w:rsid w:val="0083178F"/>
    <w:rPr>
      <w:sz w:val="20"/>
    </w:rPr>
  </w:style>
  <w:style w:type="character" w:styleId="Refdenotaalpie">
    <w:name w:val="footnote reference"/>
    <w:basedOn w:val="Fuentedeprrafopredeter"/>
    <w:uiPriority w:val="99"/>
    <w:unhideWhenUsed/>
    <w:qFormat/>
    <w:rsid w:val="0083178F"/>
    <w:rPr>
      <w:vertAlign w:val="superscript"/>
    </w:rPr>
  </w:style>
  <w:style w:type="table" w:styleId="Tablaconcuadrcula">
    <w:name w:val="Table Grid"/>
    <w:basedOn w:val="Tablanormal"/>
    <w:uiPriority w:val="59"/>
    <w:rsid w:val="008317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UM">
    <w:name w:val="Tabla UM"/>
    <w:basedOn w:val="Tablanormal"/>
    <w:uiPriority w:val="99"/>
    <w:qFormat/>
    <w:rsid w:val="0083178F"/>
    <w:pPr>
      <w:spacing w:before="60" w:after="60" w:line="240" w:lineRule="auto"/>
    </w:pPr>
    <w:rPr>
      <w:sz w:val="20"/>
    </w:rPr>
    <w:tblPr>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heme="minorHAnsi" w:hAnsiTheme="minorHAnsi"/>
        <w:b/>
        <w:sz w:val="20"/>
      </w:rPr>
      <w:tblPr/>
      <w:trPr>
        <w:tblHeader/>
      </w:trPr>
      <w:tcPr>
        <w:shd w:val="clear" w:color="auto" w:fill="D9D9D9" w:themeFill="background1" w:themeFillShade="D9"/>
      </w:tcPr>
    </w:tblStylePr>
  </w:style>
  <w:style w:type="paragraph" w:customStyle="1" w:styleId="Notaapiedetabla">
    <w:name w:val="Nota a pie de tabla"/>
    <w:basedOn w:val="Normal"/>
    <w:next w:val="Normal"/>
    <w:uiPriority w:val="12"/>
    <w:qFormat/>
    <w:rsid w:val="0083178F"/>
    <w:pPr>
      <w:spacing w:before="60" w:after="60"/>
    </w:pPr>
    <w:rPr>
      <w:sz w:val="20"/>
    </w:rPr>
  </w:style>
  <w:style w:type="paragraph" w:styleId="Encabezado">
    <w:name w:val="header"/>
    <w:basedOn w:val="Normal"/>
    <w:link w:val="EncabezadoCar"/>
    <w:uiPriority w:val="13"/>
    <w:unhideWhenUsed/>
    <w:rsid w:val="0083178F"/>
    <w:pPr>
      <w:tabs>
        <w:tab w:val="right" w:pos="8504"/>
      </w:tabs>
      <w:spacing w:before="0" w:after="0"/>
    </w:pPr>
    <w:rPr>
      <w:sz w:val="20"/>
    </w:rPr>
  </w:style>
  <w:style w:type="character" w:customStyle="1" w:styleId="EncabezadoCar">
    <w:name w:val="Encabezado Car"/>
    <w:basedOn w:val="Fuentedeprrafopredeter"/>
    <w:link w:val="Encabezado"/>
    <w:uiPriority w:val="13"/>
    <w:rsid w:val="0083178F"/>
    <w:rPr>
      <w:sz w:val="20"/>
    </w:rPr>
  </w:style>
  <w:style w:type="paragraph" w:styleId="Piedepgina">
    <w:name w:val="footer"/>
    <w:basedOn w:val="Normal"/>
    <w:link w:val="PiedepginaCar"/>
    <w:uiPriority w:val="14"/>
    <w:unhideWhenUsed/>
    <w:rsid w:val="0083178F"/>
    <w:pPr>
      <w:tabs>
        <w:tab w:val="right" w:pos="9072"/>
      </w:tabs>
      <w:spacing w:before="0" w:after="0"/>
    </w:pPr>
    <w:rPr>
      <w:sz w:val="16"/>
    </w:rPr>
  </w:style>
  <w:style w:type="character" w:customStyle="1" w:styleId="PiedepginaCar">
    <w:name w:val="Pie de página Car"/>
    <w:basedOn w:val="Fuentedeprrafopredeter"/>
    <w:link w:val="Piedepgina"/>
    <w:uiPriority w:val="14"/>
    <w:rsid w:val="0083178F"/>
    <w:rPr>
      <w:sz w:val="16"/>
    </w:rPr>
  </w:style>
  <w:style w:type="paragraph" w:styleId="Textodeglobo">
    <w:name w:val="Balloon Text"/>
    <w:basedOn w:val="Normal"/>
    <w:link w:val="TextodegloboCar"/>
    <w:uiPriority w:val="99"/>
    <w:semiHidden/>
    <w:unhideWhenUsed/>
    <w:rsid w:val="0083178F"/>
    <w:pPr>
      <w:spacing w:before="0"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178F"/>
    <w:rPr>
      <w:rFonts w:ascii="Tahoma" w:hAnsi="Tahoma" w:cs="Tahoma"/>
      <w:sz w:val="16"/>
      <w:szCs w:val="16"/>
    </w:rPr>
  </w:style>
  <w:style w:type="paragraph" w:styleId="TDC3">
    <w:name w:val="toc 3"/>
    <w:basedOn w:val="Normal"/>
    <w:next w:val="Normal"/>
    <w:autoRedefine/>
    <w:uiPriority w:val="39"/>
    <w:unhideWhenUsed/>
    <w:rsid w:val="00A758CC"/>
    <w:pPr>
      <w:tabs>
        <w:tab w:val="left" w:pos="709"/>
        <w:tab w:val="right" w:leader="dot" w:pos="9061"/>
      </w:tabs>
      <w:ind w:left="709" w:hanging="709"/>
    </w:pPr>
  </w:style>
  <w:style w:type="paragraph" w:styleId="TDC1">
    <w:name w:val="toc 1"/>
    <w:basedOn w:val="Normal"/>
    <w:next w:val="Normal"/>
    <w:autoRedefine/>
    <w:uiPriority w:val="39"/>
    <w:unhideWhenUsed/>
    <w:rsid w:val="0083178F"/>
    <w:pPr>
      <w:tabs>
        <w:tab w:val="left" w:pos="709"/>
        <w:tab w:val="right" w:leader="dot" w:pos="9061"/>
      </w:tabs>
      <w:ind w:left="709" w:hanging="709"/>
    </w:pPr>
    <w:rPr>
      <w:b/>
      <w:caps/>
    </w:rPr>
  </w:style>
  <w:style w:type="paragraph" w:styleId="TDC2">
    <w:name w:val="toc 2"/>
    <w:basedOn w:val="Normal"/>
    <w:next w:val="Normal"/>
    <w:autoRedefine/>
    <w:uiPriority w:val="39"/>
    <w:unhideWhenUsed/>
    <w:rsid w:val="00A758CC"/>
    <w:pPr>
      <w:tabs>
        <w:tab w:val="left" w:pos="709"/>
        <w:tab w:val="right" w:leader="dot" w:pos="9061"/>
      </w:tabs>
      <w:ind w:left="709" w:hanging="709"/>
    </w:pPr>
    <w:rPr>
      <w:smallCaps/>
    </w:rPr>
  </w:style>
  <w:style w:type="character" w:styleId="Hipervnculo">
    <w:name w:val="Hyperlink"/>
    <w:basedOn w:val="Fuentedeprrafopredeter"/>
    <w:uiPriority w:val="99"/>
    <w:unhideWhenUsed/>
    <w:rsid w:val="0083178F"/>
    <w:rPr>
      <w:color w:val="0303B7" w:themeColor="hyperlink"/>
      <w:u w:val="single"/>
    </w:rPr>
  </w:style>
  <w:style w:type="character" w:customStyle="1" w:styleId="Ttulo7Car">
    <w:name w:val="Título 7 Car"/>
    <w:basedOn w:val="Fuentedeprrafopredeter"/>
    <w:link w:val="Ttulo7"/>
    <w:uiPriority w:val="7"/>
    <w:semiHidden/>
    <w:rsid w:val="0083178F"/>
    <w:rPr>
      <w:rFonts w:asciiTheme="majorHAnsi" w:eastAsiaTheme="majorEastAsia" w:hAnsiTheme="majorHAnsi" w:cstheme="majorBidi"/>
      <w:i/>
      <w:iCs/>
      <w:color w:val="5B7080" w:themeColor="text1" w:themeTint="BF"/>
    </w:rPr>
  </w:style>
  <w:style w:type="numbering" w:customStyle="1" w:styleId="ListaUM3">
    <w:name w:val="Lista UM 3"/>
    <w:uiPriority w:val="99"/>
    <w:rsid w:val="0083178F"/>
    <w:pPr>
      <w:numPr>
        <w:numId w:val="3"/>
      </w:numPr>
    </w:pPr>
  </w:style>
  <w:style w:type="table" w:customStyle="1" w:styleId="TablaUMVerde">
    <w:name w:val="Tabla UM Verde"/>
    <w:basedOn w:val="Tablanormal"/>
    <w:uiPriority w:val="99"/>
    <w:rsid w:val="009A2C46"/>
    <w:pPr>
      <w:spacing w:before="60" w:after="60" w:line="240" w:lineRule="auto"/>
      <w:jc w:val="left"/>
    </w:pPr>
    <w:rPr>
      <w:sz w:val="20"/>
    </w:rPr>
    <w:tblPr>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jc w:val="center"/>
      </w:pPr>
      <w:rPr>
        <w:rFonts w:asciiTheme="minorHAnsi" w:hAnsiTheme="minorHAnsi"/>
        <w:b/>
        <w:i w:val="0"/>
        <w:color w:val="FFFFFF" w:themeColor="background1"/>
        <w:sz w:val="20"/>
      </w:rPr>
      <w:tblPr/>
      <w:tcPr>
        <w:shd w:val="clear" w:color="auto" w:fill="40C1AC" w:themeFill="background2"/>
      </w:tcPr>
    </w:tblStylePr>
  </w:style>
  <w:style w:type="table" w:customStyle="1" w:styleId="TablaUMAzul">
    <w:name w:val="Tabla UM Azul"/>
    <w:basedOn w:val="Tablanormal"/>
    <w:uiPriority w:val="99"/>
    <w:rsid w:val="0018192C"/>
    <w:pPr>
      <w:spacing w:before="60" w:after="60" w:line="240" w:lineRule="auto"/>
      <w:jc w:val="left"/>
    </w:pPr>
    <w:rPr>
      <w:sz w:val="20"/>
    </w:rPr>
    <w:tblPr>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wordWrap/>
        <w:spacing w:beforeLines="0" w:before="60" w:beforeAutospacing="0" w:afterLines="0" w:after="60" w:afterAutospacing="0"/>
        <w:jc w:val="center"/>
      </w:pPr>
      <w:rPr>
        <w:rFonts w:asciiTheme="minorHAnsi" w:hAnsiTheme="minorHAnsi"/>
        <w:b/>
        <w:i w:val="0"/>
        <w:color w:val="FFFFFF" w:themeColor="background1"/>
        <w:sz w:val="20"/>
      </w:rPr>
      <w:tblPr/>
      <w:tcPr>
        <w:shd w:val="clear" w:color="auto" w:fill="002855" w:themeFill="text2"/>
      </w:tcPr>
    </w:tblStylePr>
  </w:style>
  <w:style w:type="character" w:customStyle="1" w:styleId="PrrafodelistaCar">
    <w:name w:val="Párrafo de lista Car"/>
    <w:basedOn w:val="Fuentedeprrafopredeter"/>
    <w:link w:val="Prrafodelista"/>
    <w:uiPriority w:val="15"/>
    <w:rsid w:val="00E50CF1"/>
  </w:style>
  <w:style w:type="paragraph" w:customStyle="1" w:styleId="parrafo">
    <w:name w:val="parrafo"/>
    <w:basedOn w:val="Normal"/>
    <w:rsid w:val="003D2223"/>
    <w:pPr>
      <w:spacing w:before="100" w:beforeAutospacing="1" w:after="100" w:afterAutospacing="1" w:line="240" w:lineRule="auto"/>
      <w:jc w:val="left"/>
    </w:pPr>
    <w:rPr>
      <w:rFonts w:ascii="Times New Roman" w:eastAsia="Times New Roman" w:hAnsi="Times New Roman" w:cs="Times New Roman"/>
      <w:lang w:eastAsia="es-ES"/>
    </w:rPr>
  </w:style>
  <w:style w:type="paragraph" w:styleId="Textonotaalfinal">
    <w:name w:val="endnote text"/>
    <w:basedOn w:val="Normal"/>
    <w:link w:val="TextonotaalfinalCar"/>
    <w:uiPriority w:val="99"/>
    <w:semiHidden/>
    <w:unhideWhenUsed/>
    <w:rsid w:val="000721CC"/>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0721CC"/>
    <w:rPr>
      <w:sz w:val="20"/>
      <w:szCs w:val="20"/>
    </w:rPr>
  </w:style>
  <w:style w:type="character" w:styleId="Refdenotaalfinal">
    <w:name w:val="endnote reference"/>
    <w:basedOn w:val="Fuentedeprrafopredeter"/>
    <w:uiPriority w:val="99"/>
    <w:semiHidden/>
    <w:unhideWhenUsed/>
    <w:rsid w:val="000721CC"/>
    <w:rPr>
      <w:vertAlign w:val="superscript"/>
    </w:rPr>
  </w:style>
  <w:style w:type="character" w:styleId="Refdecomentario">
    <w:name w:val="annotation reference"/>
    <w:basedOn w:val="Fuentedeprrafopredeter"/>
    <w:uiPriority w:val="99"/>
    <w:semiHidden/>
    <w:unhideWhenUsed/>
    <w:rsid w:val="00352DE1"/>
    <w:rPr>
      <w:sz w:val="16"/>
      <w:szCs w:val="16"/>
    </w:rPr>
  </w:style>
  <w:style w:type="paragraph" w:styleId="Textocomentario">
    <w:name w:val="annotation text"/>
    <w:basedOn w:val="Normal"/>
    <w:link w:val="TextocomentarioCar"/>
    <w:uiPriority w:val="99"/>
    <w:semiHidden/>
    <w:unhideWhenUsed/>
    <w:rsid w:val="00352DE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52DE1"/>
    <w:rPr>
      <w:sz w:val="20"/>
      <w:szCs w:val="20"/>
    </w:rPr>
  </w:style>
  <w:style w:type="paragraph" w:styleId="Asuntodelcomentario">
    <w:name w:val="annotation subject"/>
    <w:basedOn w:val="Textocomentario"/>
    <w:next w:val="Textocomentario"/>
    <w:link w:val="AsuntodelcomentarioCar"/>
    <w:uiPriority w:val="99"/>
    <w:semiHidden/>
    <w:unhideWhenUsed/>
    <w:rsid w:val="00352DE1"/>
    <w:rPr>
      <w:b/>
      <w:bCs/>
    </w:rPr>
  </w:style>
  <w:style w:type="character" w:customStyle="1" w:styleId="AsuntodelcomentarioCar">
    <w:name w:val="Asunto del comentario Car"/>
    <w:basedOn w:val="TextocomentarioCar"/>
    <w:link w:val="Asuntodelcomentario"/>
    <w:uiPriority w:val="99"/>
    <w:semiHidden/>
    <w:rsid w:val="00352DE1"/>
    <w:rPr>
      <w:b/>
      <w:bCs/>
      <w:sz w:val="20"/>
      <w:szCs w:val="20"/>
    </w:rPr>
  </w:style>
  <w:style w:type="paragraph" w:customStyle="1" w:styleId="a">
    <w:name w:val="a"/>
    <w:basedOn w:val="Normal"/>
    <w:rsid w:val="00612D84"/>
    <w:pPr>
      <w:spacing w:before="100" w:beforeAutospacing="1" w:after="100" w:afterAutospacing="1" w:line="240" w:lineRule="auto"/>
      <w:jc w:val="left"/>
    </w:pPr>
    <w:rPr>
      <w:rFonts w:ascii="Times New Roman" w:eastAsia="Times New Roman" w:hAnsi="Times New Roman" w:cs="Times New Roman"/>
      <w:lang w:eastAsia="es-ES"/>
    </w:rPr>
  </w:style>
  <w:style w:type="character" w:styleId="nfasis">
    <w:name w:val="Emphasis"/>
    <w:basedOn w:val="Fuentedeprrafopredeter"/>
    <w:uiPriority w:val="20"/>
    <w:qFormat/>
    <w:rsid w:val="00612D84"/>
    <w:rPr>
      <w:i/>
      <w:iCs/>
    </w:rPr>
  </w:style>
  <w:style w:type="paragraph" w:styleId="NormalWeb">
    <w:name w:val="Normal (Web)"/>
    <w:basedOn w:val="Normal"/>
    <w:uiPriority w:val="99"/>
    <w:semiHidden/>
    <w:unhideWhenUsed/>
    <w:rsid w:val="00612D84"/>
    <w:pPr>
      <w:spacing w:before="100" w:beforeAutospacing="1" w:after="100" w:afterAutospacing="1" w:line="240" w:lineRule="auto"/>
      <w:jc w:val="left"/>
    </w:pPr>
    <w:rPr>
      <w:rFonts w:ascii="Times New Roman" w:eastAsia="Times New Roman" w:hAnsi="Times New Roman" w:cs="Times New Roman"/>
      <w:lang w:eastAsia="es-ES"/>
    </w:rPr>
  </w:style>
  <w:style w:type="character" w:styleId="Textodelmarcadordeposicin">
    <w:name w:val="Placeholder Text"/>
    <w:basedOn w:val="Fuentedeprrafopredeter"/>
    <w:uiPriority w:val="99"/>
    <w:semiHidden/>
    <w:rsid w:val="002D0C33"/>
    <w:rPr>
      <w:color w:val="808080"/>
    </w:rPr>
  </w:style>
  <w:style w:type="character" w:styleId="Hipervnculovisitado">
    <w:name w:val="FollowedHyperlink"/>
    <w:basedOn w:val="Fuentedeprrafopredeter"/>
    <w:uiPriority w:val="99"/>
    <w:semiHidden/>
    <w:unhideWhenUsed/>
    <w:rsid w:val="002B3523"/>
    <w:rPr>
      <w:color w:val="7030A0" w:themeColor="followedHyperlink"/>
      <w:u w:val="single"/>
    </w:rPr>
  </w:style>
  <w:style w:type="paragraph" w:styleId="Revisin">
    <w:name w:val="Revision"/>
    <w:hidden/>
    <w:uiPriority w:val="99"/>
    <w:semiHidden/>
    <w:rsid w:val="0009497F"/>
    <w:pPr>
      <w:spacing w:before="0" w:after="0" w:line="240" w:lineRule="auto"/>
      <w:jc w:val="left"/>
    </w:pPr>
  </w:style>
  <w:style w:type="character" w:customStyle="1" w:styleId="Mencinsinresolver1">
    <w:name w:val="Mención sin resolver1"/>
    <w:basedOn w:val="Fuentedeprrafopredeter"/>
    <w:uiPriority w:val="99"/>
    <w:semiHidden/>
    <w:unhideWhenUsed/>
    <w:rsid w:val="00C55610"/>
    <w:rPr>
      <w:color w:val="605E5C"/>
      <w:shd w:val="clear" w:color="auto" w:fill="E1DFDD"/>
    </w:rPr>
  </w:style>
  <w:style w:type="character" w:customStyle="1" w:styleId="highlight">
    <w:name w:val="highlight"/>
    <w:basedOn w:val="Fuentedeprrafopredeter"/>
    <w:rsid w:val="00230BAD"/>
  </w:style>
  <w:style w:type="character" w:customStyle="1" w:styleId="TextonotapieCar1">
    <w:name w:val="Texto nota pie Car1"/>
    <w:aliases w:val="Ref. de nota al pie1 Car1,sobrescrito Car1"/>
    <w:basedOn w:val="Fuentedeprrafopredeter"/>
    <w:uiPriority w:val="99"/>
    <w:rsid w:val="000B452D"/>
    <w:rPr>
      <w:rFonts w:ascii="Times New Roman" w:eastAsia="Times New Roman" w:hAnsi="Times New Roman" w:cs="Times New Roman"/>
      <w:lang w:val="es-ES"/>
    </w:rPr>
  </w:style>
  <w:style w:type="paragraph" w:customStyle="1" w:styleId="parrafo1">
    <w:name w:val="parrafo1"/>
    <w:basedOn w:val="Sangradetextonormal"/>
    <w:rsid w:val="00D878F3"/>
    <w:pPr>
      <w:suppressAutoHyphens/>
      <w:spacing w:line="240" w:lineRule="auto"/>
      <w:ind w:left="0"/>
    </w:pPr>
    <w:rPr>
      <w:rFonts w:ascii="Times New Roman" w:eastAsia="Times New Roman" w:hAnsi="Times New Roman" w:cs="Times New Roman"/>
      <w:szCs w:val="20"/>
      <w:lang w:eastAsia="ar-SA"/>
    </w:rPr>
  </w:style>
  <w:style w:type="paragraph" w:styleId="Sangradetextonormal">
    <w:name w:val="Body Text Indent"/>
    <w:basedOn w:val="Normal"/>
    <w:link w:val="SangradetextonormalCar"/>
    <w:uiPriority w:val="99"/>
    <w:semiHidden/>
    <w:unhideWhenUsed/>
    <w:rsid w:val="00D878F3"/>
    <w:pPr>
      <w:ind w:left="283"/>
    </w:pPr>
  </w:style>
  <w:style w:type="character" w:customStyle="1" w:styleId="SangradetextonormalCar">
    <w:name w:val="Sangría de texto normal Car"/>
    <w:basedOn w:val="Fuentedeprrafopredeter"/>
    <w:link w:val="Sangradetextonormal"/>
    <w:uiPriority w:val="99"/>
    <w:semiHidden/>
    <w:rsid w:val="00D878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30484">
      <w:bodyDiv w:val="1"/>
      <w:marLeft w:val="0"/>
      <w:marRight w:val="0"/>
      <w:marTop w:val="0"/>
      <w:marBottom w:val="0"/>
      <w:divBdr>
        <w:top w:val="none" w:sz="0" w:space="0" w:color="auto"/>
        <w:left w:val="none" w:sz="0" w:space="0" w:color="auto"/>
        <w:bottom w:val="none" w:sz="0" w:space="0" w:color="auto"/>
        <w:right w:val="none" w:sz="0" w:space="0" w:color="auto"/>
      </w:divBdr>
    </w:div>
    <w:div w:id="44180490">
      <w:bodyDiv w:val="1"/>
      <w:marLeft w:val="0"/>
      <w:marRight w:val="0"/>
      <w:marTop w:val="0"/>
      <w:marBottom w:val="0"/>
      <w:divBdr>
        <w:top w:val="none" w:sz="0" w:space="0" w:color="auto"/>
        <w:left w:val="none" w:sz="0" w:space="0" w:color="auto"/>
        <w:bottom w:val="none" w:sz="0" w:space="0" w:color="auto"/>
        <w:right w:val="none" w:sz="0" w:space="0" w:color="auto"/>
      </w:divBdr>
      <w:divsChild>
        <w:div w:id="1384328816">
          <w:marLeft w:val="0"/>
          <w:marRight w:val="0"/>
          <w:marTop w:val="0"/>
          <w:marBottom w:val="0"/>
          <w:divBdr>
            <w:top w:val="none" w:sz="0" w:space="0" w:color="auto"/>
            <w:left w:val="none" w:sz="0" w:space="0" w:color="auto"/>
            <w:bottom w:val="none" w:sz="0" w:space="0" w:color="auto"/>
            <w:right w:val="none" w:sz="0" w:space="0" w:color="auto"/>
          </w:divBdr>
          <w:divsChild>
            <w:div w:id="582491557">
              <w:marLeft w:val="0"/>
              <w:marRight w:val="0"/>
              <w:marTop w:val="0"/>
              <w:marBottom w:val="0"/>
              <w:divBdr>
                <w:top w:val="none" w:sz="0" w:space="0" w:color="auto"/>
                <w:left w:val="none" w:sz="0" w:space="0" w:color="auto"/>
                <w:bottom w:val="none" w:sz="0" w:space="0" w:color="auto"/>
                <w:right w:val="none" w:sz="0" w:space="0" w:color="auto"/>
              </w:divBdr>
              <w:divsChild>
                <w:div w:id="1168903573">
                  <w:marLeft w:val="0"/>
                  <w:marRight w:val="0"/>
                  <w:marTop w:val="0"/>
                  <w:marBottom w:val="0"/>
                  <w:divBdr>
                    <w:top w:val="none" w:sz="0" w:space="0" w:color="auto"/>
                    <w:left w:val="none" w:sz="0" w:space="0" w:color="auto"/>
                    <w:bottom w:val="none" w:sz="0" w:space="0" w:color="auto"/>
                    <w:right w:val="none" w:sz="0" w:space="0" w:color="auto"/>
                  </w:divBdr>
                  <w:divsChild>
                    <w:div w:id="1021861022">
                      <w:marLeft w:val="0"/>
                      <w:marRight w:val="0"/>
                      <w:marTop w:val="0"/>
                      <w:marBottom w:val="0"/>
                      <w:divBdr>
                        <w:top w:val="none" w:sz="0" w:space="0" w:color="auto"/>
                        <w:left w:val="none" w:sz="0" w:space="0" w:color="auto"/>
                        <w:bottom w:val="none" w:sz="0" w:space="0" w:color="auto"/>
                        <w:right w:val="none" w:sz="0" w:space="0" w:color="auto"/>
                      </w:divBdr>
                      <w:divsChild>
                        <w:div w:id="73107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40430">
      <w:bodyDiv w:val="1"/>
      <w:marLeft w:val="0"/>
      <w:marRight w:val="0"/>
      <w:marTop w:val="0"/>
      <w:marBottom w:val="0"/>
      <w:divBdr>
        <w:top w:val="none" w:sz="0" w:space="0" w:color="auto"/>
        <w:left w:val="none" w:sz="0" w:space="0" w:color="auto"/>
        <w:bottom w:val="none" w:sz="0" w:space="0" w:color="auto"/>
        <w:right w:val="none" w:sz="0" w:space="0" w:color="auto"/>
      </w:divBdr>
    </w:div>
    <w:div w:id="240873644">
      <w:bodyDiv w:val="1"/>
      <w:marLeft w:val="0"/>
      <w:marRight w:val="0"/>
      <w:marTop w:val="0"/>
      <w:marBottom w:val="0"/>
      <w:divBdr>
        <w:top w:val="none" w:sz="0" w:space="0" w:color="auto"/>
        <w:left w:val="none" w:sz="0" w:space="0" w:color="auto"/>
        <w:bottom w:val="none" w:sz="0" w:space="0" w:color="auto"/>
        <w:right w:val="none" w:sz="0" w:space="0" w:color="auto"/>
      </w:divBdr>
      <w:divsChild>
        <w:div w:id="190266349">
          <w:marLeft w:val="0"/>
          <w:marRight w:val="0"/>
          <w:marTop w:val="0"/>
          <w:marBottom w:val="0"/>
          <w:divBdr>
            <w:top w:val="none" w:sz="0" w:space="0" w:color="auto"/>
            <w:left w:val="none" w:sz="0" w:space="0" w:color="auto"/>
            <w:bottom w:val="none" w:sz="0" w:space="0" w:color="auto"/>
            <w:right w:val="none" w:sz="0" w:space="0" w:color="auto"/>
          </w:divBdr>
          <w:divsChild>
            <w:div w:id="222252635">
              <w:marLeft w:val="0"/>
              <w:marRight w:val="0"/>
              <w:marTop w:val="0"/>
              <w:marBottom w:val="0"/>
              <w:divBdr>
                <w:top w:val="none" w:sz="0" w:space="0" w:color="auto"/>
                <w:left w:val="none" w:sz="0" w:space="0" w:color="auto"/>
                <w:bottom w:val="none" w:sz="0" w:space="0" w:color="auto"/>
                <w:right w:val="none" w:sz="0" w:space="0" w:color="auto"/>
              </w:divBdr>
              <w:divsChild>
                <w:div w:id="1380519140">
                  <w:marLeft w:val="0"/>
                  <w:marRight w:val="0"/>
                  <w:marTop w:val="0"/>
                  <w:marBottom w:val="0"/>
                  <w:divBdr>
                    <w:top w:val="none" w:sz="0" w:space="0" w:color="auto"/>
                    <w:left w:val="none" w:sz="0" w:space="0" w:color="auto"/>
                    <w:bottom w:val="none" w:sz="0" w:space="0" w:color="auto"/>
                    <w:right w:val="none" w:sz="0" w:space="0" w:color="auto"/>
                  </w:divBdr>
                  <w:divsChild>
                    <w:div w:id="103076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778866">
      <w:bodyDiv w:val="1"/>
      <w:marLeft w:val="0"/>
      <w:marRight w:val="0"/>
      <w:marTop w:val="0"/>
      <w:marBottom w:val="0"/>
      <w:divBdr>
        <w:top w:val="none" w:sz="0" w:space="0" w:color="auto"/>
        <w:left w:val="none" w:sz="0" w:space="0" w:color="auto"/>
        <w:bottom w:val="none" w:sz="0" w:space="0" w:color="auto"/>
        <w:right w:val="none" w:sz="0" w:space="0" w:color="auto"/>
      </w:divBdr>
    </w:div>
    <w:div w:id="409816790">
      <w:bodyDiv w:val="1"/>
      <w:marLeft w:val="0"/>
      <w:marRight w:val="0"/>
      <w:marTop w:val="0"/>
      <w:marBottom w:val="0"/>
      <w:divBdr>
        <w:top w:val="none" w:sz="0" w:space="0" w:color="auto"/>
        <w:left w:val="none" w:sz="0" w:space="0" w:color="auto"/>
        <w:bottom w:val="none" w:sz="0" w:space="0" w:color="auto"/>
        <w:right w:val="none" w:sz="0" w:space="0" w:color="auto"/>
      </w:divBdr>
    </w:div>
    <w:div w:id="434636329">
      <w:bodyDiv w:val="1"/>
      <w:marLeft w:val="0"/>
      <w:marRight w:val="0"/>
      <w:marTop w:val="0"/>
      <w:marBottom w:val="0"/>
      <w:divBdr>
        <w:top w:val="none" w:sz="0" w:space="0" w:color="auto"/>
        <w:left w:val="none" w:sz="0" w:space="0" w:color="auto"/>
        <w:bottom w:val="none" w:sz="0" w:space="0" w:color="auto"/>
        <w:right w:val="none" w:sz="0" w:space="0" w:color="auto"/>
      </w:divBdr>
    </w:div>
    <w:div w:id="495533819">
      <w:bodyDiv w:val="1"/>
      <w:marLeft w:val="0"/>
      <w:marRight w:val="0"/>
      <w:marTop w:val="0"/>
      <w:marBottom w:val="0"/>
      <w:divBdr>
        <w:top w:val="none" w:sz="0" w:space="0" w:color="auto"/>
        <w:left w:val="none" w:sz="0" w:space="0" w:color="auto"/>
        <w:bottom w:val="none" w:sz="0" w:space="0" w:color="auto"/>
        <w:right w:val="none" w:sz="0" w:space="0" w:color="auto"/>
      </w:divBdr>
    </w:div>
    <w:div w:id="503859971">
      <w:bodyDiv w:val="1"/>
      <w:marLeft w:val="0"/>
      <w:marRight w:val="0"/>
      <w:marTop w:val="0"/>
      <w:marBottom w:val="0"/>
      <w:divBdr>
        <w:top w:val="none" w:sz="0" w:space="0" w:color="auto"/>
        <w:left w:val="none" w:sz="0" w:space="0" w:color="auto"/>
        <w:bottom w:val="none" w:sz="0" w:space="0" w:color="auto"/>
        <w:right w:val="none" w:sz="0" w:space="0" w:color="auto"/>
      </w:divBdr>
    </w:div>
    <w:div w:id="539559718">
      <w:bodyDiv w:val="1"/>
      <w:marLeft w:val="0"/>
      <w:marRight w:val="0"/>
      <w:marTop w:val="0"/>
      <w:marBottom w:val="0"/>
      <w:divBdr>
        <w:top w:val="none" w:sz="0" w:space="0" w:color="auto"/>
        <w:left w:val="none" w:sz="0" w:space="0" w:color="auto"/>
        <w:bottom w:val="none" w:sz="0" w:space="0" w:color="auto"/>
        <w:right w:val="none" w:sz="0" w:space="0" w:color="auto"/>
      </w:divBdr>
    </w:div>
    <w:div w:id="560674422">
      <w:bodyDiv w:val="1"/>
      <w:marLeft w:val="0"/>
      <w:marRight w:val="0"/>
      <w:marTop w:val="0"/>
      <w:marBottom w:val="0"/>
      <w:divBdr>
        <w:top w:val="none" w:sz="0" w:space="0" w:color="auto"/>
        <w:left w:val="none" w:sz="0" w:space="0" w:color="auto"/>
        <w:bottom w:val="none" w:sz="0" w:space="0" w:color="auto"/>
        <w:right w:val="none" w:sz="0" w:space="0" w:color="auto"/>
      </w:divBdr>
      <w:divsChild>
        <w:div w:id="316106803">
          <w:marLeft w:val="0"/>
          <w:marRight w:val="0"/>
          <w:marTop w:val="0"/>
          <w:marBottom w:val="0"/>
          <w:divBdr>
            <w:top w:val="none" w:sz="0" w:space="0" w:color="auto"/>
            <w:left w:val="none" w:sz="0" w:space="0" w:color="auto"/>
            <w:bottom w:val="none" w:sz="0" w:space="0" w:color="auto"/>
            <w:right w:val="none" w:sz="0" w:space="0" w:color="auto"/>
          </w:divBdr>
          <w:divsChild>
            <w:div w:id="793132173">
              <w:marLeft w:val="0"/>
              <w:marRight w:val="0"/>
              <w:marTop w:val="0"/>
              <w:marBottom w:val="0"/>
              <w:divBdr>
                <w:top w:val="none" w:sz="0" w:space="0" w:color="auto"/>
                <w:left w:val="none" w:sz="0" w:space="0" w:color="auto"/>
                <w:bottom w:val="none" w:sz="0" w:space="0" w:color="auto"/>
                <w:right w:val="none" w:sz="0" w:space="0" w:color="auto"/>
              </w:divBdr>
              <w:divsChild>
                <w:div w:id="462886908">
                  <w:marLeft w:val="0"/>
                  <w:marRight w:val="0"/>
                  <w:marTop w:val="0"/>
                  <w:marBottom w:val="0"/>
                  <w:divBdr>
                    <w:top w:val="none" w:sz="0" w:space="0" w:color="auto"/>
                    <w:left w:val="none" w:sz="0" w:space="0" w:color="auto"/>
                    <w:bottom w:val="none" w:sz="0" w:space="0" w:color="auto"/>
                    <w:right w:val="none" w:sz="0" w:space="0" w:color="auto"/>
                  </w:divBdr>
                  <w:divsChild>
                    <w:div w:id="16902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970253">
      <w:bodyDiv w:val="1"/>
      <w:marLeft w:val="0"/>
      <w:marRight w:val="0"/>
      <w:marTop w:val="0"/>
      <w:marBottom w:val="0"/>
      <w:divBdr>
        <w:top w:val="none" w:sz="0" w:space="0" w:color="auto"/>
        <w:left w:val="none" w:sz="0" w:space="0" w:color="auto"/>
        <w:bottom w:val="none" w:sz="0" w:space="0" w:color="auto"/>
        <w:right w:val="none" w:sz="0" w:space="0" w:color="auto"/>
      </w:divBdr>
    </w:div>
    <w:div w:id="644631028">
      <w:bodyDiv w:val="1"/>
      <w:marLeft w:val="0"/>
      <w:marRight w:val="0"/>
      <w:marTop w:val="0"/>
      <w:marBottom w:val="0"/>
      <w:divBdr>
        <w:top w:val="none" w:sz="0" w:space="0" w:color="auto"/>
        <w:left w:val="none" w:sz="0" w:space="0" w:color="auto"/>
        <w:bottom w:val="none" w:sz="0" w:space="0" w:color="auto"/>
        <w:right w:val="none" w:sz="0" w:space="0" w:color="auto"/>
      </w:divBdr>
    </w:div>
    <w:div w:id="668290700">
      <w:bodyDiv w:val="1"/>
      <w:marLeft w:val="0"/>
      <w:marRight w:val="0"/>
      <w:marTop w:val="0"/>
      <w:marBottom w:val="0"/>
      <w:divBdr>
        <w:top w:val="none" w:sz="0" w:space="0" w:color="auto"/>
        <w:left w:val="none" w:sz="0" w:space="0" w:color="auto"/>
        <w:bottom w:val="none" w:sz="0" w:space="0" w:color="auto"/>
        <w:right w:val="none" w:sz="0" w:space="0" w:color="auto"/>
      </w:divBdr>
    </w:div>
    <w:div w:id="676886242">
      <w:bodyDiv w:val="1"/>
      <w:marLeft w:val="0"/>
      <w:marRight w:val="0"/>
      <w:marTop w:val="0"/>
      <w:marBottom w:val="0"/>
      <w:divBdr>
        <w:top w:val="none" w:sz="0" w:space="0" w:color="auto"/>
        <w:left w:val="none" w:sz="0" w:space="0" w:color="auto"/>
        <w:bottom w:val="none" w:sz="0" w:space="0" w:color="auto"/>
        <w:right w:val="none" w:sz="0" w:space="0" w:color="auto"/>
      </w:divBdr>
    </w:div>
    <w:div w:id="811407346">
      <w:bodyDiv w:val="1"/>
      <w:marLeft w:val="0"/>
      <w:marRight w:val="0"/>
      <w:marTop w:val="0"/>
      <w:marBottom w:val="0"/>
      <w:divBdr>
        <w:top w:val="none" w:sz="0" w:space="0" w:color="auto"/>
        <w:left w:val="none" w:sz="0" w:space="0" w:color="auto"/>
        <w:bottom w:val="none" w:sz="0" w:space="0" w:color="auto"/>
        <w:right w:val="none" w:sz="0" w:space="0" w:color="auto"/>
      </w:divBdr>
    </w:div>
    <w:div w:id="868878942">
      <w:bodyDiv w:val="1"/>
      <w:marLeft w:val="0"/>
      <w:marRight w:val="0"/>
      <w:marTop w:val="0"/>
      <w:marBottom w:val="0"/>
      <w:divBdr>
        <w:top w:val="none" w:sz="0" w:space="0" w:color="auto"/>
        <w:left w:val="none" w:sz="0" w:space="0" w:color="auto"/>
        <w:bottom w:val="none" w:sz="0" w:space="0" w:color="auto"/>
        <w:right w:val="none" w:sz="0" w:space="0" w:color="auto"/>
      </w:divBdr>
    </w:div>
    <w:div w:id="921182875">
      <w:bodyDiv w:val="1"/>
      <w:marLeft w:val="0"/>
      <w:marRight w:val="0"/>
      <w:marTop w:val="0"/>
      <w:marBottom w:val="0"/>
      <w:divBdr>
        <w:top w:val="none" w:sz="0" w:space="0" w:color="auto"/>
        <w:left w:val="none" w:sz="0" w:space="0" w:color="auto"/>
        <w:bottom w:val="none" w:sz="0" w:space="0" w:color="auto"/>
        <w:right w:val="none" w:sz="0" w:space="0" w:color="auto"/>
      </w:divBdr>
      <w:divsChild>
        <w:div w:id="955254105">
          <w:marLeft w:val="0"/>
          <w:marRight w:val="0"/>
          <w:marTop w:val="0"/>
          <w:marBottom w:val="0"/>
          <w:divBdr>
            <w:top w:val="none" w:sz="0" w:space="0" w:color="auto"/>
            <w:left w:val="none" w:sz="0" w:space="0" w:color="auto"/>
            <w:bottom w:val="none" w:sz="0" w:space="0" w:color="auto"/>
            <w:right w:val="none" w:sz="0" w:space="0" w:color="auto"/>
          </w:divBdr>
          <w:divsChild>
            <w:div w:id="966162378">
              <w:marLeft w:val="0"/>
              <w:marRight w:val="0"/>
              <w:marTop w:val="0"/>
              <w:marBottom w:val="0"/>
              <w:divBdr>
                <w:top w:val="none" w:sz="0" w:space="0" w:color="auto"/>
                <w:left w:val="none" w:sz="0" w:space="0" w:color="auto"/>
                <w:bottom w:val="none" w:sz="0" w:space="0" w:color="auto"/>
                <w:right w:val="none" w:sz="0" w:space="0" w:color="auto"/>
              </w:divBdr>
              <w:divsChild>
                <w:div w:id="1812139637">
                  <w:marLeft w:val="0"/>
                  <w:marRight w:val="0"/>
                  <w:marTop w:val="0"/>
                  <w:marBottom w:val="0"/>
                  <w:divBdr>
                    <w:top w:val="none" w:sz="0" w:space="0" w:color="auto"/>
                    <w:left w:val="none" w:sz="0" w:space="0" w:color="auto"/>
                    <w:bottom w:val="none" w:sz="0" w:space="0" w:color="auto"/>
                    <w:right w:val="none" w:sz="0" w:space="0" w:color="auto"/>
                  </w:divBdr>
                  <w:divsChild>
                    <w:div w:id="1437291879">
                      <w:marLeft w:val="0"/>
                      <w:marRight w:val="0"/>
                      <w:marTop w:val="0"/>
                      <w:marBottom w:val="0"/>
                      <w:divBdr>
                        <w:top w:val="none" w:sz="0" w:space="0" w:color="auto"/>
                        <w:left w:val="none" w:sz="0" w:space="0" w:color="auto"/>
                        <w:bottom w:val="none" w:sz="0" w:space="0" w:color="auto"/>
                        <w:right w:val="none" w:sz="0" w:space="0" w:color="auto"/>
                      </w:divBdr>
                      <w:divsChild>
                        <w:div w:id="34336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726744">
      <w:bodyDiv w:val="1"/>
      <w:marLeft w:val="0"/>
      <w:marRight w:val="0"/>
      <w:marTop w:val="0"/>
      <w:marBottom w:val="0"/>
      <w:divBdr>
        <w:top w:val="none" w:sz="0" w:space="0" w:color="auto"/>
        <w:left w:val="none" w:sz="0" w:space="0" w:color="auto"/>
        <w:bottom w:val="none" w:sz="0" w:space="0" w:color="auto"/>
        <w:right w:val="none" w:sz="0" w:space="0" w:color="auto"/>
      </w:divBdr>
    </w:div>
    <w:div w:id="1052266298">
      <w:bodyDiv w:val="1"/>
      <w:marLeft w:val="0"/>
      <w:marRight w:val="0"/>
      <w:marTop w:val="0"/>
      <w:marBottom w:val="0"/>
      <w:divBdr>
        <w:top w:val="none" w:sz="0" w:space="0" w:color="auto"/>
        <w:left w:val="none" w:sz="0" w:space="0" w:color="auto"/>
        <w:bottom w:val="none" w:sz="0" w:space="0" w:color="auto"/>
        <w:right w:val="none" w:sz="0" w:space="0" w:color="auto"/>
      </w:divBdr>
    </w:div>
    <w:div w:id="1101223145">
      <w:bodyDiv w:val="1"/>
      <w:marLeft w:val="0"/>
      <w:marRight w:val="0"/>
      <w:marTop w:val="0"/>
      <w:marBottom w:val="0"/>
      <w:divBdr>
        <w:top w:val="none" w:sz="0" w:space="0" w:color="auto"/>
        <w:left w:val="none" w:sz="0" w:space="0" w:color="auto"/>
        <w:bottom w:val="none" w:sz="0" w:space="0" w:color="auto"/>
        <w:right w:val="none" w:sz="0" w:space="0" w:color="auto"/>
      </w:divBdr>
      <w:divsChild>
        <w:div w:id="1880388101">
          <w:marLeft w:val="0"/>
          <w:marRight w:val="0"/>
          <w:marTop w:val="0"/>
          <w:marBottom w:val="0"/>
          <w:divBdr>
            <w:top w:val="none" w:sz="0" w:space="0" w:color="auto"/>
            <w:left w:val="none" w:sz="0" w:space="0" w:color="auto"/>
            <w:bottom w:val="none" w:sz="0" w:space="0" w:color="auto"/>
            <w:right w:val="none" w:sz="0" w:space="0" w:color="auto"/>
          </w:divBdr>
          <w:divsChild>
            <w:div w:id="157815412">
              <w:marLeft w:val="0"/>
              <w:marRight w:val="0"/>
              <w:marTop w:val="0"/>
              <w:marBottom w:val="0"/>
              <w:divBdr>
                <w:top w:val="none" w:sz="0" w:space="0" w:color="auto"/>
                <w:left w:val="none" w:sz="0" w:space="0" w:color="auto"/>
                <w:bottom w:val="none" w:sz="0" w:space="0" w:color="auto"/>
                <w:right w:val="none" w:sz="0" w:space="0" w:color="auto"/>
              </w:divBdr>
              <w:divsChild>
                <w:div w:id="132038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374670">
      <w:bodyDiv w:val="1"/>
      <w:marLeft w:val="0"/>
      <w:marRight w:val="0"/>
      <w:marTop w:val="0"/>
      <w:marBottom w:val="0"/>
      <w:divBdr>
        <w:top w:val="none" w:sz="0" w:space="0" w:color="auto"/>
        <w:left w:val="none" w:sz="0" w:space="0" w:color="auto"/>
        <w:bottom w:val="none" w:sz="0" w:space="0" w:color="auto"/>
        <w:right w:val="none" w:sz="0" w:space="0" w:color="auto"/>
      </w:divBdr>
      <w:divsChild>
        <w:div w:id="1425149084">
          <w:marLeft w:val="0"/>
          <w:marRight w:val="0"/>
          <w:marTop w:val="0"/>
          <w:marBottom w:val="0"/>
          <w:divBdr>
            <w:top w:val="none" w:sz="0" w:space="0" w:color="auto"/>
            <w:left w:val="none" w:sz="0" w:space="0" w:color="auto"/>
            <w:bottom w:val="none" w:sz="0" w:space="0" w:color="auto"/>
            <w:right w:val="none" w:sz="0" w:space="0" w:color="auto"/>
          </w:divBdr>
          <w:divsChild>
            <w:div w:id="1781802796">
              <w:marLeft w:val="0"/>
              <w:marRight w:val="0"/>
              <w:marTop w:val="0"/>
              <w:marBottom w:val="0"/>
              <w:divBdr>
                <w:top w:val="none" w:sz="0" w:space="0" w:color="auto"/>
                <w:left w:val="none" w:sz="0" w:space="0" w:color="auto"/>
                <w:bottom w:val="none" w:sz="0" w:space="0" w:color="auto"/>
                <w:right w:val="none" w:sz="0" w:space="0" w:color="auto"/>
              </w:divBdr>
              <w:divsChild>
                <w:div w:id="468019460">
                  <w:marLeft w:val="0"/>
                  <w:marRight w:val="0"/>
                  <w:marTop w:val="0"/>
                  <w:marBottom w:val="0"/>
                  <w:divBdr>
                    <w:top w:val="none" w:sz="0" w:space="0" w:color="auto"/>
                    <w:left w:val="none" w:sz="0" w:space="0" w:color="auto"/>
                    <w:bottom w:val="none" w:sz="0" w:space="0" w:color="auto"/>
                    <w:right w:val="none" w:sz="0" w:space="0" w:color="auto"/>
                  </w:divBdr>
                  <w:divsChild>
                    <w:div w:id="102925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663166">
      <w:bodyDiv w:val="1"/>
      <w:marLeft w:val="0"/>
      <w:marRight w:val="0"/>
      <w:marTop w:val="0"/>
      <w:marBottom w:val="0"/>
      <w:divBdr>
        <w:top w:val="none" w:sz="0" w:space="0" w:color="auto"/>
        <w:left w:val="none" w:sz="0" w:space="0" w:color="auto"/>
        <w:bottom w:val="none" w:sz="0" w:space="0" w:color="auto"/>
        <w:right w:val="none" w:sz="0" w:space="0" w:color="auto"/>
      </w:divBdr>
    </w:div>
    <w:div w:id="1275945233">
      <w:bodyDiv w:val="1"/>
      <w:marLeft w:val="0"/>
      <w:marRight w:val="0"/>
      <w:marTop w:val="0"/>
      <w:marBottom w:val="0"/>
      <w:divBdr>
        <w:top w:val="none" w:sz="0" w:space="0" w:color="auto"/>
        <w:left w:val="none" w:sz="0" w:space="0" w:color="auto"/>
        <w:bottom w:val="none" w:sz="0" w:space="0" w:color="auto"/>
        <w:right w:val="none" w:sz="0" w:space="0" w:color="auto"/>
      </w:divBdr>
    </w:div>
    <w:div w:id="1330911067">
      <w:bodyDiv w:val="1"/>
      <w:marLeft w:val="0"/>
      <w:marRight w:val="0"/>
      <w:marTop w:val="0"/>
      <w:marBottom w:val="0"/>
      <w:divBdr>
        <w:top w:val="none" w:sz="0" w:space="0" w:color="auto"/>
        <w:left w:val="none" w:sz="0" w:space="0" w:color="auto"/>
        <w:bottom w:val="none" w:sz="0" w:space="0" w:color="auto"/>
        <w:right w:val="none" w:sz="0" w:space="0" w:color="auto"/>
      </w:divBdr>
    </w:div>
    <w:div w:id="1475873156">
      <w:bodyDiv w:val="1"/>
      <w:marLeft w:val="0"/>
      <w:marRight w:val="0"/>
      <w:marTop w:val="0"/>
      <w:marBottom w:val="0"/>
      <w:divBdr>
        <w:top w:val="none" w:sz="0" w:space="0" w:color="auto"/>
        <w:left w:val="none" w:sz="0" w:space="0" w:color="auto"/>
        <w:bottom w:val="none" w:sz="0" w:space="0" w:color="auto"/>
        <w:right w:val="none" w:sz="0" w:space="0" w:color="auto"/>
      </w:divBdr>
    </w:div>
    <w:div w:id="1551304712">
      <w:bodyDiv w:val="1"/>
      <w:marLeft w:val="0"/>
      <w:marRight w:val="0"/>
      <w:marTop w:val="0"/>
      <w:marBottom w:val="0"/>
      <w:divBdr>
        <w:top w:val="none" w:sz="0" w:space="0" w:color="auto"/>
        <w:left w:val="none" w:sz="0" w:space="0" w:color="auto"/>
        <w:bottom w:val="none" w:sz="0" w:space="0" w:color="auto"/>
        <w:right w:val="none" w:sz="0" w:space="0" w:color="auto"/>
      </w:divBdr>
    </w:div>
    <w:div w:id="1574504717">
      <w:bodyDiv w:val="1"/>
      <w:marLeft w:val="0"/>
      <w:marRight w:val="0"/>
      <w:marTop w:val="0"/>
      <w:marBottom w:val="0"/>
      <w:divBdr>
        <w:top w:val="none" w:sz="0" w:space="0" w:color="auto"/>
        <w:left w:val="none" w:sz="0" w:space="0" w:color="auto"/>
        <w:bottom w:val="none" w:sz="0" w:space="0" w:color="auto"/>
        <w:right w:val="none" w:sz="0" w:space="0" w:color="auto"/>
      </w:divBdr>
    </w:div>
    <w:div w:id="1631864613">
      <w:bodyDiv w:val="1"/>
      <w:marLeft w:val="0"/>
      <w:marRight w:val="0"/>
      <w:marTop w:val="0"/>
      <w:marBottom w:val="0"/>
      <w:divBdr>
        <w:top w:val="none" w:sz="0" w:space="0" w:color="auto"/>
        <w:left w:val="none" w:sz="0" w:space="0" w:color="auto"/>
        <w:bottom w:val="none" w:sz="0" w:space="0" w:color="auto"/>
        <w:right w:val="none" w:sz="0" w:space="0" w:color="auto"/>
      </w:divBdr>
    </w:div>
    <w:div w:id="1820807339">
      <w:bodyDiv w:val="1"/>
      <w:marLeft w:val="0"/>
      <w:marRight w:val="0"/>
      <w:marTop w:val="0"/>
      <w:marBottom w:val="0"/>
      <w:divBdr>
        <w:top w:val="none" w:sz="0" w:space="0" w:color="auto"/>
        <w:left w:val="none" w:sz="0" w:space="0" w:color="auto"/>
        <w:bottom w:val="none" w:sz="0" w:space="0" w:color="auto"/>
        <w:right w:val="none" w:sz="0" w:space="0" w:color="auto"/>
      </w:divBdr>
    </w:div>
    <w:div w:id="1870870985">
      <w:bodyDiv w:val="1"/>
      <w:marLeft w:val="0"/>
      <w:marRight w:val="0"/>
      <w:marTop w:val="0"/>
      <w:marBottom w:val="0"/>
      <w:divBdr>
        <w:top w:val="none" w:sz="0" w:space="0" w:color="auto"/>
        <w:left w:val="none" w:sz="0" w:space="0" w:color="auto"/>
        <w:bottom w:val="none" w:sz="0" w:space="0" w:color="auto"/>
        <w:right w:val="none" w:sz="0" w:space="0" w:color="auto"/>
      </w:divBdr>
    </w:div>
    <w:div w:id="1985087436">
      <w:bodyDiv w:val="1"/>
      <w:marLeft w:val="0"/>
      <w:marRight w:val="0"/>
      <w:marTop w:val="0"/>
      <w:marBottom w:val="0"/>
      <w:divBdr>
        <w:top w:val="none" w:sz="0" w:space="0" w:color="auto"/>
        <w:left w:val="none" w:sz="0" w:space="0" w:color="auto"/>
        <w:bottom w:val="none" w:sz="0" w:space="0" w:color="auto"/>
        <w:right w:val="none" w:sz="0" w:space="0" w:color="auto"/>
      </w:divBdr>
    </w:div>
    <w:div w:id="2036269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mp"/><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notes.xml.rels><?xml version="1.0" encoding="UTF-8" standalone="yes"?>
<Relationships xmlns="http://schemas.openxmlformats.org/package/2006/relationships"><Relationship Id="rId3" Type="http://schemas.openxmlformats.org/officeDocument/2006/relationships/hyperlink" Target="https://www.asufin.com/revolving-el-tribunal-supremo-anula-un-prestamo-al-24-de-interes/" TargetMode="External"/><Relationship Id="rId7" Type="http://schemas.openxmlformats.org/officeDocument/2006/relationships/hyperlink" Target="https://www.bde.es/f/webbde/Secciones/Publicaciones/PublicacionesAnuales/MemoriaServicioReclamaciones/16/Ficheros/MSR2016_Documento_completo.pdf" TargetMode="External"/><Relationship Id="rId2" Type="http://schemas.openxmlformats.org/officeDocument/2006/relationships/hyperlink" Target="https://www.poderjudicial.es/cgpj/es/Poder-Judicial/Noticias-Judiciales/El-Supremo-anula-por-usurario-un-prestamo-al-consumo-al-24--de-interes" TargetMode="External"/><Relationship Id="rId1" Type="http://schemas.openxmlformats.org/officeDocument/2006/relationships/hyperlink" Target="https://almacendederecho.org/nulidad-de-pleno-derecho-y-prescripcion" TargetMode="External"/><Relationship Id="rId6" Type="http://schemas.openxmlformats.org/officeDocument/2006/relationships/hyperlink" Target="https://www.rtve.es/noticias/20151201/supremo-anula-usurario-prestamo-consumo-246-interes/1265341.shtml" TargetMode="External"/><Relationship Id="rId5" Type="http://schemas.openxmlformats.org/officeDocument/2006/relationships/hyperlink" Target="https://www.elmundo.es/economia/2015/12/01/565cc528ca474164758b45bc.html" TargetMode="External"/><Relationship Id="rId4" Type="http://schemas.openxmlformats.org/officeDocument/2006/relationships/hyperlink" Target="https://cincodias.elpais.com/cincodias/2015/11/30/mercados/1448895739_053422.html" TargetMode="External"/></Relationships>
</file>

<file path=word/theme/theme1.xml><?xml version="1.0" encoding="utf-8"?>
<a:theme xmlns:a="http://schemas.openxmlformats.org/drawingml/2006/main" name="_Uria">
  <a:themeElements>
    <a:clrScheme name="PPT UM NUEVO DEFINITIVO">
      <a:dk1>
        <a:srgbClr val="333F48"/>
      </a:dk1>
      <a:lt1>
        <a:sysClr val="window" lastClr="FFFFFF"/>
      </a:lt1>
      <a:dk2>
        <a:srgbClr val="002855"/>
      </a:dk2>
      <a:lt2>
        <a:srgbClr val="40C1AC"/>
      </a:lt2>
      <a:accent1>
        <a:srgbClr val="002855"/>
      </a:accent1>
      <a:accent2>
        <a:srgbClr val="40C1AC"/>
      </a:accent2>
      <a:accent3>
        <a:srgbClr val="FFBF3F"/>
      </a:accent3>
      <a:accent4>
        <a:srgbClr val="E35205"/>
      </a:accent4>
      <a:accent5>
        <a:srgbClr val="8E2C48"/>
      </a:accent5>
      <a:accent6>
        <a:srgbClr val="897A27"/>
      </a:accent6>
      <a:hlink>
        <a:srgbClr val="0303B7"/>
      </a:hlink>
      <a:folHlink>
        <a:srgbClr val="7030A0"/>
      </a:folHlink>
    </a:clrScheme>
    <a:fontScheme name="UM2">
      <a:majorFont>
        <a:latin typeface="Arial Narrow"/>
        <a:ea typeface=""/>
        <a:cs typeface=""/>
      </a:majorFont>
      <a:minorFont>
        <a:latin typeface="Arial Narrow"/>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5ea4554-8142-4597-9603-e052735d2861">
      <Terms xmlns="http://schemas.microsoft.com/office/infopath/2007/PartnerControls"/>
    </lcf76f155ced4ddcb4097134ff3c332f>
    <TaxCatchAll xmlns="84acf7cd-fbd7-4ee0-94b8-8a268215c9c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C44785B621E92340B5CB905785249903" ma:contentTypeVersion="17" ma:contentTypeDescription="Crear nuevo documento." ma:contentTypeScope="" ma:versionID="462d0412343c3f216c680ca053ab11f6">
  <xsd:schema xmlns:xsd="http://www.w3.org/2001/XMLSchema" xmlns:xs="http://www.w3.org/2001/XMLSchema" xmlns:p="http://schemas.microsoft.com/office/2006/metadata/properties" xmlns:ns2="84acf7cd-fbd7-4ee0-94b8-8a268215c9c3" xmlns:ns3="f5ea4554-8142-4597-9603-e052735d2861" targetNamespace="http://schemas.microsoft.com/office/2006/metadata/properties" ma:root="true" ma:fieldsID="62eeac3d2134d5433d1913a9d19e0aeb" ns2:_="" ns3:_="">
    <xsd:import namespace="84acf7cd-fbd7-4ee0-94b8-8a268215c9c3"/>
    <xsd:import namespace="f5ea4554-8142-4597-9603-e052735d286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MediaServiceLocation"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acf7cd-fbd7-4ee0-94b8-8a268215c9c3"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145cfb36-52d7-463f-b696-ffce28d91561}" ma:internalName="TaxCatchAll" ma:showField="CatchAllData" ma:web="84acf7cd-fbd7-4ee0-94b8-8a268215c9c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5ea4554-8142-4597-9603-e052735d286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0aa8f560-d06c-4309-83e0-b08b0916f3c8"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8A137A-ACB2-49B3-AC65-319E8E7D5AF3}">
  <ds:schemaRefs>
    <ds:schemaRef ds:uri="http://schemas.microsoft.com/sharepoint/v3/contenttype/forms"/>
  </ds:schemaRefs>
</ds:datastoreItem>
</file>

<file path=customXml/itemProps2.xml><?xml version="1.0" encoding="utf-8"?>
<ds:datastoreItem xmlns:ds="http://schemas.openxmlformats.org/officeDocument/2006/customXml" ds:itemID="{0AFD68D2-6170-42ED-9524-5CE140384A11}">
  <ds:schemaRefs>
    <ds:schemaRef ds:uri="http://schemas.openxmlformats.org/officeDocument/2006/bibliography"/>
  </ds:schemaRefs>
</ds:datastoreItem>
</file>

<file path=customXml/itemProps3.xml><?xml version="1.0" encoding="utf-8"?>
<ds:datastoreItem xmlns:ds="http://schemas.openxmlformats.org/officeDocument/2006/customXml" ds:itemID="{60584F1B-7C7A-4BDC-B19C-E96E37865A7E}">
  <ds:schemaRefs>
    <ds:schemaRef ds:uri="http://schemas.microsoft.com/office/2006/metadata/properties"/>
    <ds:schemaRef ds:uri="http://schemas.microsoft.com/office/infopath/2007/PartnerControls"/>
    <ds:schemaRef ds:uri="f5ea4554-8142-4597-9603-e052735d2861"/>
    <ds:schemaRef ds:uri="84acf7cd-fbd7-4ee0-94b8-8a268215c9c3"/>
  </ds:schemaRefs>
</ds:datastoreItem>
</file>

<file path=customXml/itemProps4.xml><?xml version="1.0" encoding="utf-8"?>
<ds:datastoreItem xmlns:ds="http://schemas.openxmlformats.org/officeDocument/2006/customXml" ds:itemID="{25F877F4-E5A3-4F1E-9157-1961F154FA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acf7cd-fbd7-4ee0-94b8-8a268215c9c3"/>
    <ds:schemaRef ds:uri="f5ea4554-8142-4597-9603-e052735d28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5325</Words>
  <Characters>29288</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
    </vt:vector>
  </TitlesOfParts>
  <LinksUpToDate>false</LinksUpToDate>
  <CharactersWithSpaces>34544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2022-02-15T19:33:00Z</dcterms:created>
  <dcterms:modified xsi:type="dcterms:W3CDTF">2024-07-30T10:00:00Z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0x010100C44785B621E92340B5CB905785249903</vt:lpwstr>
  </property>
</Properties>
</file>