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18555" w14:textId="77777777" w:rsidR="007A2C95" w:rsidRDefault="007C2EF0" w:rsidP="00554476">
      <w:pPr>
        <w:spacing w:after="0" w:line="360" w:lineRule="auto"/>
        <w:jc w:val="both"/>
        <w:rPr>
          <w:rFonts w:ascii="Arial" w:hAnsi="Arial" w:cs="Arial"/>
          <w:b/>
          <w:sz w:val="20"/>
          <w:szCs w:val="20"/>
        </w:rPr>
      </w:pPr>
      <w:bookmarkStart w:id="0" w:name="_top"/>
      <w:bookmarkEnd w:id="0"/>
      <w:proofErr w:type="spellStart"/>
      <w:r w:rsidRPr="00554476">
        <w:rPr>
          <w:rFonts w:ascii="Arial" w:hAnsi="Arial" w:cs="Arial"/>
          <w:sz w:val="20"/>
          <w:szCs w:val="20"/>
        </w:rPr>
        <w:t>exp</w:t>
      </w:r>
      <w:proofErr w:type="spellEnd"/>
      <w:r w:rsidRPr="00554476">
        <w:rPr>
          <w:rFonts w:ascii="Arial" w:hAnsi="Arial" w:cs="Arial"/>
          <w:sz w:val="20"/>
          <w:szCs w:val="20"/>
        </w:rPr>
        <w:t xml:space="preserve"> </w:t>
      </w:r>
      <w:r w:rsidR="00A14043">
        <w:rPr>
          <w:rFonts w:ascii="Arial" w:hAnsi="Arial" w:cs="Arial"/>
          <w:b/>
          <w:sz w:val="20"/>
          <w:szCs w:val="20"/>
          <w:highlight w:val="yellow"/>
        </w:rPr>
        <w:fldChar w:fldCharType="begin"/>
      </w:r>
      <w:r w:rsidR="007A2C95">
        <w:rPr>
          <w:rFonts w:ascii="Arial" w:hAnsi="Arial" w:cs="Arial"/>
          <w:b/>
          <w:sz w:val="20"/>
          <w:szCs w:val="20"/>
          <w:highlight w:val="yellow"/>
        </w:rPr>
        <w:instrText>expedien_srefcliente</w:instrText>
      </w:r>
      <w:r w:rsidR="00A14043">
        <w:rPr>
          <w:rFonts w:ascii="Arial" w:hAnsi="Arial" w:cs="Arial"/>
          <w:b/>
          <w:sz w:val="20"/>
          <w:szCs w:val="20"/>
          <w:highlight w:val="yellow"/>
        </w:rPr>
        <w:fldChar w:fldCharType="separate"/>
      </w:r>
      <w:r w:rsidR="00A14043">
        <w:rPr>
          <w:rFonts w:ascii="Arial" w:hAnsi="Arial" w:cs="Arial"/>
          <w:b/>
          <w:noProof/>
          <w:sz w:val="20"/>
          <w:szCs w:val="20"/>
          <w:highlight w:val="yellow"/>
        </w:rPr>
        <w:t>«Datos_del_Expediente_Ref._Expediente»</w:t>
      </w:r>
      <w:r w:rsidR="00A14043">
        <w:rPr>
          <w:rFonts w:ascii="Arial" w:hAnsi="Arial" w:cs="Arial"/>
          <w:b/>
          <w:sz w:val="20"/>
          <w:szCs w:val="20"/>
          <w:highlight w:val="yellow"/>
        </w:rPr>
        <w:fldChar w:fldCharType="end"/>
      </w:r>
    </w:p>
    <w:p w14:paraId="1F726CBB" w14:textId="726A722B" w:rsidR="0053438D" w:rsidRPr="00554476" w:rsidRDefault="007C2EF0" w:rsidP="00554476">
      <w:pPr>
        <w:spacing w:after="0" w:line="360" w:lineRule="auto"/>
        <w:jc w:val="both"/>
        <w:rPr>
          <w:rFonts w:ascii="Arial" w:hAnsi="Arial" w:cs="Arial"/>
          <w:sz w:val="20"/>
          <w:szCs w:val="20"/>
        </w:rPr>
      </w:pPr>
      <w:r w:rsidRPr="00554476">
        <w:rPr>
          <w:rFonts w:ascii="Arial" w:hAnsi="Arial" w:cs="Arial"/>
          <w:sz w:val="20"/>
          <w:szCs w:val="20"/>
        </w:rPr>
        <w:t xml:space="preserve">Autos </w:t>
      </w:r>
      <w:r w:rsidR="007A2C95">
        <w:rPr>
          <w:rFonts w:ascii="Arial" w:hAnsi="Arial" w:cs="Arial"/>
          <w:b/>
          <w:sz w:val="20"/>
          <w:szCs w:val="20"/>
          <w:highlight w:val="yellow"/>
        </w:rPr>
        <w:fldChar w:fldCharType="begin"/>
      </w:r>
      <w:r w:rsidR="007A2C95">
        <w:rPr>
          <w:rFonts w:ascii="Arial" w:hAnsi="Arial" w:cs="Arial"/>
          <w:b/>
          <w:sz w:val="20"/>
          <w:szCs w:val="20"/>
          <w:highlight w:val="yellow"/>
        </w:rPr>
        <w:instrText>expedien_snumasunto</w:instrText>
      </w:r>
      <w:r w:rsidR="007A2C95">
        <w:rPr>
          <w:rFonts w:ascii="Arial" w:hAnsi="Arial" w:cs="Arial"/>
          <w:b/>
          <w:sz w:val="20"/>
          <w:szCs w:val="20"/>
          <w:highlight w:val="yellow"/>
        </w:rPr>
        <w:fldChar w:fldCharType="separate"/>
      </w:r>
      <w:r w:rsidR="007A2C95">
        <w:rPr>
          <w:rFonts w:ascii="Arial" w:hAnsi="Arial" w:cs="Arial"/>
          <w:b/>
          <w:noProof/>
          <w:sz w:val="20"/>
          <w:szCs w:val="20"/>
          <w:highlight w:val="yellow"/>
        </w:rPr>
        <w:t>«Datos_del_Expediente_Núm._Autos»</w:t>
      </w:r>
      <w:r w:rsidR="007A2C95">
        <w:rPr>
          <w:rFonts w:ascii="Arial" w:hAnsi="Arial" w:cs="Arial"/>
          <w:b/>
          <w:sz w:val="20"/>
          <w:szCs w:val="20"/>
          <w:highlight w:val="yellow"/>
        </w:rPr>
        <w:fldChar w:fldCharType="end"/>
      </w:r>
      <w:r w:rsidRPr="00464B51">
        <w:rPr>
          <w:rFonts w:ascii="Arial" w:hAnsi="Arial" w:cs="Arial"/>
          <w:b/>
          <w:sz w:val="20"/>
          <w:szCs w:val="20"/>
          <w:highlight w:val="yellow"/>
        </w:rPr>
        <w:t xml:space="preserve"> de Juicio Ordinario</w:t>
      </w:r>
    </w:p>
    <w:p w14:paraId="46BF02FA" w14:textId="4CE6F928" w:rsidR="008A3B9A" w:rsidRPr="00554476" w:rsidRDefault="007C2EF0" w:rsidP="00554476">
      <w:pPr>
        <w:spacing w:after="0" w:line="360" w:lineRule="auto"/>
        <w:jc w:val="both"/>
        <w:rPr>
          <w:rFonts w:ascii="Arial" w:hAnsi="Arial" w:cs="Arial"/>
          <w:sz w:val="20"/>
          <w:szCs w:val="20"/>
        </w:rPr>
      </w:pPr>
      <w:r w:rsidRPr="00554476">
        <w:rPr>
          <w:rFonts w:ascii="Arial" w:hAnsi="Arial" w:cs="Arial"/>
          <w:sz w:val="20"/>
          <w:szCs w:val="20"/>
        </w:rPr>
        <w:t>Procurador contrario</w:t>
      </w:r>
      <w:r w:rsidR="004636DC">
        <w:rPr>
          <w:rFonts w:ascii="Arial" w:hAnsi="Arial" w:cs="Arial"/>
          <w:sz w:val="20"/>
          <w:szCs w:val="20"/>
        </w:rPr>
        <w:t xml:space="preserve">: </w:t>
      </w:r>
      <w:r w:rsidR="004636DC">
        <w:rPr>
          <w:rFonts w:ascii="Arial" w:hAnsi="Arial" w:cs="Arial"/>
          <w:sz w:val="20"/>
          <w:szCs w:val="20"/>
        </w:rPr>
        <w:fldChar w:fldCharType="begin"/>
      </w:r>
      <w:r w:rsidR="004636DC">
        <w:rPr>
          <w:rFonts w:ascii="Arial" w:hAnsi="Arial" w:cs="Arial"/>
          <w:sz w:val="20"/>
          <w:szCs w:val="20"/>
        </w:rPr>
        <w:instrText>proccont_snombrepro__1</w:instrText>
      </w:r>
      <w:r w:rsidR="004636DC">
        <w:rPr>
          <w:rFonts w:ascii="Arial" w:hAnsi="Arial" w:cs="Arial"/>
          <w:sz w:val="20"/>
          <w:szCs w:val="20"/>
        </w:rPr>
        <w:fldChar w:fldCharType="separate"/>
      </w:r>
      <w:r w:rsidR="004636DC">
        <w:rPr>
          <w:rFonts w:ascii="Arial" w:hAnsi="Arial" w:cs="Arial"/>
          <w:noProof/>
          <w:sz w:val="20"/>
          <w:szCs w:val="20"/>
        </w:rPr>
        <w:t>«Procuradores_Contrarios_Nombre»</w:t>
      </w:r>
      <w:r w:rsidR="004636DC">
        <w:rPr>
          <w:rFonts w:ascii="Arial" w:hAnsi="Arial" w:cs="Arial"/>
          <w:sz w:val="20"/>
          <w:szCs w:val="20"/>
        </w:rPr>
        <w:fldChar w:fldCharType="end"/>
      </w:r>
    </w:p>
    <w:p w14:paraId="35C2E7A9" w14:textId="6009B66C" w:rsidR="007C2EF0" w:rsidRPr="00554476" w:rsidRDefault="007C2EF0" w:rsidP="00554476">
      <w:pPr>
        <w:spacing w:after="0" w:line="360" w:lineRule="auto"/>
        <w:rPr>
          <w:rFonts w:ascii="Arial" w:hAnsi="Arial" w:cs="Arial"/>
          <w:sz w:val="20"/>
          <w:szCs w:val="20"/>
        </w:rPr>
      </w:pPr>
    </w:p>
    <w:p w14:paraId="3BF6AA6B" w14:textId="07E8E5B8" w:rsidR="007C2EF0" w:rsidRPr="00554476" w:rsidRDefault="007C2EF0" w:rsidP="00554476">
      <w:pPr>
        <w:spacing w:after="0" w:line="360" w:lineRule="auto"/>
        <w:rPr>
          <w:rFonts w:ascii="Arial" w:hAnsi="Arial" w:cs="Arial"/>
          <w:sz w:val="20"/>
          <w:szCs w:val="20"/>
        </w:rPr>
      </w:pPr>
    </w:p>
    <w:p w14:paraId="44636FC2" w14:textId="4A8B5DCA" w:rsidR="007C2EF0" w:rsidRDefault="009D0A9A" w:rsidP="00554476">
      <w:pPr>
        <w:spacing w:after="0" w:line="360" w:lineRule="auto"/>
        <w:jc w:val="center"/>
        <w:rPr>
          <w:rFonts w:ascii="Arial" w:hAnsi="Arial" w:cs="Arial"/>
          <w:b/>
          <w:sz w:val="20"/>
          <w:szCs w:val="20"/>
        </w:rPr>
      </w:pPr>
      <w:r w:rsidRPr="00554476">
        <w:rPr>
          <w:rFonts w:ascii="Arial" w:hAnsi="Arial" w:cs="Arial"/>
          <w:b/>
          <w:sz w:val="20"/>
          <w:szCs w:val="20"/>
        </w:rPr>
        <w:t xml:space="preserve">AL </w:t>
      </w:r>
      <w:r>
        <w:rPr>
          <w:rFonts w:ascii="Arial" w:hAnsi="Arial" w:cs="Arial"/>
          <w:b/>
          <w:sz w:val="20"/>
          <w:szCs w:val="20"/>
        </w:rPr>
        <w:fldChar w:fldCharType="begin"/>
      </w:r>
      <w:r>
        <w:rPr>
          <w:rFonts w:ascii="Arial" w:hAnsi="Arial" w:cs="Arial"/>
          <w:b/>
          <w:sz w:val="20"/>
          <w:szCs w:val="20"/>
        </w:rPr>
        <w:instrText>juzgadoprincipal_juzgado</w:instrText>
      </w:r>
      <w:r>
        <w:rPr>
          <w:rFonts w:ascii="Arial" w:hAnsi="Arial" w:cs="Arial"/>
          <w:b/>
          <w:sz w:val="20"/>
          <w:szCs w:val="20"/>
        </w:rPr>
        <w:fldChar w:fldCharType="separate"/>
      </w:r>
      <w:r>
        <w:rPr>
          <w:rFonts w:ascii="Arial" w:hAnsi="Arial" w:cs="Arial"/>
          <w:b/>
          <w:noProof/>
          <w:sz w:val="20"/>
          <w:szCs w:val="20"/>
        </w:rPr>
        <w:t>«JUZGADO_PRINCIPAL_NOMBRE»</w:t>
      </w:r>
      <w:r>
        <w:rPr>
          <w:rFonts w:ascii="Arial" w:hAnsi="Arial" w:cs="Arial"/>
          <w:b/>
          <w:sz w:val="20"/>
          <w:szCs w:val="20"/>
        </w:rPr>
        <w:fldChar w:fldCharType="end"/>
      </w:r>
    </w:p>
    <w:p w14:paraId="1F530D2D" w14:textId="77777777" w:rsidR="00222035" w:rsidRPr="00554476" w:rsidRDefault="00222035" w:rsidP="00554476">
      <w:pPr>
        <w:spacing w:after="0" w:line="360" w:lineRule="auto"/>
        <w:jc w:val="center"/>
        <w:rPr>
          <w:rFonts w:ascii="Arial" w:hAnsi="Arial" w:cs="Arial"/>
          <w:b/>
          <w:sz w:val="20"/>
          <w:szCs w:val="20"/>
        </w:rPr>
      </w:pPr>
    </w:p>
    <w:p w14:paraId="260996F1" w14:textId="77777777" w:rsidR="00252A1C" w:rsidRPr="00554476" w:rsidRDefault="00252A1C" w:rsidP="00554476">
      <w:pPr>
        <w:spacing w:after="0" w:line="360" w:lineRule="auto"/>
        <w:jc w:val="center"/>
        <w:rPr>
          <w:rFonts w:ascii="Arial" w:hAnsi="Arial" w:cs="Arial"/>
          <w:b/>
          <w:sz w:val="20"/>
          <w:szCs w:val="20"/>
        </w:rPr>
      </w:pPr>
    </w:p>
    <w:p w14:paraId="73B0F0E9" w14:textId="2D98840F" w:rsidR="007C2EF0" w:rsidRDefault="007C2EF0" w:rsidP="00554476">
      <w:pPr>
        <w:tabs>
          <w:tab w:val="left" w:pos="180"/>
        </w:tabs>
        <w:spacing w:after="0" w:line="360" w:lineRule="auto"/>
        <w:jc w:val="both"/>
        <w:rPr>
          <w:rFonts w:ascii="Arial" w:hAnsi="Arial" w:cs="Arial"/>
          <w:b/>
          <w:sz w:val="20"/>
          <w:szCs w:val="20"/>
        </w:rPr>
      </w:pPr>
      <w:r w:rsidRPr="00554476">
        <w:rPr>
          <w:rFonts w:ascii="Arial" w:hAnsi="Arial" w:cs="Arial"/>
          <w:b/>
          <w:sz w:val="20"/>
          <w:szCs w:val="20"/>
        </w:rPr>
        <w:t xml:space="preserve">Gemma </w:t>
      </w:r>
      <w:proofErr w:type="spellStart"/>
      <w:r w:rsidRPr="00554476">
        <w:rPr>
          <w:rFonts w:ascii="Arial" w:hAnsi="Arial" w:cs="Arial"/>
          <w:b/>
          <w:sz w:val="20"/>
          <w:szCs w:val="20"/>
        </w:rPr>
        <w:t>Donderis</w:t>
      </w:r>
      <w:proofErr w:type="spellEnd"/>
      <w:r w:rsidRPr="00554476">
        <w:rPr>
          <w:rFonts w:ascii="Arial" w:hAnsi="Arial" w:cs="Arial"/>
          <w:b/>
          <w:sz w:val="20"/>
          <w:szCs w:val="20"/>
        </w:rPr>
        <w:t xml:space="preserve"> de Salazar</w:t>
      </w:r>
      <w:r w:rsidR="008A3B9A" w:rsidRPr="00554476">
        <w:rPr>
          <w:rFonts w:ascii="Arial" w:hAnsi="Arial" w:cs="Arial"/>
          <w:sz w:val="20"/>
          <w:szCs w:val="20"/>
        </w:rPr>
        <w:t>, Procuradora de los Tribunales y de</w:t>
      </w:r>
      <w:r w:rsidRPr="00554476">
        <w:rPr>
          <w:rFonts w:ascii="Arial" w:hAnsi="Arial" w:cs="Arial"/>
          <w:sz w:val="20"/>
          <w:szCs w:val="20"/>
        </w:rPr>
        <w:t xml:space="preserve"> la mercantil</w:t>
      </w:r>
      <w:r w:rsidR="008A3B9A" w:rsidRPr="00554476">
        <w:rPr>
          <w:rFonts w:ascii="Arial" w:hAnsi="Arial" w:cs="Arial"/>
          <w:sz w:val="20"/>
          <w:szCs w:val="20"/>
        </w:rPr>
        <w:t xml:space="preserve"> </w:t>
      </w:r>
      <w:r w:rsidR="008A3B9A" w:rsidRPr="00554476">
        <w:rPr>
          <w:rFonts w:ascii="Arial" w:hAnsi="Arial" w:cs="Arial"/>
          <w:b/>
          <w:sz w:val="20"/>
          <w:szCs w:val="20"/>
        </w:rPr>
        <w:t xml:space="preserve">BANKINTER, S.A. </w:t>
      </w:r>
      <w:r w:rsidR="008A3B9A" w:rsidRPr="00554476">
        <w:rPr>
          <w:rFonts w:ascii="Arial" w:hAnsi="Arial" w:cs="Arial"/>
          <w:sz w:val="20"/>
          <w:szCs w:val="20"/>
        </w:rPr>
        <w:t xml:space="preserve">representación que acredito mediante escritura de apoderamiento que junto a su copia se acompaña a este escrito con el ruego de devolución de la original por necesitarla para otros usos, en </w:t>
      </w:r>
      <w:r w:rsidR="008A3B9A" w:rsidRPr="00554476">
        <w:rPr>
          <w:rFonts w:ascii="Arial" w:hAnsi="Arial" w:cs="Arial"/>
          <w:b/>
          <w:sz w:val="20"/>
          <w:szCs w:val="20"/>
        </w:rPr>
        <w:t xml:space="preserve">Autos </w:t>
      </w:r>
      <w:r w:rsidR="00E331C1">
        <w:rPr>
          <w:rFonts w:ascii="Arial" w:hAnsi="Arial" w:cs="Arial"/>
          <w:b/>
          <w:sz w:val="20"/>
          <w:szCs w:val="20"/>
          <w:highlight w:val="yellow"/>
        </w:rPr>
        <w:fldChar w:fldCharType="begin"/>
      </w:r>
      <w:r w:rsidR="00E331C1">
        <w:rPr>
          <w:rFonts w:ascii="Arial" w:hAnsi="Arial" w:cs="Arial"/>
          <w:b/>
          <w:sz w:val="20"/>
          <w:szCs w:val="20"/>
          <w:highlight w:val="yellow"/>
        </w:rPr>
        <w:instrText>expedien_snumasunto</w:instrText>
      </w:r>
      <w:r w:rsidR="00E331C1">
        <w:rPr>
          <w:rFonts w:ascii="Arial" w:hAnsi="Arial" w:cs="Arial"/>
          <w:b/>
          <w:sz w:val="20"/>
          <w:szCs w:val="20"/>
          <w:highlight w:val="yellow"/>
        </w:rPr>
        <w:fldChar w:fldCharType="separate"/>
      </w:r>
      <w:r w:rsidR="00E331C1">
        <w:rPr>
          <w:rFonts w:ascii="Arial" w:hAnsi="Arial" w:cs="Arial"/>
          <w:b/>
          <w:noProof/>
          <w:sz w:val="20"/>
          <w:szCs w:val="20"/>
          <w:highlight w:val="yellow"/>
        </w:rPr>
        <w:t>«Datos_del_Expediente_Núm._Autos»</w:t>
      </w:r>
      <w:r w:rsidR="00E331C1">
        <w:rPr>
          <w:rFonts w:ascii="Arial" w:hAnsi="Arial" w:cs="Arial"/>
          <w:b/>
          <w:sz w:val="20"/>
          <w:szCs w:val="20"/>
          <w:highlight w:val="yellow"/>
        </w:rPr>
        <w:fldChar w:fldCharType="end"/>
      </w:r>
      <w:r w:rsidR="008B0674" w:rsidRPr="00554476">
        <w:rPr>
          <w:rFonts w:ascii="Arial" w:hAnsi="Arial" w:cs="Arial"/>
          <w:b/>
          <w:sz w:val="20"/>
          <w:szCs w:val="20"/>
        </w:rPr>
        <w:t xml:space="preserve"> </w:t>
      </w:r>
      <w:r w:rsidR="008A3B9A" w:rsidRPr="00554476">
        <w:rPr>
          <w:rFonts w:ascii="Arial" w:hAnsi="Arial" w:cs="Arial"/>
          <w:sz w:val="20"/>
          <w:szCs w:val="20"/>
        </w:rPr>
        <w:t xml:space="preserve">de </w:t>
      </w:r>
      <w:r w:rsidR="008A3B9A" w:rsidRPr="00554476">
        <w:rPr>
          <w:rFonts w:ascii="Arial" w:hAnsi="Arial" w:cs="Arial"/>
          <w:b/>
          <w:sz w:val="20"/>
          <w:szCs w:val="20"/>
        </w:rPr>
        <w:t>Juicio Ordinario</w:t>
      </w:r>
      <w:r w:rsidR="008A3B9A" w:rsidRPr="00554476">
        <w:rPr>
          <w:rFonts w:ascii="Arial" w:hAnsi="Arial" w:cs="Arial"/>
          <w:sz w:val="20"/>
          <w:szCs w:val="20"/>
        </w:rPr>
        <w:t xml:space="preserve"> que se siguen en este Juzgado </w:t>
      </w:r>
      <w:r w:rsidR="008A3B9A" w:rsidRPr="00554476">
        <w:rPr>
          <w:rFonts w:ascii="Arial" w:hAnsi="Arial" w:cs="Arial"/>
          <w:b/>
          <w:sz w:val="20"/>
          <w:szCs w:val="20"/>
        </w:rPr>
        <w:t>COMPAREZCO</w:t>
      </w:r>
      <w:r w:rsidR="008A3B9A" w:rsidRPr="00554476">
        <w:rPr>
          <w:rFonts w:ascii="Arial" w:hAnsi="Arial" w:cs="Arial"/>
          <w:sz w:val="20"/>
          <w:szCs w:val="20"/>
        </w:rPr>
        <w:t xml:space="preserve"> siguiendo la dirección técnica</w:t>
      </w:r>
      <w:r w:rsidRPr="00554476">
        <w:rPr>
          <w:rFonts w:ascii="Arial" w:hAnsi="Arial" w:cs="Arial"/>
          <w:sz w:val="20"/>
          <w:szCs w:val="20"/>
        </w:rPr>
        <w:t xml:space="preserve"> del Sr.</w:t>
      </w:r>
      <w:r w:rsidR="008F5FAF" w:rsidRPr="00554476">
        <w:rPr>
          <w:rFonts w:ascii="Arial" w:hAnsi="Arial" w:cs="Arial"/>
          <w:sz w:val="20"/>
          <w:szCs w:val="20"/>
        </w:rPr>
        <w:t xml:space="preserve"> Dª. Lucía Martínez Lavara</w:t>
      </w:r>
      <w:r w:rsidR="00424F51" w:rsidRPr="00554476">
        <w:rPr>
          <w:rFonts w:ascii="Arial" w:hAnsi="Arial" w:cs="Arial"/>
          <w:sz w:val="20"/>
          <w:szCs w:val="20"/>
        </w:rPr>
        <w:t xml:space="preserve">, </w:t>
      </w:r>
      <w:r w:rsidRPr="00554476">
        <w:rPr>
          <w:rFonts w:ascii="Arial" w:hAnsi="Arial" w:cs="Arial"/>
          <w:sz w:val="20"/>
          <w:szCs w:val="20"/>
        </w:rPr>
        <w:t xml:space="preserve">Letrado de los ilustres colegios </w:t>
      </w:r>
      <w:r w:rsidR="008F5FAF" w:rsidRPr="00554476">
        <w:rPr>
          <w:rFonts w:ascii="Arial" w:hAnsi="Arial" w:cs="Arial"/>
          <w:sz w:val="20"/>
          <w:szCs w:val="20"/>
        </w:rPr>
        <w:t>de abogados de Valencia</w:t>
      </w:r>
      <w:r w:rsidRPr="00554476">
        <w:rPr>
          <w:rFonts w:ascii="Arial" w:hAnsi="Arial" w:cs="Arial"/>
          <w:sz w:val="20"/>
          <w:szCs w:val="20"/>
        </w:rPr>
        <w:t xml:space="preserve">, </w:t>
      </w:r>
      <w:r w:rsidR="00424F51" w:rsidRPr="00554476">
        <w:rPr>
          <w:rFonts w:ascii="Arial" w:hAnsi="Arial" w:cs="Arial"/>
          <w:sz w:val="20"/>
          <w:szCs w:val="20"/>
        </w:rPr>
        <w:t xml:space="preserve">bajo la dependencia laboral de Lexer Abogados, S.L., y como más procedente sea y en Derecho haya lugar </w:t>
      </w:r>
      <w:r w:rsidR="00424F51" w:rsidRPr="00554476">
        <w:rPr>
          <w:rFonts w:ascii="Arial" w:hAnsi="Arial" w:cs="Arial"/>
          <w:b/>
          <w:sz w:val="20"/>
          <w:szCs w:val="20"/>
        </w:rPr>
        <w:t>DIGO</w:t>
      </w:r>
    </w:p>
    <w:p w14:paraId="3271F7E8" w14:textId="77777777" w:rsidR="00222035" w:rsidRPr="00554476" w:rsidRDefault="00222035" w:rsidP="00554476">
      <w:pPr>
        <w:tabs>
          <w:tab w:val="left" w:pos="180"/>
        </w:tabs>
        <w:spacing w:after="0" w:line="360" w:lineRule="auto"/>
        <w:jc w:val="both"/>
        <w:rPr>
          <w:rFonts w:ascii="Arial" w:hAnsi="Arial" w:cs="Arial"/>
          <w:b/>
          <w:sz w:val="20"/>
          <w:szCs w:val="20"/>
        </w:rPr>
      </w:pPr>
    </w:p>
    <w:p w14:paraId="2A358791" w14:textId="502811B2" w:rsidR="007C2EF0" w:rsidRDefault="008A3B9A" w:rsidP="00554476">
      <w:pPr>
        <w:tabs>
          <w:tab w:val="left" w:pos="180"/>
        </w:tabs>
        <w:spacing w:after="0" w:line="360" w:lineRule="auto"/>
        <w:jc w:val="both"/>
        <w:rPr>
          <w:rFonts w:ascii="Arial" w:hAnsi="Arial" w:cs="Arial"/>
          <w:sz w:val="20"/>
          <w:szCs w:val="20"/>
        </w:rPr>
      </w:pPr>
      <w:r w:rsidRPr="00554476">
        <w:rPr>
          <w:rFonts w:ascii="Arial" w:hAnsi="Arial" w:cs="Arial"/>
          <w:sz w:val="20"/>
          <w:szCs w:val="20"/>
        </w:rPr>
        <w:t>Que mediante Decreto fue admitida a trámit</w:t>
      </w:r>
      <w:r w:rsidR="00A8586C" w:rsidRPr="00554476">
        <w:rPr>
          <w:rFonts w:ascii="Arial" w:hAnsi="Arial" w:cs="Arial"/>
          <w:sz w:val="20"/>
          <w:szCs w:val="20"/>
        </w:rPr>
        <w:t xml:space="preserve">e la Demanda interpuesta por </w:t>
      </w:r>
      <w:r w:rsidR="00AB2861">
        <w:rPr>
          <w:rFonts w:ascii="Arial" w:hAnsi="Arial" w:cs="Arial"/>
          <w:bCs/>
          <w:sz w:val="20"/>
          <w:szCs w:val="20"/>
          <w:highlight w:val="yellow"/>
        </w:rPr>
        <w:fldChar w:fldCharType="begin"/>
      </w:r>
      <w:r w:rsidR="00AB2861">
        <w:rPr>
          <w:rFonts w:ascii="Arial" w:hAnsi="Arial" w:cs="Arial"/>
          <w:bCs/>
          <w:sz w:val="20"/>
          <w:szCs w:val="20"/>
          <w:highlight w:val="yellow"/>
        </w:rPr>
        <w:instrText>contrarioprincipal_snombreclicon</w:instrText>
      </w:r>
      <w:r w:rsidR="00AB2861">
        <w:rPr>
          <w:rFonts w:ascii="Arial" w:hAnsi="Arial" w:cs="Arial"/>
          <w:bCs/>
          <w:sz w:val="20"/>
          <w:szCs w:val="20"/>
          <w:highlight w:val="yellow"/>
        </w:rPr>
        <w:fldChar w:fldCharType="separate"/>
      </w:r>
      <w:r w:rsidR="00AB2861">
        <w:rPr>
          <w:rFonts w:ascii="Arial" w:hAnsi="Arial" w:cs="Arial"/>
          <w:bCs/>
          <w:noProof/>
          <w:sz w:val="20"/>
          <w:szCs w:val="20"/>
          <w:highlight w:val="yellow"/>
        </w:rPr>
        <w:t>«Contrario_Principal_Nombre»</w:t>
      </w:r>
      <w:r w:rsidR="00AB2861">
        <w:rPr>
          <w:rFonts w:ascii="Arial" w:hAnsi="Arial" w:cs="Arial"/>
          <w:bCs/>
          <w:sz w:val="20"/>
          <w:szCs w:val="20"/>
          <w:highlight w:val="yellow"/>
        </w:rPr>
        <w:fldChar w:fldCharType="end"/>
      </w:r>
      <w:r w:rsidR="00B351E8" w:rsidRPr="00554476">
        <w:rPr>
          <w:rFonts w:ascii="Arial" w:hAnsi="Arial" w:cs="Arial"/>
          <w:b/>
          <w:bCs/>
          <w:sz w:val="20"/>
          <w:szCs w:val="20"/>
        </w:rPr>
        <w:t xml:space="preserve"> </w:t>
      </w:r>
      <w:r w:rsidRPr="00554476">
        <w:rPr>
          <w:rFonts w:ascii="Arial" w:hAnsi="Arial" w:cs="Arial"/>
          <w:sz w:val="20"/>
          <w:szCs w:val="20"/>
        </w:rPr>
        <w:t>(en adelante, el demandante o la parte actora), frente a mi representada.</w:t>
      </w:r>
    </w:p>
    <w:p w14:paraId="3D70AB5A" w14:textId="77777777" w:rsidR="00222035" w:rsidRPr="00554476" w:rsidRDefault="00222035" w:rsidP="00554476">
      <w:pPr>
        <w:tabs>
          <w:tab w:val="left" w:pos="180"/>
        </w:tabs>
        <w:spacing w:after="0" w:line="360" w:lineRule="auto"/>
        <w:jc w:val="both"/>
        <w:rPr>
          <w:rFonts w:ascii="Arial" w:hAnsi="Arial" w:cs="Arial"/>
          <w:sz w:val="20"/>
          <w:szCs w:val="20"/>
        </w:rPr>
      </w:pPr>
    </w:p>
    <w:p w14:paraId="4930D23F" w14:textId="7536A158" w:rsidR="006B48C9" w:rsidRPr="00554476" w:rsidRDefault="0053438D" w:rsidP="00554476">
      <w:pPr>
        <w:spacing w:after="0" w:line="360" w:lineRule="auto"/>
        <w:jc w:val="both"/>
        <w:rPr>
          <w:rFonts w:ascii="Arial" w:hAnsi="Arial" w:cs="Arial"/>
          <w:sz w:val="20"/>
          <w:szCs w:val="20"/>
        </w:rPr>
      </w:pPr>
      <w:r w:rsidRPr="00554476">
        <w:rPr>
          <w:rFonts w:ascii="Arial" w:hAnsi="Arial" w:cs="Arial"/>
          <w:sz w:val="20"/>
          <w:szCs w:val="20"/>
        </w:rPr>
        <w:t>Que,</w:t>
      </w:r>
      <w:r w:rsidR="008A3B9A" w:rsidRPr="00554476">
        <w:rPr>
          <w:rFonts w:ascii="Arial" w:hAnsi="Arial" w:cs="Arial"/>
          <w:sz w:val="20"/>
          <w:szCs w:val="20"/>
        </w:rPr>
        <w:t xml:space="preserve"> por medio del presente escrito, </w:t>
      </w:r>
      <w:r w:rsidR="007C2EF0" w:rsidRPr="00554476">
        <w:rPr>
          <w:rFonts w:ascii="Arial" w:hAnsi="Arial" w:cs="Arial"/>
          <w:sz w:val="20"/>
          <w:szCs w:val="20"/>
        </w:rPr>
        <w:t xml:space="preserve">y </w:t>
      </w:r>
      <w:r w:rsidR="008A3B9A" w:rsidRPr="00554476">
        <w:rPr>
          <w:rFonts w:ascii="Arial" w:hAnsi="Arial" w:cs="Arial"/>
          <w:sz w:val="20"/>
          <w:szCs w:val="20"/>
        </w:rPr>
        <w:t>de conformidad con lo dispuesto en los artículos 40</w:t>
      </w:r>
      <w:r w:rsidR="007C2EF0" w:rsidRPr="00554476">
        <w:rPr>
          <w:rFonts w:ascii="Arial" w:hAnsi="Arial" w:cs="Arial"/>
          <w:sz w:val="20"/>
          <w:szCs w:val="20"/>
        </w:rPr>
        <w:t>4</w:t>
      </w:r>
      <w:r w:rsidR="008A3B9A" w:rsidRPr="00554476">
        <w:rPr>
          <w:rFonts w:ascii="Arial" w:hAnsi="Arial" w:cs="Arial"/>
          <w:sz w:val="20"/>
          <w:szCs w:val="20"/>
        </w:rPr>
        <w:t xml:space="preserve"> y siguientes de la</w:t>
      </w:r>
      <w:r w:rsidR="007C2EF0" w:rsidRPr="00554476">
        <w:rPr>
          <w:rFonts w:ascii="Arial" w:hAnsi="Arial" w:cs="Arial"/>
          <w:sz w:val="20"/>
          <w:szCs w:val="20"/>
        </w:rPr>
        <w:t xml:space="preserve"> Ley de Enjuiciamiento Civil,</w:t>
      </w:r>
      <w:r w:rsidR="008A3B9A" w:rsidRPr="00554476">
        <w:rPr>
          <w:rFonts w:ascii="Arial" w:hAnsi="Arial" w:cs="Arial"/>
          <w:sz w:val="20"/>
          <w:szCs w:val="20"/>
        </w:rPr>
        <w:t xml:space="preserve"> dentro del término de veinte días conferido al efecto</w:t>
      </w:r>
      <w:r w:rsidR="007C2EF0" w:rsidRPr="00554476">
        <w:rPr>
          <w:rFonts w:ascii="Arial" w:hAnsi="Arial" w:cs="Arial"/>
          <w:sz w:val="20"/>
          <w:szCs w:val="20"/>
        </w:rPr>
        <w:t>,</w:t>
      </w:r>
      <w:r w:rsidR="008A3B9A" w:rsidRPr="00554476">
        <w:rPr>
          <w:rFonts w:ascii="Arial" w:hAnsi="Arial" w:cs="Arial"/>
          <w:sz w:val="20"/>
          <w:szCs w:val="20"/>
        </w:rPr>
        <w:t xml:space="preserve"> siguiendo expresas instrucciones de mi mandante,</w:t>
      </w:r>
      <w:r w:rsidR="007C2EF0" w:rsidRPr="00554476">
        <w:rPr>
          <w:rFonts w:ascii="Arial" w:hAnsi="Arial" w:cs="Arial"/>
          <w:sz w:val="20"/>
          <w:szCs w:val="20"/>
        </w:rPr>
        <w:t xml:space="preserve"> formulo</w:t>
      </w:r>
      <w:r w:rsidR="008A3B9A" w:rsidRPr="00554476">
        <w:rPr>
          <w:rFonts w:ascii="Arial" w:hAnsi="Arial" w:cs="Arial"/>
          <w:sz w:val="20"/>
          <w:szCs w:val="20"/>
        </w:rPr>
        <w:t xml:space="preserve"> </w:t>
      </w:r>
      <w:r w:rsidR="008A3B9A" w:rsidRPr="00554476">
        <w:rPr>
          <w:rFonts w:ascii="Arial" w:hAnsi="Arial" w:cs="Arial"/>
          <w:b/>
          <w:sz w:val="20"/>
          <w:szCs w:val="20"/>
        </w:rPr>
        <w:t>ESCRITO DE CONTESTACIÓN A LA DEMANDA</w:t>
      </w:r>
      <w:r w:rsidR="008A3B9A" w:rsidRPr="00554476">
        <w:rPr>
          <w:rFonts w:ascii="Arial" w:hAnsi="Arial" w:cs="Arial"/>
          <w:sz w:val="20"/>
          <w:szCs w:val="20"/>
        </w:rPr>
        <w:t>, con base en los siguientes hechos y fundamentos de derecho</w:t>
      </w:r>
    </w:p>
    <w:p w14:paraId="6E02CDC9" w14:textId="65D1C652" w:rsidR="002C5333" w:rsidRPr="00554476" w:rsidRDefault="002C5333" w:rsidP="00554476">
      <w:pPr>
        <w:spacing w:after="0" w:line="360" w:lineRule="auto"/>
        <w:jc w:val="both"/>
        <w:rPr>
          <w:rFonts w:ascii="Arial" w:hAnsi="Arial" w:cs="Arial"/>
          <w:sz w:val="20"/>
          <w:szCs w:val="20"/>
        </w:rPr>
      </w:pPr>
    </w:p>
    <w:p w14:paraId="4B60245A" w14:textId="77777777" w:rsidR="008B7A3B" w:rsidRDefault="008B7A3B" w:rsidP="00554476">
      <w:pPr>
        <w:pStyle w:val="Ttulo1"/>
        <w:spacing w:before="0" w:line="360" w:lineRule="auto"/>
        <w:jc w:val="center"/>
        <w:rPr>
          <w:rFonts w:ascii="Arial" w:eastAsia="Bankinter" w:hAnsi="Arial" w:cs="Arial"/>
          <w:color w:val="auto"/>
          <w:sz w:val="20"/>
          <w:szCs w:val="20"/>
        </w:rPr>
      </w:pPr>
      <w:bookmarkStart w:id="1" w:name="_Toc54185185"/>
    </w:p>
    <w:p w14:paraId="23CCE595" w14:textId="78A775D3" w:rsidR="009F72F2" w:rsidRPr="00554476" w:rsidRDefault="007F1E46" w:rsidP="00554476">
      <w:pPr>
        <w:pStyle w:val="Ttulo1"/>
        <w:spacing w:before="0" w:line="360" w:lineRule="auto"/>
        <w:jc w:val="center"/>
        <w:rPr>
          <w:rFonts w:ascii="Arial" w:eastAsia="Bankinter" w:hAnsi="Arial" w:cs="Arial"/>
          <w:color w:val="auto"/>
          <w:sz w:val="20"/>
          <w:szCs w:val="20"/>
        </w:rPr>
      </w:pPr>
      <w:r w:rsidRPr="00554476">
        <w:rPr>
          <w:rFonts w:ascii="Arial" w:eastAsia="Bankinter" w:hAnsi="Arial" w:cs="Arial"/>
          <w:color w:val="auto"/>
          <w:sz w:val="20"/>
          <w:szCs w:val="20"/>
        </w:rPr>
        <w:t>PRELIMINAR</w:t>
      </w:r>
      <w:bookmarkEnd w:id="1"/>
    </w:p>
    <w:p w14:paraId="79D8A0DC" w14:textId="77777777" w:rsidR="009F72F2" w:rsidRPr="00554476" w:rsidRDefault="009F72F2" w:rsidP="00554476">
      <w:pPr>
        <w:spacing w:after="0" w:line="360" w:lineRule="auto"/>
        <w:jc w:val="both"/>
        <w:rPr>
          <w:rFonts w:ascii="Arial" w:hAnsi="Arial" w:cs="Arial"/>
          <w:sz w:val="20"/>
          <w:szCs w:val="20"/>
        </w:rPr>
      </w:pPr>
    </w:p>
    <w:p w14:paraId="388CB88C" w14:textId="645DB43E" w:rsidR="00C37880" w:rsidRPr="00554476" w:rsidRDefault="00B25CF3" w:rsidP="00554476">
      <w:pPr>
        <w:spacing w:after="0" w:line="360" w:lineRule="auto"/>
        <w:jc w:val="both"/>
        <w:rPr>
          <w:rFonts w:ascii="Arial" w:hAnsi="Arial" w:cs="Arial"/>
          <w:sz w:val="20"/>
          <w:szCs w:val="20"/>
        </w:rPr>
      </w:pPr>
      <w:r w:rsidRPr="00554476">
        <w:rPr>
          <w:rFonts w:ascii="Arial" w:hAnsi="Arial" w:cs="Arial"/>
          <w:sz w:val="20"/>
          <w:szCs w:val="20"/>
        </w:rPr>
        <w:t xml:space="preserve">Tal y como su Señoría perfectamente conoce, son innumerables las demandas que hoy en día inundan los Tribunales reclamando la devolución de los gastos de formalización de préstamos hipotecarios </w:t>
      </w:r>
      <w:r w:rsidR="003C75AE" w:rsidRPr="00554476">
        <w:rPr>
          <w:rFonts w:ascii="Arial" w:hAnsi="Arial" w:cs="Arial"/>
          <w:sz w:val="20"/>
          <w:szCs w:val="20"/>
        </w:rPr>
        <w:t>y ello a pesar de que</w:t>
      </w:r>
      <w:r w:rsidR="00C1513C" w:rsidRPr="00554476">
        <w:rPr>
          <w:rFonts w:ascii="Arial" w:hAnsi="Arial" w:cs="Arial"/>
          <w:sz w:val="20"/>
          <w:szCs w:val="20"/>
        </w:rPr>
        <w:t>,</w:t>
      </w:r>
      <w:r w:rsidR="003C75AE" w:rsidRPr="00554476">
        <w:rPr>
          <w:rFonts w:ascii="Arial" w:hAnsi="Arial" w:cs="Arial"/>
          <w:sz w:val="20"/>
          <w:szCs w:val="20"/>
        </w:rPr>
        <w:t xml:space="preserve"> en </w:t>
      </w:r>
      <w:r w:rsidR="00C1513C" w:rsidRPr="00554476">
        <w:rPr>
          <w:rFonts w:ascii="Arial" w:hAnsi="Arial" w:cs="Arial"/>
          <w:sz w:val="20"/>
          <w:szCs w:val="20"/>
        </w:rPr>
        <w:t xml:space="preserve">la gran mayoría de </w:t>
      </w:r>
      <w:r w:rsidR="003C75AE" w:rsidRPr="00554476">
        <w:rPr>
          <w:rFonts w:ascii="Arial" w:hAnsi="Arial" w:cs="Arial"/>
          <w:sz w:val="20"/>
          <w:szCs w:val="20"/>
        </w:rPr>
        <w:t>ocasiones</w:t>
      </w:r>
      <w:r w:rsidR="00C1513C" w:rsidRPr="00554476">
        <w:rPr>
          <w:rFonts w:ascii="Arial" w:hAnsi="Arial" w:cs="Arial"/>
          <w:sz w:val="20"/>
          <w:szCs w:val="20"/>
        </w:rPr>
        <w:t>,</w:t>
      </w:r>
      <w:r w:rsidR="003C75AE" w:rsidRPr="00554476">
        <w:rPr>
          <w:rFonts w:ascii="Arial" w:hAnsi="Arial" w:cs="Arial"/>
          <w:sz w:val="20"/>
          <w:szCs w:val="20"/>
        </w:rPr>
        <w:t xml:space="preserve"> ha transcurrido </w:t>
      </w:r>
      <w:r w:rsidR="00C37880" w:rsidRPr="00554476">
        <w:rPr>
          <w:rFonts w:ascii="Arial" w:hAnsi="Arial" w:cs="Arial"/>
          <w:sz w:val="20"/>
          <w:szCs w:val="20"/>
        </w:rPr>
        <w:t xml:space="preserve">un largo periodo de tiempo </w:t>
      </w:r>
      <w:r w:rsidR="003C75AE" w:rsidRPr="00554476">
        <w:rPr>
          <w:rFonts w:ascii="Arial" w:hAnsi="Arial" w:cs="Arial"/>
          <w:sz w:val="20"/>
          <w:szCs w:val="20"/>
        </w:rPr>
        <w:t xml:space="preserve">desde el </w:t>
      </w:r>
      <w:r w:rsidR="00E32267" w:rsidRPr="00554476">
        <w:rPr>
          <w:rFonts w:ascii="Arial" w:hAnsi="Arial" w:cs="Arial"/>
          <w:sz w:val="20"/>
          <w:szCs w:val="20"/>
        </w:rPr>
        <w:t xml:space="preserve">abono de dichos </w:t>
      </w:r>
      <w:r w:rsidR="00B01CA1" w:rsidRPr="00554476">
        <w:rPr>
          <w:rFonts w:ascii="Arial" w:hAnsi="Arial" w:cs="Arial"/>
          <w:sz w:val="20"/>
          <w:szCs w:val="20"/>
        </w:rPr>
        <w:t>gastos hasta</w:t>
      </w:r>
      <w:r w:rsidR="00C1513C" w:rsidRPr="00554476">
        <w:rPr>
          <w:rFonts w:ascii="Arial" w:hAnsi="Arial" w:cs="Arial"/>
          <w:sz w:val="20"/>
          <w:szCs w:val="20"/>
        </w:rPr>
        <w:t xml:space="preserve"> la interposición de la demanda. Además,</w:t>
      </w:r>
      <w:r w:rsidR="00E32267" w:rsidRPr="00554476">
        <w:rPr>
          <w:rFonts w:ascii="Arial" w:hAnsi="Arial" w:cs="Arial"/>
          <w:sz w:val="20"/>
          <w:szCs w:val="20"/>
        </w:rPr>
        <w:t xml:space="preserve"> </w:t>
      </w:r>
      <w:r w:rsidR="009F5E4F" w:rsidRPr="00554476">
        <w:rPr>
          <w:rFonts w:ascii="Arial" w:hAnsi="Arial" w:cs="Arial"/>
          <w:sz w:val="20"/>
          <w:szCs w:val="20"/>
        </w:rPr>
        <w:t>normalmente</w:t>
      </w:r>
      <w:r w:rsidR="00B01CA1" w:rsidRPr="00554476">
        <w:rPr>
          <w:rFonts w:ascii="Arial" w:hAnsi="Arial" w:cs="Arial"/>
          <w:sz w:val="20"/>
          <w:szCs w:val="20"/>
        </w:rPr>
        <w:t xml:space="preserve"> </w:t>
      </w:r>
      <w:r w:rsidR="00E32267" w:rsidRPr="00554476">
        <w:rPr>
          <w:rFonts w:ascii="Arial" w:hAnsi="Arial" w:cs="Arial"/>
          <w:sz w:val="20"/>
          <w:szCs w:val="20"/>
        </w:rPr>
        <w:t xml:space="preserve">el </w:t>
      </w:r>
      <w:r w:rsidR="00B01CA1" w:rsidRPr="00554476">
        <w:rPr>
          <w:rFonts w:ascii="Arial" w:hAnsi="Arial" w:cs="Arial"/>
          <w:sz w:val="20"/>
          <w:szCs w:val="20"/>
        </w:rPr>
        <w:t xml:space="preserve">demandante de este tipo de </w:t>
      </w:r>
      <w:r w:rsidR="009F5E4F" w:rsidRPr="00554476">
        <w:rPr>
          <w:rFonts w:ascii="Arial" w:hAnsi="Arial" w:cs="Arial"/>
          <w:sz w:val="20"/>
          <w:szCs w:val="20"/>
        </w:rPr>
        <w:t>demandas tuvo</w:t>
      </w:r>
      <w:r w:rsidR="00C1513C" w:rsidRPr="00554476">
        <w:rPr>
          <w:rFonts w:ascii="Arial" w:hAnsi="Arial" w:cs="Arial"/>
          <w:sz w:val="20"/>
          <w:szCs w:val="20"/>
        </w:rPr>
        <w:t xml:space="preserve"> la oportunidad de comparar </w:t>
      </w:r>
      <w:r w:rsidR="003C75AE" w:rsidRPr="00554476">
        <w:rPr>
          <w:rFonts w:ascii="Arial" w:hAnsi="Arial" w:cs="Arial"/>
          <w:sz w:val="20"/>
          <w:szCs w:val="20"/>
        </w:rPr>
        <w:t xml:space="preserve">ofertas con otras entidades bancarias,  </w:t>
      </w:r>
      <w:r w:rsidR="00C1513C" w:rsidRPr="00554476">
        <w:rPr>
          <w:rFonts w:ascii="Arial" w:hAnsi="Arial" w:cs="Arial"/>
          <w:sz w:val="20"/>
          <w:szCs w:val="20"/>
        </w:rPr>
        <w:t xml:space="preserve">hizo efectiva el pago de la </w:t>
      </w:r>
      <w:r w:rsidR="003C75AE" w:rsidRPr="00554476">
        <w:rPr>
          <w:rFonts w:ascii="Arial" w:hAnsi="Arial" w:cs="Arial"/>
          <w:sz w:val="20"/>
          <w:szCs w:val="20"/>
        </w:rPr>
        <w:t xml:space="preserve">provisión de fondos </w:t>
      </w:r>
      <w:r w:rsidR="00C1513C" w:rsidRPr="00554476">
        <w:rPr>
          <w:rFonts w:ascii="Arial" w:hAnsi="Arial" w:cs="Arial"/>
          <w:sz w:val="20"/>
          <w:szCs w:val="20"/>
        </w:rPr>
        <w:t>para acarrear los gastos de la operación</w:t>
      </w:r>
      <w:r w:rsidR="003C75AE" w:rsidRPr="00554476">
        <w:rPr>
          <w:rFonts w:ascii="Arial" w:hAnsi="Arial" w:cs="Arial"/>
          <w:sz w:val="20"/>
          <w:szCs w:val="20"/>
        </w:rPr>
        <w:t xml:space="preserve">, </w:t>
      </w:r>
      <w:r w:rsidR="00C1513C" w:rsidRPr="00554476">
        <w:rPr>
          <w:rFonts w:ascii="Arial" w:hAnsi="Arial" w:cs="Arial"/>
          <w:sz w:val="20"/>
          <w:szCs w:val="20"/>
        </w:rPr>
        <w:t xml:space="preserve">abonó </w:t>
      </w:r>
      <w:r w:rsidR="003C75AE" w:rsidRPr="00554476">
        <w:rPr>
          <w:rFonts w:ascii="Arial" w:hAnsi="Arial" w:cs="Arial"/>
          <w:sz w:val="20"/>
          <w:szCs w:val="20"/>
        </w:rPr>
        <w:t>las correspondiente</w:t>
      </w:r>
      <w:r w:rsidR="00C1513C" w:rsidRPr="00554476">
        <w:rPr>
          <w:rFonts w:ascii="Arial" w:hAnsi="Arial" w:cs="Arial"/>
          <w:sz w:val="20"/>
          <w:szCs w:val="20"/>
        </w:rPr>
        <w:t>s</w:t>
      </w:r>
      <w:r w:rsidR="003C75AE" w:rsidRPr="00554476">
        <w:rPr>
          <w:rFonts w:ascii="Arial" w:hAnsi="Arial" w:cs="Arial"/>
          <w:sz w:val="20"/>
          <w:szCs w:val="20"/>
        </w:rPr>
        <w:t xml:space="preserve"> facturas y</w:t>
      </w:r>
      <w:r w:rsidR="00C1513C" w:rsidRPr="00554476">
        <w:rPr>
          <w:rFonts w:ascii="Arial" w:hAnsi="Arial" w:cs="Arial"/>
          <w:sz w:val="20"/>
          <w:szCs w:val="20"/>
        </w:rPr>
        <w:t>, finalmente,</w:t>
      </w:r>
      <w:r w:rsidR="003C75AE" w:rsidRPr="00554476">
        <w:rPr>
          <w:rFonts w:ascii="Arial" w:hAnsi="Arial" w:cs="Arial"/>
          <w:sz w:val="20"/>
          <w:szCs w:val="20"/>
        </w:rPr>
        <w:t xml:space="preserve"> </w:t>
      </w:r>
      <w:r w:rsidR="00C1513C" w:rsidRPr="00554476">
        <w:rPr>
          <w:rFonts w:ascii="Arial" w:hAnsi="Arial" w:cs="Arial"/>
          <w:sz w:val="20"/>
          <w:szCs w:val="20"/>
        </w:rPr>
        <w:t xml:space="preserve">adquirió </w:t>
      </w:r>
      <w:r w:rsidR="003C75AE" w:rsidRPr="00554476">
        <w:rPr>
          <w:rFonts w:ascii="Arial" w:hAnsi="Arial" w:cs="Arial"/>
          <w:sz w:val="20"/>
          <w:szCs w:val="20"/>
        </w:rPr>
        <w:t xml:space="preserve">su vivienda gracias a la concesión </w:t>
      </w:r>
      <w:r w:rsidR="00C1513C" w:rsidRPr="00554476">
        <w:rPr>
          <w:rFonts w:ascii="Arial" w:hAnsi="Arial" w:cs="Arial"/>
          <w:sz w:val="20"/>
          <w:szCs w:val="20"/>
        </w:rPr>
        <w:t xml:space="preserve">del </w:t>
      </w:r>
      <w:r w:rsidR="003C75AE" w:rsidRPr="00554476">
        <w:rPr>
          <w:rFonts w:ascii="Arial" w:hAnsi="Arial" w:cs="Arial"/>
          <w:sz w:val="20"/>
          <w:szCs w:val="20"/>
        </w:rPr>
        <w:t>préstamo hipotecario</w:t>
      </w:r>
      <w:r w:rsidR="00C1513C" w:rsidRPr="00554476">
        <w:rPr>
          <w:rFonts w:ascii="Arial" w:hAnsi="Arial" w:cs="Arial"/>
          <w:sz w:val="20"/>
          <w:szCs w:val="20"/>
        </w:rPr>
        <w:t xml:space="preserve"> por </w:t>
      </w:r>
      <w:r w:rsidR="00B01CA1" w:rsidRPr="00554476">
        <w:rPr>
          <w:rFonts w:ascii="Arial" w:hAnsi="Arial" w:cs="Arial"/>
          <w:sz w:val="20"/>
          <w:szCs w:val="20"/>
        </w:rPr>
        <w:t>parte de la correspondiente entidad bancaria</w:t>
      </w:r>
      <w:r w:rsidR="009F5E4F" w:rsidRPr="00554476">
        <w:rPr>
          <w:rFonts w:ascii="Arial" w:hAnsi="Arial" w:cs="Arial"/>
          <w:sz w:val="20"/>
          <w:szCs w:val="20"/>
        </w:rPr>
        <w:t xml:space="preserve"> </w:t>
      </w:r>
      <w:r w:rsidR="00C1513C" w:rsidRPr="00554476">
        <w:rPr>
          <w:rFonts w:ascii="Arial" w:hAnsi="Arial" w:cs="Arial"/>
          <w:sz w:val="20"/>
          <w:szCs w:val="20"/>
        </w:rPr>
        <w:t xml:space="preserve">e, incluso, ha venido </w:t>
      </w:r>
      <w:r w:rsidR="003C75AE" w:rsidRPr="00554476">
        <w:rPr>
          <w:rFonts w:ascii="Arial" w:hAnsi="Arial" w:cs="Arial"/>
          <w:sz w:val="20"/>
          <w:szCs w:val="20"/>
        </w:rPr>
        <w:t xml:space="preserve">abonando </w:t>
      </w:r>
      <w:r w:rsidR="00C1513C" w:rsidRPr="00554476">
        <w:rPr>
          <w:rFonts w:ascii="Arial" w:hAnsi="Arial" w:cs="Arial"/>
          <w:sz w:val="20"/>
          <w:szCs w:val="20"/>
        </w:rPr>
        <w:t xml:space="preserve">las cuotas del préstamo pactadas (capital e </w:t>
      </w:r>
      <w:r w:rsidR="003C75AE" w:rsidRPr="00554476">
        <w:rPr>
          <w:rFonts w:ascii="Arial" w:hAnsi="Arial" w:cs="Arial"/>
          <w:sz w:val="20"/>
          <w:szCs w:val="20"/>
        </w:rPr>
        <w:t>intereses</w:t>
      </w:r>
      <w:r w:rsidR="00C1513C" w:rsidRPr="00554476">
        <w:rPr>
          <w:rFonts w:ascii="Arial" w:hAnsi="Arial" w:cs="Arial"/>
          <w:sz w:val="20"/>
          <w:szCs w:val="20"/>
        </w:rPr>
        <w:t>)</w:t>
      </w:r>
      <w:r w:rsidR="003C75AE" w:rsidRPr="00554476">
        <w:rPr>
          <w:rFonts w:ascii="Arial" w:hAnsi="Arial" w:cs="Arial"/>
          <w:sz w:val="20"/>
          <w:szCs w:val="20"/>
        </w:rPr>
        <w:t xml:space="preserve"> </w:t>
      </w:r>
      <w:r w:rsidR="00C1513C" w:rsidRPr="00554476">
        <w:rPr>
          <w:rFonts w:ascii="Arial" w:hAnsi="Arial" w:cs="Arial"/>
          <w:sz w:val="20"/>
          <w:szCs w:val="20"/>
        </w:rPr>
        <w:t xml:space="preserve">validando con sus propios actos la conformidad con la cláusula que ahora pretende su nulidad. </w:t>
      </w:r>
    </w:p>
    <w:p w14:paraId="0990A62F" w14:textId="77777777" w:rsidR="009B6BF5" w:rsidRPr="00554476" w:rsidRDefault="009B6BF5" w:rsidP="00554476">
      <w:pPr>
        <w:spacing w:after="0" w:line="360" w:lineRule="auto"/>
        <w:jc w:val="both"/>
        <w:rPr>
          <w:rFonts w:ascii="Arial" w:hAnsi="Arial" w:cs="Arial"/>
          <w:sz w:val="20"/>
          <w:szCs w:val="20"/>
        </w:rPr>
      </w:pPr>
    </w:p>
    <w:p w14:paraId="0D440BF4" w14:textId="29102607" w:rsidR="002B0A94" w:rsidRPr="00554476" w:rsidRDefault="00906422" w:rsidP="00554476">
      <w:pPr>
        <w:pStyle w:val="Textocomentario"/>
        <w:spacing w:after="0" w:line="360" w:lineRule="auto"/>
        <w:jc w:val="both"/>
        <w:rPr>
          <w:rFonts w:ascii="Arial" w:hAnsi="Arial" w:cs="Arial"/>
        </w:rPr>
      </w:pPr>
      <w:r w:rsidRPr="00554476">
        <w:rPr>
          <w:rFonts w:ascii="Arial" w:hAnsi="Arial" w:cs="Arial"/>
        </w:rPr>
        <w:lastRenderedPageBreak/>
        <w:t xml:space="preserve">Debemos poner en contexto la situación en la que nos encontramos, después de un largo </w:t>
      </w:r>
      <w:r w:rsidR="003C75AE" w:rsidRPr="00554476">
        <w:rPr>
          <w:rFonts w:ascii="Arial" w:hAnsi="Arial" w:cs="Arial"/>
        </w:rPr>
        <w:t xml:space="preserve">periodo de tiempo </w:t>
      </w:r>
      <w:r w:rsidRPr="00554476">
        <w:rPr>
          <w:rFonts w:ascii="Arial" w:hAnsi="Arial" w:cs="Arial"/>
        </w:rPr>
        <w:t>desde la suscripción del préstamo</w:t>
      </w:r>
      <w:r w:rsidR="008A3B9A" w:rsidRPr="00554476">
        <w:rPr>
          <w:rFonts w:ascii="Arial" w:hAnsi="Arial" w:cs="Arial"/>
        </w:rPr>
        <w:t xml:space="preserve"> </w:t>
      </w:r>
      <w:r w:rsidR="009A32A1" w:rsidRPr="00554476">
        <w:rPr>
          <w:rFonts w:ascii="Arial" w:hAnsi="Arial" w:cs="Arial"/>
        </w:rPr>
        <w:t>(</w:t>
      </w:r>
      <w:r w:rsidR="004636DC">
        <w:rPr>
          <w:rFonts w:ascii="Arial" w:hAnsi="Arial" w:cs="Arial"/>
        </w:rPr>
        <w:fldChar w:fldCharType="begin"/>
      </w:r>
      <w:r w:rsidR="004636DC">
        <w:rPr>
          <w:rFonts w:ascii="Arial" w:hAnsi="Arial" w:cs="Arial"/>
        </w:rPr>
        <w:instrText>persovalores_personalizable1296</w:instrText>
      </w:r>
      <w:r w:rsidR="004636DC">
        <w:rPr>
          <w:rFonts w:ascii="Arial" w:hAnsi="Arial" w:cs="Arial"/>
        </w:rPr>
        <w:fldChar w:fldCharType="separate"/>
      </w:r>
      <w:r w:rsidR="004636DC">
        <w:rPr>
          <w:rFonts w:ascii="Arial" w:hAnsi="Arial" w:cs="Arial"/>
          <w:noProof/>
        </w:rPr>
        <w:t>«BANKINTER_CLAUSULAS_FECHA_DE_ESCRITURA»</w:t>
      </w:r>
      <w:r w:rsidR="004636DC">
        <w:rPr>
          <w:rFonts w:ascii="Arial" w:hAnsi="Arial" w:cs="Arial"/>
        </w:rPr>
        <w:fldChar w:fldCharType="end"/>
      </w:r>
      <w:r w:rsidR="004636DC">
        <w:rPr>
          <w:rFonts w:ascii="Arial" w:hAnsi="Arial" w:cs="Arial"/>
        </w:rPr>
        <w:t xml:space="preserve"> </w:t>
      </w:r>
      <w:r w:rsidR="00587BE1" w:rsidRPr="00554476">
        <w:rPr>
          <w:rFonts w:ascii="Arial" w:hAnsi="Arial" w:cs="Arial"/>
        </w:rPr>
        <w:t xml:space="preserve">con lo que han trascurrido </w:t>
      </w:r>
      <w:r w:rsidR="004636DC">
        <w:rPr>
          <w:rFonts w:ascii="Arial" w:hAnsi="Arial" w:cs="Arial"/>
        </w:rPr>
        <w:fldChar w:fldCharType="begin"/>
      </w:r>
      <w:r w:rsidR="004636DC">
        <w:rPr>
          <w:rFonts w:ascii="Arial" w:hAnsi="Arial" w:cs="Arial"/>
        </w:rPr>
        <w:instrText>persovalores_personalizable1297</w:instrText>
      </w:r>
      <w:r w:rsidR="004636DC">
        <w:rPr>
          <w:rFonts w:ascii="Arial" w:hAnsi="Arial" w:cs="Arial"/>
        </w:rPr>
        <w:fldChar w:fldCharType="separate"/>
      </w:r>
      <w:r w:rsidR="004636DC">
        <w:rPr>
          <w:rFonts w:ascii="Arial" w:hAnsi="Arial" w:cs="Arial"/>
          <w:noProof/>
        </w:rPr>
        <w:t>«BANKINTER_CLAUSULAS_AÑOS_TRANSCURRIDOS»</w:t>
      </w:r>
      <w:r w:rsidR="004636DC">
        <w:rPr>
          <w:rFonts w:ascii="Arial" w:hAnsi="Arial" w:cs="Arial"/>
        </w:rPr>
        <w:fldChar w:fldCharType="end"/>
      </w:r>
      <w:r w:rsidR="00587BE1" w:rsidRPr="00554476">
        <w:rPr>
          <w:rFonts w:ascii="Arial" w:hAnsi="Arial" w:cs="Arial"/>
        </w:rPr>
        <w:t xml:space="preserve"> años desde entonces</w:t>
      </w:r>
      <w:r w:rsidR="00802409" w:rsidRPr="00554476">
        <w:rPr>
          <w:rFonts w:ascii="Arial" w:hAnsi="Arial" w:cs="Arial"/>
        </w:rPr>
        <w:t xml:space="preserve"> hasta la interposición de la demanda</w:t>
      </w:r>
      <w:r w:rsidRPr="00554476">
        <w:rPr>
          <w:rFonts w:ascii="Arial" w:hAnsi="Arial" w:cs="Arial"/>
        </w:rPr>
        <w:t xml:space="preserve">) </w:t>
      </w:r>
      <w:r w:rsidR="003C75AE" w:rsidRPr="00554476">
        <w:rPr>
          <w:rFonts w:ascii="Arial" w:hAnsi="Arial" w:cs="Arial"/>
        </w:rPr>
        <w:t xml:space="preserve">sin que el prestatario hubiera manifestado </w:t>
      </w:r>
      <w:r w:rsidRPr="00554476">
        <w:rPr>
          <w:rFonts w:ascii="Arial" w:hAnsi="Arial" w:cs="Arial"/>
        </w:rPr>
        <w:t xml:space="preserve">ni </w:t>
      </w:r>
      <w:r w:rsidR="003C75AE" w:rsidRPr="00554476">
        <w:rPr>
          <w:rFonts w:ascii="Arial" w:hAnsi="Arial" w:cs="Arial"/>
        </w:rPr>
        <w:t xml:space="preserve">duda ni queja </w:t>
      </w:r>
      <w:r w:rsidR="001F5D4A" w:rsidRPr="00554476">
        <w:rPr>
          <w:rFonts w:ascii="Arial" w:hAnsi="Arial" w:cs="Arial"/>
        </w:rPr>
        <w:t>alguna</w:t>
      </w:r>
      <w:r w:rsidR="00B01CA1" w:rsidRPr="00554476">
        <w:rPr>
          <w:rFonts w:ascii="Arial" w:hAnsi="Arial" w:cs="Arial"/>
        </w:rPr>
        <w:t xml:space="preserve"> y sin que nadie hubiera cuestionado la condición de sujeto pasivo del prestatario prevista en la normativa tributaria vigente</w:t>
      </w:r>
      <w:r w:rsidRPr="00554476">
        <w:rPr>
          <w:rFonts w:ascii="Arial" w:hAnsi="Arial" w:cs="Arial"/>
        </w:rPr>
        <w:t xml:space="preserve">, el </w:t>
      </w:r>
      <w:r w:rsidRPr="00A4153C">
        <w:rPr>
          <w:rFonts w:ascii="Arial" w:hAnsi="Arial" w:cs="Arial"/>
          <w:b/>
        </w:rPr>
        <w:t xml:space="preserve">Tribunal Supremo declara nula la cláusula de gastos en su Sentencia nº 705/2015, de 23 de diciembre, </w:t>
      </w:r>
      <w:r w:rsidR="003C75AE" w:rsidRPr="00A4153C">
        <w:rPr>
          <w:rFonts w:ascii="Arial" w:hAnsi="Arial" w:cs="Arial"/>
          <w:b/>
        </w:rPr>
        <w:t>de la Sala Primera</w:t>
      </w:r>
      <w:r w:rsidR="00C37880" w:rsidRPr="00554476">
        <w:rPr>
          <w:rFonts w:ascii="Arial" w:hAnsi="Arial" w:cs="Arial"/>
        </w:rPr>
        <w:t>. Todo ello,</w:t>
      </w:r>
      <w:r w:rsidR="003C75AE" w:rsidRPr="00554476">
        <w:rPr>
          <w:rFonts w:ascii="Arial" w:hAnsi="Arial" w:cs="Arial"/>
        </w:rPr>
        <w:t xml:space="preserve"> </w:t>
      </w:r>
      <w:r w:rsidR="00294B4B" w:rsidRPr="00554476">
        <w:rPr>
          <w:rFonts w:ascii="Arial" w:hAnsi="Arial" w:cs="Arial"/>
        </w:rPr>
        <w:t xml:space="preserve">resulta contrario al principio de seguridad jurídica </w:t>
      </w:r>
      <w:r w:rsidR="002B0A94" w:rsidRPr="00554476">
        <w:rPr>
          <w:rFonts w:ascii="Arial" w:hAnsi="Arial" w:cs="Arial"/>
        </w:rPr>
        <w:t xml:space="preserve">y a la </w:t>
      </w:r>
      <w:r w:rsidR="00294B4B" w:rsidRPr="00554476">
        <w:rPr>
          <w:rFonts w:ascii="Arial" w:hAnsi="Arial" w:cs="Arial"/>
        </w:rPr>
        <w:t xml:space="preserve">propia normativa de protección de </w:t>
      </w:r>
      <w:r w:rsidR="002B0A94" w:rsidRPr="00554476">
        <w:rPr>
          <w:rFonts w:ascii="Arial" w:hAnsi="Arial" w:cs="Arial"/>
        </w:rPr>
        <w:t xml:space="preserve">los </w:t>
      </w:r>
      <w:r w:rsidR="00294B4B" w:rsidRPr="00554476">
        <w:rPr>
          <w:rFonts w:ascii="Arial" w:hAnsi="Arial" w:cs="Arial"/>
        </w:rPr>
        <w:t>consumidores que, como analizaremos, exige no sólo la existencia de un desequilibrio importante en la cláusula (insistimos, desequilibrio importante) sino que el empresario haya incluido esa cláusula “</w:t>
      </w:r>
      <w:r w:rsidR="00294B4B" w:rsidRPr="00554476">
        <w:rPr>
          <w:rFonts w:ascii="Arial" w:hAnsi="Arial" w:cs="Arial"/>
          <w:i/>
        </w:rPr>
        <w:t>contra las exigencias de la buena fe</w:t>
      </w:r>
      <w:r w:rsidR="00294B4B" w:rsidRPr="00554476">
        <w:rPr>
          <w:rFonts w:ascii="Arial" w:hAnsi="Arial" w:cs="Arial"/>
        </w:rPr>
        <w:t xml:space="preserve">”, requisito que parece obviarse </w:t>
      </w:r>
      <w:r w:rsidR="00C37880" w:rsidRPr="00554476">
        <w:rPr>
          <w:rFonts w:ascii="Arial" w:hAnsi="Arial" w:cs="Arial"/>
        </w:rPr>
        <w:t>de una manera generalizada</w:t>
      </w:r>
      <w:r w:rsidR="00B01CA1" w:rsidRPr="00554476">
        <w:rPr>
          <w:rFonts w:ascii="Arial" w:hAnsi="Arial" w:cs="Arial"/>
        </w:rPr>
        <w:t xml:space="preserve"> en los tiempos que corren, como si toda entidad bancaria actuara </w:t>
      </w:r>
      <w:r w:rsidR="00B01CA1" w:rsidRPr="00554476">
        <w:rPr>
          <w:rFonts w:ascii="Arial" w:hAnsi="Arial" w:cs="Arial"/>
          <w:i/>
        </w:rPr>
        <w:t>per se</w:t>
      </w:r>
      <w:r w:rsidR="00B01CA1" w:rsidRPr="00554476">
        <w:rPr>
          <w:rFonts w:ascii="Arial" w:hAnsi="Arial" w:cs="Arial"/>
        </w:rPr>
        <w:t xml:space="preserve"> con mala fe, lo que, permítasenos afirmar</w:t>
      </w:r>
      <w:r w:rsidR="00A274FD" w:rsidRPr="00554476">
        <w:rPr>
          <w:rFonts w:ascii="Arial" w:hAnsi="Arial" w:cs="Arial"/>
        </w:rPr>
        <w:t xml:space="preserve">lo con toda contundencia, </w:t>
      </w:r>
      <w:r w:rsidR="00B01CA1" w:rsidRPr="00554476">
        <w:rPr>
          <w:rFonts w:ascii="Arial" w:hAnsi="Arial" w:cs="Arial"/>
        </w:rPr>
        <w:t xml:space="preserve">no puede ser </w:t>
      </w:r>
      <w:r w:rsidR="00A274FD" w:rsidRPr="00554476">
        <w:rPr>
          <w:rFonts w:ascii="Arial" w:hAnsi="Arial" w:cs="Arial"/>
        </w:rPr>
        <w:t xml:space="preserve">afirmado en </w:t>
      </w:r>
      <w:r w:rsidR="00B01CA1" w:rsidRPr="00554476">
        <w:rPr>
          <w:rFonts w:ascii="Arial" w:hAnsi="Arial" w:cs="Arial"/>
        </w:rPr>
        <w:t>sede judicial sin las pruebas que así lo acrediten</w:t>
      </w:r>
      <w:r w:rsidR="009A32A1" w:rsidRPr="00554476">
        <w:rPr>
          <w:rFonts w:ascii="Arial" w:hAnsi="Arial" w:cs="Arial"/>
        </w:rPr>
        <w:t>.</w:t>
      </w:r>
    </w:p>
    <w:p w14:paraId="068B4FEF" w14:textId="77777777" w:rsidR="009B6BF5" w:rsidRPr="00554476" w:rsidRDefault="009B6BF5" w:rsidP="00554476">
      <w:pPr>
        <w:pStyle w:val="Textocomentario"/>
        <w:spacing w:after="0" w:line="360" w:lineRule="auto"/>
        <w:jc w:val="both"/>
        <w:rPr>
          <w:rFonts w:ascii="Arial" w:hAnsi="Arial" w:cs="Arial"/>
        </w:rPr>
      </w:pPr>
    </w:p>
    <w:p w14:paraId="29863175" w14:textId="77777777" w:rsidR="008A3B9A" w:rsidRPr="00554476" w:rsidRDefault="00C37880" w:rsidP="00554476">
      <w:pPr>
        <w:spacing w:after="0" w:line="360" w:lineRule="auto"/>
        <w:jc w:val="both"/>
        <w:rPr>
          <w:rFonts w:ascii="Arial" w:hAnsi="Arial" w:cs="Arial"/>
          <w:sz w:val="20"/>
          <w:szCs w:val="20"/>
        </w:rPr>
      </w:pPr>
      <w:r w:rsidRPr="00554476">
        <w:rPr>
          <w:rFonts w:ascii="Arial" w:hAnsi="Arial" w:cs="Arial"/>
          <w:sz w:val="20"/>
          <w:szCs w:val="20"/>
        </w:rPr>
        <w:t xml:space="preserve">Asimismo, según afirma el </w:t>
      </w:r>
      <w:r w:rsidRPr="00A4153C">
        <w:rPr>
          <w:rFonts w:ascii="Arial" w:hAnsi="Arial" w:cs="Arial"/>
          <w:b/>
          <w:sz w:val="20"/>
          <w:szCs w:val="20"/>
        </w:rPr>
        <w:t>artículo 4 de la Directiva 93/13/CEE del Consejo</w:t>
      </w:r>
      <w:r w:rsidRPr="00554476">
        <w:rPr>
          <w:rFonts w:ascii="Arial" w:hAnsi="Arial" w:cs="Arial"/>
          <w:sz w:val="20"/>
          <w:szCs w:val="20"/>
        </w:rPr>
        <w:t xml:space="preserve">, </w:t>
      </w:r>
      <w:r w:rsidRPr="00A4153C">
        <w:rPr>
          <w:rFonts w:ascii="Arial" w:hAnsi="Arial" w:cs="Arial"/>
          <w:b/>
          <w:sz w:val="20"/>
          <w:szCs w:val="20"/>
        </w:rPr>
        <w:t>de 5 de abril de 1993</w:t>
      </w:r>
      <w:r w:rsidRPr="00554476">
        <w:rPr>
          <w:rFonts w:ascii="Arial" w:hAnsi="Arial" w:cs="Arial"/>
          <w:sz w:val="20"/>
          <w:szCs w:val="20"/>
        </w:rPr>
        <w:t>, sobre las cláusulas abusivas en los contratos celebrados con consumidores (en adelante la Directiva 93/13</w:t>
      </w:r>
      <w:r w:rsidR="002B0A94" w:rsidRPr="00554476">
        <w:rPr>
          <w:rFonts w:ascii="Arial" w:hAnsi="Arial" w:cs="Arial"/>
          <w:sz w:val="20"/>
          <w:szCs w:val="20"/>
        </w:rPr>
        <w:t>/CEE</w:t>
      </w:r>
      <w:r w:rsidRPr="00554476">
        <w:rPr>
          <w:rFonts w:ascii="Arial" w:hAnsi="Arial" w:cs="Arial"/>
          <w:sz w:val="20"/>
          <w:szCs w:val="20"/>
        </w:rPr>
        <w:t xml:space="preserve">), la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de una cláusula contractual “</w:t>
      </w:r>
      <w:r w:rsidRPr="00554476">
        <w:rPr>
          <w:rFonts w:ascii="Arial" w:hAnsi="Arial" w:cs="Arial"/>
          <w:i/>
          <w:sz w:val="20"/>
          <w:szCs w:val="20"/>
        </w:rPr>
        <w:t>se apreciará teniendo en cuenta la naturaleza de los bienes o servicios que sean objeto del contrato y considerando, en el momento de la celebración del mismo, todas las circunstancias que concurran en su celebración, así como todas las demás cláusulas del contrato, o de otro contrato del que dependa</w:t>
      </w:r>
      <w:r w:rsidRPr="00554476">
        <w:rPr>
          <w:rFonts w:ascii="Arial" w:hAnsi="Arial" w:cs="Arial"/>
          <w:sz w:val="20"/>
          <w:szCs w:val="20"/>
        </w:rPr>
        <w:t xml:space="preserve">”. Dicha prohibición de valorar la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“a toro pasado” con un claro sesgo </w:t>
      </w:r>
      <w:r w:rsidR="00E32267" w:rsidRPr="00554476">
        <w:rPr>
          <w:rFonts w:ascii="Arial" w:hAnsi="Arial" w:cs="Arial"/>
          <w:sz w:val="20"/>
          <w:szCs w:val="20"/>
        </w:rPr>
        <w:t>retrospectivo</w:t>
      </w:r>
      <w:r w:rsidR="00247EB8" w:rsidRPr="00554476">
        <w:rPr>
          <w:rFonts w:ascii="Arial" w:hAnsi="Arial" w:cs="Arial"/>
          <w:sz w:val="20"/>
          <w:szCs w:val="20"/>
        </w:rPr>
        <w:t>,</w:t>
      </w:r>
      <w:r w:rsidRPr="00554476">
        <w:rPr>
          <w:rFonts w:ascii="Arial" w:hAnsi="Arial" w:cs="Arial"/>
          <w:sz w:val="20"/>
          <w:szCs w:val="20"/>
        </w:rPr>
        <w:t xml:space="preserve"> también </w:t>
      </w:r>
      <w:r w:rsidR="008255D4" w:rsidRPr="00554476">
        <w:rPr>
          <w:rFonts w:ascii="Arial" w:hAnsi="Arial" w:cs="Arial"/>
          <w:sz w:val="20"/>
          <w:szCs w:val="20"/>
        </w:rPr>
        <w:t>ha sido reconocida por el T</w:t>
      </w:r>
      <w:r w:rsidR="002B0A94" w:rsidRPr="00554476">
        <w:rPr>
          <w:rFonts w:ascii="Arial" w:hAnsi="Arial" w:cs="Arial"/>
          <w:sz w:val="20"/>
          <w:szCs w:val="20"/>
        </w:rPr>
        <w:t xml:space="preserve">ribunal de Justicia de la </w:t>
      </w:r>
      <w:r w:rsidR="008255D4" w:rsidRPr="00554476">
        <w:rPr>
          <w:rFonts w:ascii="Arial" w:hAnsi="Arial" w:cs="Arial"/>
          <w:sz w:val="20"/>
          <w:szCs w:val="20"/>
        </w:rPr>
        <w:t>U</w:t>
      </w:r>
      <w:r w:rsidR="002B0A94" w:rsidRPr="00554476">
        <w:rPr>
          <w:rFonts w:ascii="Arial" w:hAnsi="Arial" w:cs="Arial"/>
          <w:sz w:val="20"/>
          <w:szCs w:val="20"/>
        </w:rPr>
        <w:t xml:space="preserve">nión </w:t>
      </w:r>
      <w:r w:rsidR="008255D4" w:rsidRPr="00554476">
        <w:rPr>
          <w:rFonts w:ascii="Arial" w:hAnsi="Arial" w:cs="Arial"/>
          <w:sz w:val="20"/>
          <w:szCs w:val="20"/>
        </w:rPr>
        <w:t>E</w:t>
      </w:r>
      <w:r w:rsidR="002B0A94" w:rsidRPr="00554476">
        <w:rPr>
          <w:rFonts w:ascii="Arial" w:hAnsi="Arial" w:cs="Arial"/>
          <w:sz w:val="20"/>
          <w:szCs w:val="20"/>
        </w:rPr>
        <w:t>urope</w:t>
      </w:r>
      <w:r w:rsidR="00247EB8" w:rsidRPr="00554476">
        <w:rPr>
          <w:rFonts w:ascii="Arial" w:hAnsi="Arial" w:cs="Arial"/>
          <w:sz w:val="20"/>
          <w:szCs w:val="20"/>
        </w:rPr>
        <w:t>a (en adelante, TJUE)</w:t>
      </w:r>
      <w:r w:rsidR="00A274FD" w:rsidRPr="00554476">
        <w:rPr>
          <w:rFonts w:ascii="Arial" w:hAnsi="Arial" w:cs="Arial"/>
          <w:sz w:val="20"/>
          <w:szCs w:val="20"/>
        </w:rPr>
        <w:t>, lo que también parece ser obviado con carácter general en estos momentos</w:t>
      </w:r>
      <w:r w:rsidRPr="00554476">
        <w:rPr>
          <w:rFonts w:ascii="Arial" w:hAnsi="Arial" w:cs="Arial"/>
          <w:sz w:val="20"/>
          <w:szCs w:val="20"/>
        </w:rPr>
        <w:t xml:space="preserve">. </w:t>
      </w:r>
    </w:p>
    <w:p w14:paraId="3037084A" w14:textId="5B307278" w:rsidR="009B6BF5" w:rsidRPr="00554476" w:rsidRDefault="009B6BF5" w:rsidP="00554476">
      <w:pPr>
        <w:pStyle w:val="Textocomentario"/>
        <w:spacing w:after="0" w:line="360" w:lineRule="auto"/>
        <w:jc w:val="both"/>
        <w:rPr>
          <w:rFonts w:ascii="Arial" w:hAnsi="Arial" w:cs="Arial"/>
        </w:rPr>
      </w:pPr>
    </w:p>
    <w:p w14:paraId="4A45D0C7" w14:textId="1CD5DF3B" w:rsidR="00DC7858" w:rsidRDefault="006334DC" w:rsidP="00554476">
      <w:pPr>
        <w:pStyle w:val="Textocomentario"/>
        <w:spacing w:after="0" w:line="360" w:lineRule="auto"/>
        <w:jc w:val="both"/>
        <w:rPr>
          <w:rFonts w:ascii="Arial" w:hAnsi="Arial" w:cs="Arial"/>
        </w:rPr>
      </w:pPr>
      <w:r w:rsidRPr="00554476">
        <w:rPr>
          <w:rFonts w:ascii="Arial" w:hAnsi="Arial" w:cs="Arial"/>
        </w:rPr>
        <w:t>Finalmente, como ya hemos indicado, y ya en relación con todos los gastos cuya restitución ahora se pretende, n</w:t>
      </w:r>
      <w:r w:rsidR="00D12FB3" w:rsidRPr="00554476">
        <w:rPr>
          <w:rFonts w:ascii="Arial" w:hAnsi="Arial" w:cs="Arial"/>
        </w:rPr>
        <w:t xml:space="preserve">o es posible que sea obviado un hecho trascendental en este tipo de asuntos, como es </w:t>
      </w:r>
      <w:r w:rsidR="00B25CF3" w:rsidRPr="00554476">
        <w:rPr>
          <w:rFonts w:ascii="Arial" w:hAnsi="Arial" w:cs="Arial"/>
        </w:rPr>
        <w:t>el dilatado transcurso de</w:t>
      </w:r>
      <w:r w:rsidR="00A92092" w:rsidRPr="00554476">
        <w:rPr>
          <w:rFonts w:ascii="Arial" w:hAnsi="Arial" w:cs="Arial"/>
        </w:rPr>
        <w:t>l</w:t>
      </w:r>
      <w:r w:rsidR="00B25CF3" w:rsidRPr="00554476">
        <w:rPr>
          <w:rFonts w:ascii="Arial" w:hAnsi="Arial" w:cs="Arial"/>
        </w:rPr>
        <w:t xml:space="preserve"> tiempo entre el desembolso de los gastos de formalización del préstamo hipotecario suscrito por el actor en </w:t>
      </w:r>
      <w:r w:rsidR="00B25CF3" w:rsidRPr="00464B51">
        <w:rPr>
          <w:rFonts w:ascii="Arial" w:hAnsi="Arial" w:cs="Arial"/>
          <w:highlight w:val="yellow"/>
        </w:rPr>
        <w:t xml:space="preserve">fecha </w:t>
      </w:r>
      <w:r w:rsidR="00F00F0B">
        <w:rPr>
          <w:rFonts w:ascii="Arial" w:hAnsi="Arial" w:cs="Arial"/>
          <w:highlight w:val="yellow"/>
        </w:rPr>
        <w:fldChar w:fldCharType="begin"/>
      </w:r>
      <w:r w:rsidR="00F00F0B">
        <w:rPr>
          <w:rFonts w:ascii="Arial" w:hAnsi="Arial" w:cs="Arial"/>
          <w:highlight w:val="yellow"/>
        </w:rPr>
        <w:instrText>persovalores_personalizable1296</w:instrText>
      </w:r>
      <w:r w:rsidR="00F00F0B">
        <w:rPr>
          <w:rFonts w:ascii="Arial" w:hAnsi="Arial" w:cs="Arial"/>
          <w:highlight w:val="yellow"/>
        </w:rPr>
        <w:fldChar w:fldCharType="separate"/>
      </w:r>
      <w:r w:rsidR="00F00F0B">
        <w:rPr>
          <w:rFonts w:ascii="Arial" w:hAnsi="Arial" w:cs="Arial"/>
          <w:noProof/>
          <w:highlight w:val="yellow"/>
        </w:rPr>
        <w:t>«BANKINTER_CLAUSULAS_FECHA_DE_ESCRITURA»</w:t>
      </w:r>
      <w:r w:rsidR="00F00F0B">
        <w:rPr>
          <w:rFonts w:ascii="Arial" w:hAnsi="Arial" w:cs="Arial"/>
          <w:highlight w:val="yellow"/>
        </w:rPr>
        <w:fldChar w:fldCharType="end"/>
      </w:r>
      <w:r w:rsidR="008A3B9A" w:rsidRPr="00554476">
        <w:rPr>
          <w:rFonts w:ascii="Arial" w:hAnsi="Arial" w:cs="Arial"/>
        </w:rPr>
        <w:t xml:space="preserve"> </w:t>
      </w:r>
      <w:r w:rsidR="00B25CF3" w:rsidRPr="00554476">
        <w:rPr>
          <w:rFonts w:ascii="Arial" w:hAnsi="Arial" w:cs="Arial"/>
        </w:rPr>
        <w:t xml:space="preserve">y la </w:t>
      </w:r>
      <w:r w:rsidR="00A92092" w:rsidRPr="00554476">
        <w:rPr>
          <w:rFonts w:ascii="Arial" w:hAnsi="Arial" w:cs="Arial"/>
        </w:rPr>
        <w:t xml:space="preserve">interposición de </w:t>
      </w:r>
      <w:r w:rsidR="00B25CF3" w:rsidRPr="00554476">
        <w:rPr>
          <w:rFonts w:ascii="Arial" w:hAnsi="Arial" w:cs="Arial"/>
        </w:rPr>
        <w:t>la d</w:t>
      </w:r>
      <w:r w:rsidR="008A3B9A" w:rsidRPr="00554476">
        <w:rPr>
          <w:rFonts w:ascii="Arial" w:hAnsi="Arial" w:cs="Arial"/>
        </w:rPr>
        <w:t>emanda</w:t>
      </w:r>
      <w:r w:rsidR="00B25CF3" w:rsidRPr="00554476">
        <w:rPr>
          <w:rFonts w:ascii="Arial" w:hAnsi="Arial" w:cs="Arial"/>
        </w:rPr>
        <w:t xml:space="preserve">, </w:t>
      </w:r>
      <w:r w:rsidR="00D12FB3" w:rsidRPr="00554476">
        <w:rPr>
          <w:rFonts w:ascii="Arial" w:hAnsi="Arial" w:cs="Arial"/>
        </w:rPr>
        <w:t xml:space="preserve"> que debe llevar a la conclusión de que, al menos</w:t>
      </w:r>
      <w:r w:rsidR="00A92092" w:rsidRPr="00554476">
        <w:rPr>
          <w:rFonts w:ascii="Arial" w:hAnsi="Arial" w:cs="Arial"/>
        </w:rPr>
        <w:t>,</w:t>
      </w:r>
      <w:r w:rsidR="00D12FB3" w:rsidRPr="00554476">
        <w:rPr>
          <w:rFonts w:ascii="Arial" w:hAnsi="Arial" w:cs="Arial"/>
        </w:rPr>
        <w:t xml:space="preserve"> la acción restitutoria debe ser declarada </w:t>
      </w:r>
      <w:r w:rsidR="008A3B9A" w:rsidRPr="00554476">
        <w:rPr>
          <w:rFonts w:ascii="Arial" w:hAnsi="Arial" w:cs="Arial"/>
        </w:rPr>
        <w:t xml:space="preserve">prescrita, </w:t>
      </w:r>
      <w:r w:rsidR="00D12FB3" w:rsidRPr="00554476">
        <w:rPr>
          <w:rFonts w:ascii="Arial" w:hAnsi="Arial" w:cs="Arial"/>
        </w:rPr>
        <w:t>que ha vulnerado el principio de confianza legítima de ambas partes en la validez de</w:t>
      </w:r>
      <w:r w:rsidR="00A92092" w:rsidRPr="00554476">
        <w:rPr>
          <w:rFonts w:ascii="Arial" w:hAnsi="Arial" w:cs="Arial"/>
        </w:rPr>
        <w:t>l contrato celebrado</w:t>
      </w:r>
      <w:r w:rsidR="00D12FB3" w:rsidRPr="00554476">
        <w:rPr>
          <w:rFonts w:ascii="Arial" w:hAnsi="Arial" w:cs="Arial"/>
        </w:rPr>
        <w:t xml:space="preserve"> con libre consentimiento de ambas</w:t>
      </w:r>
      <w:r w:rsidR="00A92092" w:rsidRPr="00554476">
        <w:rPr>
          <w:rFonts w:ascii="Arial" w:hAnsi="Arial" w:cs="Arial"/>
        </w:rPr>
        <w:t>,</w:t>
      </w:r>
      <w:r w:rsidR="00D12FB3" w:rsidRPr="00554476">
        <w:rPr>
          <w:rFonts w:ascii="Arial" w:hAnsi="Arial" w:cs="Arial"/>
        </w:rPr>
        <w:t xml:space="preserve"> </w:t>
      </w:r>
      <w:r w:rsidR="00B25CF3" w:rsidRPr="00554476">
        <w:rPr>
          <w:rFonts w:ascii="Arial" w:hAnsi="Arial" w:cs="Arial"/>
        </w:rPr>
        <w:t xml:space="preserve">lo que debería </w:t>
      </w:r>
      <w:r w:rsidR="00D12FB3" w:rsidRPr="00554476">
        <w:rPr>
          <w:rFonts w:ascii="Arial" w:hAnsi="Arial" w:cs="Arial"/>
        </w:rPr>
        <w:t xml:space="preserve">igualmente debería </w:t>
      </w:r>
      <w:r w:rsidR="00B25CF3" w:rsidRPr="00554476">
        <w:rPr>
          <w:rFonts w:ascii="Arial" w:hAnsi="Arial" w:cs="Arial"/>
        </w:rPr>
        <w:t>conllevar</w:t>
      </w:r>
      <w:r w:rsidR="00A92092" w:rsidRPr="00554476">
        <w:rPr>
          <w:rFonts w:ascii="Arial" w:hAnsi="Arial" w:cs="Arial"/>
        </w:rPr>
        <w:t xml:space="preserve"> a</w:t>
      </w:r>
      <w:r w:rsidR="00B25CF3" w:rsidRPr="00554476">
        <w:rPr>
          <w:rFonts w:ascii="Arial" w:hAnsi="Arial" w:cs="Arial"/>
        </w:rPr>
        <w:t xml:space="preserve"> la desestimación de la demanda.</w:t>
      </w:r>
    </w:p>
    <w:p w14:paraId="73675096" w14:textId="0F724920" w:rsidR="00DC7858" w:rsidRDefault="00DC7858" w:rsidP="00554476">
      <w:pPr>
        <w:spacing w:after="0" w:line="360" w:lineRule="auto"/>
        <w:jc w:val="both"/>
        <w:rPr>
          <w:rFonts w:ascii="Arial" w:hAnsi="Arial" w:cs="Arial"/>
          <w:sz w:val="20"/>
          <w:szCs w:val="20"/>
        </w:rPr>
      </w:pPr>
    </w:p>
    <w:p w14:paraId="2E6C1064" w14:textId="1B43CF35" w:rsidR="00DB5275" w:rsidRDefault="00DB5275" w:rsidP="00554476">
      <w:pPr>
        <w:spacing w:after="0" w:line="360" w:lineRule="auto"/>
        <w:jc w:val="both"/>
        <w:rPr>
          <w:rFonts w:ascii="Arial" w:hAnsi="Arial" w:cs="Arial"/>
          <w:sz w:val="20"/>
          <w:szCs w:val="20"/>
        </w:rPr>
      </w:pPr>
    </w:p>
    <w:p w14:paraId="1370E838" w14:textId="5E2A7DED" w:rsidR="00DB5275" w:rsidRDefault="00DB5275" w:rsidP="00554476">
      <w:pPr>
        <w:spacing w:after="0" w:line="360" w:lineRule="auto"/>
        <w:jc w:val="both"/>
        <w:rPr>
          <w:rFonts w:ascii="Arial" w:hAnsi="Arial" w:cs="Arial"/>
          <w:sz w:val="20"/>
          <w:szCs w:val="20"/>
        </w:rPr>
      </w:pPr>
    </w:p>
    <w:p w14:paraId="1F2DC97D" w14:textId="6B5F0CFC" w:rsidR="00DB5275" w:rsidRDefault="00DB5275" w:rsidP="00554476">
      <w:pPr>
        <w:spacing w:after="0" w:line="360" w:lineRule="auto"/>
        <w:jc w:val="both"/>
        <w:rPr>
          <w:rFonts w:ascii="Arial" w:hAnsi="Arial" w:cs="Arial"/>
          <w:sz w:val="20"/>
          <w:szCs w:val="20"/>
        </w:rPr>
      </w:pPr>
    </w:p>
    <w:p w14:paraId="388212DD" w14:textId="76A2B69D" w:rsidR="00DB5275" w:rsidRDefault="00DB5275" w:rsidP="00554476">
      <w:pPr>
        <w:spacing w:after="0" w:line="360" w:lineRule="auto"/>
        <w:jc w:val="both"/>
        <w:rPr>
          <w:rFonts w:ascii="Arial" w:hAnsi="Arial" w:cs="Arial"/>
          <w:sz w:val="20"/>
          <w:szCs w:val="20"/>
        </w:rPr>
      </w:pPr>
    </w:p>
    <w:p w14:paraId="5B44961A" w14:textId="07F1C3DC" w:rsidR="00DB5275" w:rsidRDefault="00DB5275" w:rsidP="00554476">
      <w:pPr>
        <w:spacing w:after="0" w:line="360" w:lineRule="auto"/>
        <w:jc w:val="both"/>
        <w:rPr>
          <w:rFonts w:ascii="Arial" w:hAnsi="Arial" w:cs="Arial"/>
          <w:sz w:val="20"/>
          <w:szCs w:val="20"/>
        </w:rPr>
      </w:pPr>
    </w:p>
    <w:p w14:paraId="60F382D8" w14:textId="77777777" w:rsidR="00DB5275" w:rsidRPr="00554476" w:rsidRDefault="00DB5275" w:rsidP="00554476">
      <w:pPr>
        <w:spacing w:after="0" w:line="360" w:lineRule="auto"/>
        <w:jc w:val="both"/>
        <w:rPr>
          <w:rFonts w:ascii="Arial" w:hAnsi="Arial" w:cs="Arial"/>
          <w:sz w:val="20"/>
          <w:szCs w:val="20"/>
        </w:rPr>
      </w:pPr>
    </w:p>
    <w:p w14:paraId="5D8B72B7" w14:textId="77777777" w:rsidR="007F1E46" w:rsidRPr="00554476" w:rsidRDefault="007F1E46" w:rsidP="00554476">
      <w:pPr>
        <w:pStyle w:val="Ttulo1"/>
        <w:spacing w:before="0" w:line="360" w:lineRule="auto"/>
        <w:jc w:val="center"/>
        <w:rPr>
          <w:rFonts w:ascii="Arial" w:eastAsia="Bankinter" w:hAnsi="Arial" w:cs="Arial"/>
          <w:color w:val="auto"/>
          <w:sz w:val="20"/>
          <w:szCs w:val="20"/>
        </w:rPr>
      </w:pPr>
      <w:bookmarkStart w:id="2" w:name="_Toc54185186"/>
      <w:r w:rsidRPr="00554476">
        <w:rPr>
          <w:rFonts w:ascii="Arial" w:eastAsia="Bankinter" w:hAnsi="Arial" w:cs="Arial"/>
          <w:color w:val="auto"/>
          <w:sz w:val="20"/>
          <w:szCs w:val="20"/>
        </w:rPr>
        <w:t>HECHOS</w:t>
      </w:r>
      <w:bookmarkEnd w:id="2"/>
    </w:p>
    <w:p w14:paraId="6A263058" w14:textId="77777777" w:rsidR="00F04469" w:rsidRPr="00554476" w:rsidRDefault="00F04469" w:rsidP="00554476">
      <w:pPr>
        <w:spacing w:after="0" w:line="360" w:lineRule="auto"/>
        <w:rPr>
          <w:rFonts w:ascii="Arial" w:hAnsi="Arial" w:cs="Arial"/>
          <w:sz w:val="20"/>
          <w:szCs w:val="20"/>
        </w:rPr>
      </w:pPr>
    </w:p>
    <w:p w14:paraId="25DA2A16" w14:textId="22F49C5E" w:rsidR="003B6DD6" w:rsidRPr="00554476" w:rsidRDefault="008B0674" w:rsidP="00554476">
      <w:pPr>
        <w:pStyle w:val="Ttulo2"/>
        <w:spacing w:before="0" w:line="360" w:lineRule="auto"/>
        <w:jc w:val="both"/>
        <w:rPr>
          <w:rFonts w:ascii="Arial" w:eastAsia="Bankinter" w:hAnsi="Arial" w:cs="Arial"/>
          <w:b/>
          <w:color w:val="FF0000"/>
          <w:sz w:val="20"/>
          <w:szCs w:val="20"/>
          <w:u w:val="single"/>
        </w:rPr>
      </w:pPr>
      <w:bookmarkStart w:id="3" w:name="_Toc54185187"/>
      <w:r w:rsidRPr="00554476">
        <w:rPr>
          <w:rFonts w:ascii="Arial" w:eastAsia="Bankinter" w:hAnsi="Arial" w:cs="Arial"/>
          <w:b/>
          <w:color w:val="auto"/>
          <w:sz w:val="20"/>
          <w:szCs w:val="20"/>
          <w:u w:val="single"/>
        </w:rPr>
        <w:t>PRIMERO. -</w:t>
      </w:r>
      <w:r w:rsidR="00AD7BFB" w:rsidRPr="00554476">
        <w:rPr>
          <w:rFonts w:ascii="Arial" w:eastAsia="Bankinter" w:hAnsi="Arial" w:cs="Arial"/>
          <w:b/>
          <w:color w:val="auto"/>
          <w:sz w:val="20"/>
          <w:szCs w:val="20"/>
          <w:u w:val="single"/>
        </w:rPr>
        <w:t xml:space="preserve"> De las acciones deducidas en el escrito de demanda. </w:t>
      </w:r>
      <w:r w:rsidR="00AD7BFB" w:rsidRPr="008A1DC8">
        <w:rPr>
          <w:rFonts w:ascii="Arial" w:eastAsia="Bankinter" w:hAnsi="Arial" w:cs="Arial"/>
          <w:b/>
          <w:color w:val="auto"/>
          <w:sz w:val="20"/>
          <w:szCs w:val="20"/>
          <w:highlight w:val="cyan"/>
          <w:u w:val="single"/>
        </w:rPr>
        <w:t>Prescripción</w:t>
      </w:r>
      <w:r w:rsidR="00AD7BFB" w:rsidRPr="00554476">
        <w:rPr>
          <w:rFonts w:ascii="Arial" w:eastAsia="Bankinter" w:hAnsi="Arial" w:cs="Arial"/>
          <w:b/>
          <w:color w:val="auto"/>
          <w:sz w:val="20"/>
          <w:szCs w:val="20"/>
          <w:u w:val="single"/>
        </w:rPr>
        <w:t xml:space="preserve"> de la acción restitutoria</w:t>
      </w:r>
      <w:r w:rsidR="005B4F39" w:rsidRPr="00554476">
        <w:rPr>
          <w:rFonts w:ascii="Arial" w:eastAsia="Bankinter" w:hAnsi="Arial" w:cs="Arial"/>
          <w:b/>
          <w:color w:val="auto"/>
          <w:sz w:val="20"/>
          <w:szCs w:val="20"/>
          <w:u w:val="single"/>
        </w:rPr>
        <w:t>/indemnizatoria</w:t>
      </w:r>
      <w:r w:rsidR="00AD7BFB" w:rsidRPr="00554476">
        <w:rPr>
          <w:rFonts w:ascii="Arial" w:eastAsia="Bankinter" w:hAnsi="Arial" w:cs="Arial"/>
          <w:b/>
          <w:color w:val="auto"/>
          <w:sz w:val="20"/>
          <w:szCs w:val="20"/>
          <w:u w:val="single"/>
        </w:rPr>
        <w:t xml:space="preserve"> </w:t>
      </w:r>
      <w:r w:rsidR="005B4F39" w:rsidRPr="00554476">
        <w:rPr>
          <w:rFonts w:ascii="Arial" w:eastAsia="Bankinter" w:hAnsi="Arial" w:cs="Arial"/>
          <w:b/>
          <w:color w:val="auto"/>
          <w:sz w:val="20"/>
          <w:szCs w:val="20"/>
          <w:u w:val="single"/>
        </w:rPr>
        <w:t>en aplicación del</w:t>
      </w:r>
      <w:r w:rsidR="00AD7BFB" w:rsidRPr="00554476">
        <w:rPr>
          <w:rFonts w:ascii="Arial" w:eastAsia="Bankinter" w:hAnsi="Arial" w:cs="Arial"/>
          <w:b/>
          <w:color w:val="auto"/>
          <w:sz w:val="20"/>
          <w:szCs w:val="20"/>
          <w:u w:val="single"/>
        </w:rPr>
        <w:t xml:space="preserve"> artículo 1964 del Código Civil</w:t>
      </w:r>
      <w:bookmarkEnd w:id="3"/>
      <w:r w:rsidR="00464B51">
        <w:rPr>
          <w:rFonts w:ascii="Arial" w:eastAsia="Bankinter" w:hAnsi="Arial" w:cs="Arial"/>
          <w:b/>
          <w:color w:val="auto"/>
          <w:sz w:val="20"/>
          <w:szCs w:val="20"/>
          <w:u w:val="single"/>
        </w:rPr>
        <w:t xml:space="preserve">. </w:t>
      </w:r>
    </w:p>
    <w:p w14:paraId="62BD1178" w14:textId="77777777" w:rsidR="009F72F2" w:rsidRPr="00554476" w:rsidRDefault="009F72F2" w:rsidP="00554476">
      <w:pPr>
        <w:spacing w:after="0" w:line="360" w:lineRule="auto"/>
        <w:jc w:val="both"/>
        <w:rPr>
          <w:rFonts w:ascii="Arial" w:hAnsi="Arial" w:cs="Arial"/>
          <w:sz w:val="20"/>
          <w:szCs w:val="20"/>
        </w:rPr>
      </w:pPr>
    </w:p>
    <w:p w14:paraId="3D8D4225" w14:textId="4F3C4DD4" w:rsidR="002F6F6C" w:rsidRPr="00554476" w:rsidRDefault="003B6DD6" w:rsidP="00554476">
      <w:pPr>
        <w:spacing w:after="0" w:line="360" w:lineRule="auto"/>
        <w:jc w:val="both"/>
        <w:rPr>
          <w:rFonts w:ascii="Arial" w:hAnsi="Arial" w:cs="Arial"/>
          <w:sz w:val="20"/>
          <w:szCs w:val="20"/>
        </w:rPr>
      </w:pPr>
      <w:r w:rsidRPr="00554476">
        <w:rPr>
          <w:rFonts w:ascii="Arial" w:hAnsi="Arial" w:cs="Arial"/>
          <w:sz w:val="20"/>
          <w:szCs w:val="20"/>
        </w:rPr>
        <w:t xml:space="preserve">En el asunto que nos ocupa, la demandante ejercita una acción de nulidad por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de</w:t>
      </w:r>
      <w:r w:rsidR="0060393B" w:rsidRPr="00554476">
        <w:rPr>
          <w:rFonts w:ascii="Arial" w:hAnsi="Arial" w:cs="Arial"/>
          <w:sz w:val="20"/>
          <w:szCs w:val="20"/>
        </w:rPr>
        <w:t xml:space="preserve"> </w:t>
      </w:r>
      <w:r w:rsidR="0060393B" w:rsidRPr="007C6A3E">
        <w:rPr>
          <w:rFonts w:ascii="Arial" w:hAnsi="Arial" w:cs="Arial"/>
          <w:sz w:val="20"/>
          <w:szCs w:val="20"/>
          <w:highlight w:val="yellow"/>
        </w:rPr>
        <w:t>(a) la cláusula de comisión de apertura</w:t>
      </w:r>
      <w:r w:rsidR="00953715" w:rsidRPr="007C6A3E">
        <w:rPr>
          <w:rFonts w:ascii="Arial" w:hAnsi="Arial" w:cs="Arial"/>
          <w:sz w:val="20"/>
          <w:szCs w:val="20"/>
          <w:highlight w:val="yellow"/>
        </w:rPr>
        <w:t>, (b) la comisión por posiciones deudoras, (c) la cláusula de interés de demora, (d) la cláusula de vencimiento anticipado, (e) la cláusula que estatuye la fórmula para calcular el interés anual (360) y (f</w:t>
      </w:r>
      <w:r w:rsidR="0060393B" w:rsidRPr="007C6A3E">
        <w:rPr>
          <w:rFonts w:ascii="Arial" w:hAnsi="Arial" w:cs="Arial"/>
          <w:sz w:val="20"/>
          <w:szCs w:val="20"/>
          <w:highlight w:val="yellow"/>
        </w:rPr>
        <w:t>)</w:t>
      </w:r>
      <w:r w:rsidR="002F6F6C" w:rsidRPr="007C6A3E">
        <w:rPr>
          <w:rFonts w:ascii="Arial" w:hAnsi="Arial" w:cs="Arial"/>
          <w:sz w:val="20"/>
          <w:szCs w:val="20"/>
          <w:highlight w:val="yellow"/>
        </w:rPr>
        <w:t xml:space="preserve"> </w:t>
      </w:r>
      <w:r w:rsidRPr="007C6A3E">
        <w:rPr>
          <w:rFonts w:ascii="Arial" w:hAnsi="Arial" w:cs="Arial"/>
          <w:sz w:val="20"/>
          <w:szCs w:val="20"/>
          <w:highlight w:val="yellow"/>
        </w:rPr>
        <w:t>la cláusula de gastos</w:t>
      </w:r>
      <w:r w:rsidR="004E4B36" w:rsidRPr="007C6A3E">
        <w:rPr>
          <w:rFonts w:ascii="Arial" w:hAnsi="Arial" w:cs="Arial"/>
          <w:sz w:val="20"/>
          <w:szCs w:val="20"/>
          <w:highlight w:val="yellow"/>
        </w:rPr>
        <w:t xml:space="preserve"> </w:t>
      </w:r>
      <w:r w:rsidRPr="007C6A3E">
        <w:rPr>
          <w:rFonts w:ascii="Arial" w:hAnsi="Arial" w:cs="Arial"/>
          <w:sz w:val="20"/>
          <w:szCs w:val="20"/>
          <w:highlight w:val="yellow"/>
        </w:rPr>
        <w:t>contenida</w:t>
      </w:r>
      <w:r w:rsidR="004E4B36" w:rsidRPr="007C6A3E">
        <w:rPr>
          <w:rFonts w:ascii="Arial" w:hAnsi="Arial" w:cs="Arial"/>
          <w:sz w:val="20"/>
          <w:szCs w:val="20"/>
          <w:highlight w:val="yellow"/>
        </w:rPr>
        <w:t>s</w:t>
      </w:r>
      <w:r w:rsidRPr="007C6A3E">
        <w:rPr>
          <w:rFonts w:ascii="Arial" w:hAnsi="Arial" w:cs="Arial"/>
          <w:sz w:val="20"/>
          <w:szCs w:val="20"/>
          <w:highlight w:val="yellow"/>
        </w:rPr>
        <w:t xml:space="preserve"> en la escritura de </w:t>
      </w:r>
      <w:r w:rsidRPr="007C6A3E">
        <w:rPr>
          <w:rFonts w:ascii="Arial" w:hAnsi="Arial" w:cs="Arial"/>
          <w:b/>
          <w:sz w:val="20"/>
          <w:szCs w:val="20"/>
          <w:highlight w:val="yellow"/>
        </w:rPr>
        <w:t xml:space="preserve">préstamo hipotecario formalizada por las partes en fecha </w:t>
      </w:r>
      <w:r w:rsidR="00F00F0B">
        <w:rPr>
          <w:rFonts w:ascii="Arial" w:hAnsi="Arial" w:cs="Arial"/>
          <w:b/>
          <w:sz w:val="20"/>
          <w:szCs w:val="20"/>
          <w:highlight w:val="yellow"/>
        </w:rPr>
        <w:fldChar w:fldCharType="begin"/>
      </w:r>
      <w:r w:rsidR="00F00F0B">
        <w:rPr>
          <w:rFonts w:ascii="Arial" w:hAnsi="Arial" w:cs="Arial"/>
          <w:b/>
          <w:sz w:val="20"/>
          <w:szCs w:val="20"/>
          <w:highlight w:val="yellow"/>
        </w:rPr>
        <w:instrText>persovalores_personalizable1296</w:instrText>
      </w:r>
      <w:r w:rsidR="00F00F0B">
        <w:rPr>
          <w:rFonts w:ascii="Arial" w:hAnsi="Arial" w:cs="Arial"/>
          <w:b/>
          <w:sz w:val="20"/>
          <w:szCs w:val="20"/>
          <w:highlight w:val="yellow"/>
        </w:rPr>
        <w:fldChar w:fldCharType="separate"/>
      </w:r>
      <w:r w:rsidR="00F00F0B">
        <w:rPr>
          <w:rFonts w:ascii="Arial" w:hAnsi="Arial" w:cs="Arial"/>
          <w:b/>
          <w:noProof/>
          <w:sz w:val="20"/>
          <w:szCs w:val="20"/>
          <w:highlight w:val="yellow"/>
        </w:rPr>
        <w:t>«BANKINTER_CLAUSULAS_FECHA_DE_ESCRITURA»</w:t>
      </w:r>
      <w:r w:rsidR="00F00F0B">
        <w:rPr>
          <w:rFonts w:ascii="Arial" w:hAnsi="Arial" w:cs="Arial"/>
          <w:b/>
          <w:sz w:val="20"/>
          <w:szCs w:val="20"/>
          <w:highlight w:val="yellow"/>
        </w:rPr>
        <w:fldChar w:fldCharType="end"/>
      </w:r>
      <w:r w:rsidRPr="007C6A3E">
        <w:rPr>
          <w:rFonts w:ascii="Arial" w:hAnsi="Arial" w:cs="Arial"/>
          <w:b/>
          <w:sz w:val="20"/>
          <w:szCs w:val="20"/>
          <w:highlight w:val="yellow"/>
        </w:rPr>
        <w:t xml:space="preserve">, ante el Notario </w:t>
      </w:r>
      <w:r w:rsidR="008A3B9A" w:rsidRPr="007C6A3E">
        <w:rPr>
          <w:rFonts w:ascii="Arial" w:hAnsi="Arial" w:cs="Arial"/>
          <w:b/>
          <w:sz w:val="20"/>
          <w:szCs w:val="20"/>
          <w:highlight w:val="yellow"/>
        </w:rPr>
        <w:t xml:space="preserve">Sr. </w:t>
      </w:r>
      <w:r w:rsidR="00F00F0B">
        <w:rPr>
          <w:rFonts w:ascii="Arial" w:hAnsi="Arial" w:cs="Arial"/>
          <w:b/>
          <w:sz w:val="20"/>
          <w:szCs w:val="20"/>
          <w:highlight w:val="yellow"/>
        </w:rPr>
        <w:fldChar w:fldCharType="begin"/>
      </w:r>
      <w:r w:rsidR="00F00F0B">
        <w:rPr>
          <w:rFonts w:ascii="Arial" w:hAnsi="Arial" w:cs="Arial"/>
          <w:b/>
          <w:sz w:val="20"/>
          <w:szCs w:val="20"/>
          <w:highlight w:val="yellow"/>
        </w:rPr>
        <w:instrText>persovalores_personalizable1294</w:instrText>
      </w:r>
      <w:r w:rsidR="00F00F0B">
        <w:rPr>
          <w:rFonts w:ascii="Arial" w:hAnsi="Arial" w:cs="Arial"/>
          <w:b/>
          <w:sz w:val="20"/>
          <w:szCs w:val="20"/>
          <w:highlight w:val="yellow"/>
        </w:rPr>
        <w:fldChar w:fldCharType="separate"/>
      </w:r>
      <w:r w:rsidR="00F00F0B">
        <w:rPr>
          <w:rFonts w:ascii="Arial" w:hAnsi="Arial" w:cs="Arial"/>
          <w:b/>
          <w:noProof/>
          <w:sz w:val="20"/>
          <w:szCs w:val="20"/>
          <w:highlight w:val="yellow"/>
        </w:rPr>
        <w:t>«BANKINTER_CLAUSULAS_NOTARIO»</w:t>
      </w:r>
      <w:r w:rsidR="00F00F0B">
        <w:rPr>
          <w:rFonts w:ascii="Arial" w:hAnsi="Arial" w:cs="Arial"/>
          <w:b/>
          <w:sz w:val="20"/>
          <w:szCs w:val="20"/>
          <w:highlight w:val="yellow"/>
        </w:rPr>
        <w:fldChar w:fldCharType="end"/>
      </w:r>
      <w:r w:rsidRPr="007C6A3E">
        <w:rPr>
          <w:rFonts w:ascii="Arial" w:hAnsi="Arial" w:cs="Arial"/>
          <w:b/>
          <w:sz w:val="20"/>
          <w:szCs w:val="20"/>
          <w:highlight w:val="yellow"/>
        </w:rPr>
        <w:t>, con número</w:t>
      </w:r>
      <w:r w:rsidR="008A3B9A" w:rsidRPr="007C6A3E">
        <w:rPr>
          <w:rFonts w:ascii="Arial" w:hAnsi="Arial" w:cs="Arial"/>
          <w:b/>
          <w:sz w:val="20"/>
          <w:szCs w:val="20"/>
          <w:highlight w:val="yellow"/>
        </w:rPr>
        <w:t xml:space="preserve"> </w:t>
      </w:r>
      <w:r w:rsidR="00F00F0B">
        <w:rPr>
          <w:rFonts w:ascii="Arial" w:hAnsi="Arial" w:cs="Arial"/>
          <w:b/>
          <w:sz w:val="20"/>
          <w:szCs w:val="20"/>
          <w:highlight w:val="yellow"/>
        </w:rPr>
        <w:fldChar w:fldCharType="begin"/>
      </w:r>
      <w:r w:rsidR="00F00F0B">
        <w:rPr>
          <w:rFonts w:ascii="Arial" w:hAnsi="Arial" w:cs="Arial"/>
          <w:b/>
          <w:sz w:val="20"/>
          <w:szCs w:val="20"/>
          <w:highlight w:val="yellow"/>
        </w:rPr>
        <w:instrText>persovalores_personalizable1293</w:instrText>
      </w:r>
      <w:r w:rsidR="00F00F0B">
        <w:rPr>
          <w:rFonts w:ascii="Arial" w:hAnsi="Arial" w:cs="Arial"/>
          <w:b/>
          <w:sz w:val="20"/>
          <w:szCs w:val="20"/>
          <w:highlight w:val="yellow"/>
        </w:rPr>
        <w:fldChar w:fldCharType="separate"/>
      </w:r>
      <w:r w:rsidR="00F00F0B">
        <w:rPr>
          <w:rFonts w:ascii="Arial" w:hAnsi="Arial" w:cs="Arial"/>
          <w:b/>
          <w:noProof/>
          <w:sz w:val="20"/>
          <w:szCs w:val="20"/>
          <w:highlight w:val="yellow"/>
        </w:rPr>
        <w:t>«BANKINTER_CLAUSULAS_Nº_PROTOCOLO»</w:t>
      </w:r>
      <w:r w:rsidR="00F00F0B">
        <w:rPr>
          <w:rFonts w:ascii="Arial" w:hAnsi="Arial" w:cs="Arial"/>
          <w:b/>
          <w:sz w:val="20"/>
          <w:szCs w:val="20"/>
          <w:highlight w:val="yellow"/>
        </w:rPr>
        <w:fldChar w:fldCharType="end"/>
      </w:r>
      <w:r w:rsidR="00F00F0B">
        <w:rPr>
          <w:rFonts w:ascii="Arial" w:hAnsi="Arial" w:cs="Arial"/>
          <w:b/>
          <w:sz w:val="20"/>
          <w:szCs w:val="20"/>
          <w:highlight w:val="yellow"/>
        </w:rPr>
        <w:t xml:space="preserve"> </w:t>
      </w:r>
      <w:r w:rsidRPr="007C6A3E">
        <w:rPr>
          <w:rFonts w:ascii="Arial" w:hAnsi="Arial" w:cs="Arial"/>
          <w:b/>
          <w:sz w:val="20"/>
          <w:szCs w:val="20"/>
          <w:highlight w:val="yellow"/>
        </w:rPr>
        <w:t>de su protocolo</w:t>
      </w:r>
      <w:r w:rsidR="00013EFB" w:rsidRPr="007C6A3E">
        <w:rPr>
          <w:rFonts w:ascii="Arial" w:hAnsi="Arial" w:cs="Arial"/>
          <w:b/>
          <w:sz w:val="20"/>
          <w:szCs w:val="20"/>
          <w:highlight w:val="yellow"/>
        </w:rPr>
        <w:t xml:space="preserve"> (</w:t>
      </w:r>
      <w:r w:rsidR="008B0674" w:rsidRPr="007C6A3E">
        <w:rPr>
          <w:rFonts w:ascii="Arial" w:hAnsi="Arial" w:cs="Arial"/>
          <w:b/>
          <w:sz w:val="20"/>
          <w:szCs w:val="20"/>
          <w:highlight w:val="yellow"/>
          <w:u w:val="single"/>
        </w:rPr>
        <w:t xml:space="preserve">Documento </w:t>
      </w:r>
      <w:proofErr w:type="spellStart"/>
      <w:r w:rsidR="008B0674" w:rsidRPr="007C6A3E">
        <w:rPr>
          <w:rFonts w:ascii="Arial" w:hAnsi="Arial" w:cs="Arial"/>
          <w:b/>
          <w:sz w:val="20"/>
          <w:szCs w:val="20"/>
          <w:highlight w:val="yellow"/>
          <w:u w:val="single"/>
        </w:rPr>
        <w:t>nº</w:t>
      </w:r>
      <w:proofErr w:type="spellEnd"/>
      <w:r w:rsidR="008B0674" w:rsidRPr="007C6A3E">
        <w:rPr>
          <w:rFonts w:ascii="Arial" w:hAnsi="Arial" w:cs="Arial"/>
          <w:b/>
          <w:sz w:val="20"/>
          <w:szCs w:val="20"/>
          <w:highlight w:val="yellow"/>
          <w:u w:val="single"/>
        </w:rPr>
        <w:t xml:space="preserve"> </w:t>
      </w:r>
      <w:r w:rsidR="00F00F0B">
        <w:rPr>
          <w:rFonts w:ascii="Arial" w:hAnsi="Arial" w:cs="Arial"/>
          <w:b/>
          <w:sz w:val="20"/>
          <w:szCs w:val="20"/>
          <w:highlight w:val="yellow"/>
          <w:u w:val="single"/>
        </w:rPr>
        <w:fldChar w:fldCharType="begin"/>
      </w:r>
      <w:r w:rsidR="00F00F0B">
        <w:rPr>
          <w:rFonts w:ascii="Arial" w:hAnsi="Arial" w:cs="Arial"/>
          <w:b/>
          <w:sz w:val="20"/>
          <w:szCs w:val="20"/>
          <w:highlight w:val="yellow"/>
          <w:u w:val="single"/>
        </w:rPr>
        <w:instrText>persovalores_personalizable1295</w:instrText>
      </w:r>
      <w:r w:rsidR="00F00F0B">
        <w:rPr>
          <w:rFonts w:ascii="Arial" w:hAnsi="Arial" w:cs="Arial"/>
          <w:b/>
          <w:sz w:val="20"/>
          <w:szCs w:val="20"/>
          <w:highlight w:val="yellow"/>
          <w:u w:val="single"/>
        </w:rPr>
        <w:fldChar w:fldCharType="separate"/>
      </w:r>
      <w:r w:rsidR="00F00F0B">
        <w:rPr>
          <w:rFonts w:ascii="Arial" w:hAnsi="Arial" w:cs="Arial"/>
          <w:b/>
          <w:noProof/>
          <w:sz w:val="20"/>
          <w:szCs w:val="20"/>
          <w:highlight w:val="yellow"/>
          <w:u w:val="single"/>
        </w:rPr>
        <w:t>«BANKINTER_CLAUSULAS_Nº_DOCUMENTO_ESCRITU»</w:t>
      </w:r>
      <w:r w:rsidR="00F00F0B">
        <w:rPr>
          <w:rFonts w:ascii="Arial" w:hAnsi="Arial" w:cs="Arial"/>
          <w:b/>
          <w:sz w:val="20"/>
          <w:szCs w:val="20"/>
          <w:highlight w:val="yellow"/>
          <w:u w:val="single"/>
        </w:rPr>
        <w:fldChar w:fldCharType="end"/>
      </w:r>
      <w:r w:rsidR="0013093E" w:rsidRPr="007C6A3E">
        <w:rPr>
          <w:rFonts w:ascii="Arial" w:hAnsi="Arial" w:cs="Arial"/>
          <w:b/>
          <w:sz w:val="20"/>
          <w:szCs w:val="20"/>
          <w:highlight w:val="yellow"/>
          <w:u w:val="single"/>
        </w:rPr>
        <w:t xml:space="preserve"> de la Demanda</w:t>
      </w:r>
      <w:r w:rsidR="00A96C75" w:rsidRPr="007C6A3E">
        <w:rPr>
          <w:rFonts w:ascii="Arial" w:hAnsi="Arial" w:cs="Arial"/>
          <w:b/>
          <w:sz w:val="20"/>
          <w:szCs w:val="20"/>
          <w:highlight w:val="yellow"/>
          <w:u w:val="single"/>
        </w:rPr>
        <w:t>)</w:t>
      </w:r>
      <w:r w:rsidR="00013EFB" w:rsidRPr="00554476">
        <w:rPr>
          <w:rFonts w:ascii="Arial" w:hAnsi="Arial" w:cs="Arial"/>
          <w:b/>
          <w:sz w:val="20"/>
          <w:szCs w:val="20"/>
        </w:rPr>
        <w:t>,</w:t>
      </w:r>
      <w:r w:rsidR="00013EFB" w:rsidRPr="00554476">
        <w:rPr>
          <w:rFonts w:ascii="Arial" w:hAnsi="Arial" w:cs="Arial"/>
          <w:sz w:val="20"/>
          <w:szCs w:val="20"/>
        </w:rPr>
        <w:t xml:space="preserve"> </w:t>
      </w:r>
      <w:r w:rsidRPr="00554476">
        <w:rPr>
          <w:rFonts w:ascii="Arial" w:hAnsi="Arial" w:cs="Arial"/>
          <w:sz w:val="20"/>
          <w:szCs w:val="20"/>
        </w:rPr>
        <w:t xml:space="preserve">y otra </w:t>
      </w:r>
      <w:r w:rsidR="00CC58BF" w:rsidRPr="00554476">
        <w:rPr>
          <w:rFonts w:ascii="Arial" w:hAnsi="Arial" w:cs="Arial"/>
          <w:sz w:val="20"/>
          <w:szCs w:val="20"/>
        </w:rPr>
        <w:t xml:space="preserve">acumulada </w:t>
      </w:r>
      <w:r w:rsidRPr="00554476">
        <w:rPr>
          <w:rFonts w:ascii="Arial" w:hAnsi="Arial" w:cs="Arial"/>
          <w:sz w:val="20"/>
          <w:szCs w:val="20"/>
        </w:rPr>
        <w:t>de restitución de las cantidades, fundamentando sus pretensiones en los efectos que produciría la Sentencia de 23 de diciembre de 2015, del Tribunal Supremo</w:t>
      </w:r>
      <w:r w:rsidR="008666D7" w:rsidRPr="00554476">
        <w:rPr>
          <w:rFonts w:ascii="Arial" w:hAnsi="Arial" w:cs="Arial"/>
          <w:sz w:val="20"/>
          <w:szCs w:val="20"/>
        </w:rPr>
        <w:t>,</w:t>
      </w:r>
      <w:r w:rsidRPr="00554476">
        <w:rPr>
          <w:rFonts w:ascii="Arial" w:hAnsi="Arial" w:cs="Arial"/>
          <w:sz w:val="20"/>
          <w:szCs w:val="20"/>
        </w:rPr>
        <w:t xml:space="preserve"> aún a pesar que la cláusula litigiosa es distinta a la que fue declarada nula en la Sentencia</w:t>
      </w:r>
      <w:r w:rsidR="00B24EDF" w:rsidRPr="00554476">
        <w:rPr>
          <w:rFonts w:ascii="Arial" w:hAnsi="Arial" w:cs="Arial"/>
          <w:sz w:val="20"/>
          <w:szCs w:val="20"/>
        </w:rPr>
        <w:t>.</w:t>
      </w:r>
    </w:p>
    <w:p w14:paraId="6F2F4919" w14:textId="77777777" w:rsidR="003B6DD6" w:rsidRPr="00554476" w:rsidRDefault="00B24EDF" w:rsidP="00554476">
      <w:pPr>
        <w:spacing w:after="0" w:line="360" w:lineRule="auto"/>
        <w:jc w:val="both"/>
        <w:rPr>
          <w:rFonts w:ascii="Arial" w:hAnsi="Arial" w:cs="Arial"/>
          <w:sz w:val="20"/>
          <w:szCs w:val="20"/>
        </w:rPr>
      </w:pPr>
      <w:r w:rsidRPr="00554476">
        <w:rPr>
          <w:rFonts w:ascii="Arial" w:hAnsi="Arial" w:cs="Arial"/>
          <w:sz w:val="20"/>
          <w:szCs w:val="20"/>
        </w:rPr>
        <w:t xml:space="preserve"> </w:t>
      </w:r>
    </w:p>
    <w:p w14:paraId="0414451D" w14:textId="5015FB68" w:rsidR="003B6DD6" w:rsidRPr="00554476" w:rsidRDefault="00B24EDF" w:rsidP="00554476">
      <w:pPr>
        <w:spacing w:after="0" w:line="360" w:lineRule="auto"/>
        <w:jc w:val="both"/>
        <w:rPr>
          <w:rFonts w:ascii="Arial" w:hAnsi="Arial" w:cs="Arial"/>
          <w:sz w:val="20"/>
          <w:szCs w:val="20"/>
        </w:rPr>
      </w:pPr>
      <w:r w:rsidRPr="00554476">
        <w:rPr>
          <w:rFonts w:ascii="Arial" w:hAnsi="Arial" w:cs="Arial"/>
          <w:sz w:val="20"/>
          <w:szCs w:val="20"/>
        </w:rPr>
        <w:t xml:space="preserve">El importe a restituir que interesa la parte actora asciende a </w:t>
      </w:r>
      <w:r w:rsidR="00F00F0B">
        <w:rPr>
          <w:rFonts w:ascii="Arial" w:hAnsi="Arial" w:cs="Arial"/>
          <w:b/>
          <w:sz w:val="20"/>
          <w:szCs w:val="20"/>
        </w:rPr>
        <w:fldChar w:fldCharType="begin"/>
      </w:r>
      <w:r w:rsidR="00F00F0B">
        <w:rPr>
          <w:rFonts w:ascii="Arial" w:hAnsi="Arial" w:cs="Arial"/>
          <w:b/>
          <w:sz w:val="20"/>
          <w:szCs w:val="20"/>
        </w:rPr>
        <w:instrText>persovalores_personalizable1291</w:instrText>
      </w:r>
      <w:r w:rsidR="00F00F0B">
        <w:rPr>
          <w:rFonts w:ascii="Arial" w:hAnsi="Arial" w:cs="Arial"/>
          <w:b/>
          <w:sz w:val="20"/>
          <w:szCs w:val="20"/>
        </w:rPr>
        <w:fldChar w:fldCharType="separate"/>
      </w:r>
      <w:r w:rsidR="00F00F0B">
        <w:rPr>
          <w:rFonts w:ascii="Arial" w:hAnsi="Arial" w:cs="Arial"/>
          <w:b/>
          <w:noProof/>
          <w:sz w:val="20"/>
          <w:szCs w:val="20"/>
        </w:rPr>
        <w:t>«BANKINTER_CLAUSULAS_CANTIDAD_TOTAL_RECLA»</w:t>
      </w:r>
      <w:r w:rsidR="00F00F0B">
        <w:rPr>
          <w:rFonts w:ascii="Arial" w:hAnsi="Arial" w:cs="Arial"/>
          <w:b/>
          <w:sz w:val="20"/>
          <w:szCs w:val="20"/>
        </w:rPr>
        <w:fldChar w:fldCharType="end"/>
      </w:r>
      <w:r w:rsidR="00F00F0B">
        <w:rPr>
          <w:rFonts w:ascii="Arial" w:hAnsi="Arial" w:cs="Arial"/>
          <w:b/>
          <w:sz w:val="20"/>
          <w:szCs w:val="20"/>
        </w:rPr>
        <w:t xml:space="preserve"> </w:t>
      </w:r>
      <w:r w:rsidR="003B6DD6" w:rsidRPr="00554476">
        <w:rPr>
          <w:rFonts w:ascii="Arial" w:hAnsi="Arial" w:cs="Arial"/>
          <w:b/>
          <w:sz w:val="20"/>
          <w:szCs w:val="20"/>
        </w:rPr>
        <w:t>euros</w:t>
      </w:r>
      <w:r w:rsidR="003B6DD6" w:rsidRPr="00554476">
        <w:rPr>
          <w:rFonts w:ascii="Arial" w:hAnsi="Arial" w:cs="Arial"/>
          <w:sz w:val="20"/>
          <w:szCs w:val="20"/>
        </w:rPr>
        <w:t xml:space="preserve">, </w:t>
      </w:r>
      <w:r w:rsidRPr="00554476">
        <w:rPr>
          <w:rFonts w:ascii="Arial" w:hAnsi="Arial" w:cs="Arial"/>
          <w:sz w:val="20"/>
          <w:szCs w:val="20"/>
        </w:rPr>
        <w:t>cuyo desglose se corresponde con el siguiente detalle</w:t>
      </w:r>
      <w:r w:rsidR="003B6DD6" w:rsidRPr="00554476">
        <w:rPr>
          <w:rFonts w:ascii="Arial" w:hAnsi="Arial" w:cs="Arial"/>
          <w:sz w:val="20"/>
          <w:szCs w:val="20"/>
        </w:rPr>
        <w:t>:</w:t>
      </w:r>
    </w:p>
    <w:p w14:paraId="18AC14EC" w14:textId="77777777" w:rsidR="003B6DD6" w:rsidRPr="00554476" w:rsidRDefault="003B6DD6" w:rsidP="00554476">
      <w:pPr>
        <w:spacing w:after="0" w:line="360" w:lineRule="auto"/>
        <w:jc w:val="both"/>
        <w:rPr>
          <w:rFonts w:ascii="Arial" w:hAnsi="Arial" w:cs="Arial"/>
          <w:sz w:val="20"/>
          <w:szCs w:val="20"/>
        </w:rPr>
      </w:pPr>
    </w:p>
    <w:p w14:paraId="1CAB5BBB" w14:textId="212477C5" w:rsidR="003B6DD6" w:rsidRPr="00554476" w:rsidRDefault="003B6DD6"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Honorarios de notaría</w:t>
      </w:r>
      <w:r w:rsidR="00A4153C">
        <w:rPr>
          <w:rFonts w:ascii="Arial" w:hAnsi="Arial" w:cs="Arial"/>
          <w:sz w:val="20"/>
          <w:szCs w:val="20"/>
        </w:rPr>
        <w:t xml:space="preserve"> (100% de lo desembolsado)</w:t>
      </w:r>
      <w:r w:rsidRPr="00554476">
        <w:rPr>
          <w:rFonts w:ascii="Arial" w:hAnsi="Arial" w:cs="Arial"/>
          <w:sz w:val="20"/>
          <w:szCs w:val="20"/>
        </w:rPr>
        <w:t xml:space="preserve">: </w:t>
      </w:r>
      <w:r w:rsidR="00F00F0B">
        <w:rPr>
          <w:rFonts w:ascii="Arial" w:hAnsi="Arial" w:cs="Arial"/>
          <w:sz w:val="20"/>
          <w:szCs w:val="20"/>
        </w:rPr>
        <w:fldChar w:fldCharType="begin"/>
      </w:r>
      <w:r w:rsidR="00F00F0B">
        <w:rPr>
          <w:rFonts w:ascii="Arial" w:hAnsi="Arial" w:cs="Arial"/>
          <w:sz w:val="20"/>
          <w:szCs w:val="20"/>
        </w:rPr>
        <w:instrText>persovalores_personalizable1281</w:instrText>
      </w:r>
      <w:r w:rsidR="00F00F0B">
        <w:rPr>
          <w:rFonts w:ascii="Arial" w:hAnsi="Arial" w:cs="Arial"/>
          <w:sz w:val="20"/>
          <w:szCs w:val="20"/>
        </w:rPr>
        <w:fldChar w:fldCharType="separate"/>
      </w:r>
      <w:r w:rsidR="00F00F0B">
        <w:rPr>
          <w:rFonts w:ascii="Arial" w:hAnsi="Arial" w:cs="Arial"/>
          <w:noProof/>
          <w:sz w:val="20"/>
          <w:szCs w:val="20"/>
        </w:rPr>
        <w:t>«BANKINTER_CLAUSULAS_NOTARÍA_RECLAMADA»</w:t>
      </w:r>
      <w:r w:rsidR="00F00F0B">
        <w:rPr>
          <w:rFonts w:ascii="Arial" w:hAnsi="Arial" w:cs="Arial"/>
          <w:sz w:val="20"/>
          <w:szCs w:val="20"/>
        </w:rPr>
        <w:fldChar w:fldCharType="end"/>
      </w:r>
      <w:r w:rsidR="004E4B36" w:rsidRPr="00554476">
        <w:rPr>
          <w:rFonts w:ascii="Arial" w:hAnsi="Arial" w:cs="Arial"/>
          <w:sz w:val="20"/>
          <w:szCs w:val="20"/>
        </w:rPr>
        <w:t xml:space="preserve"> </w:t>
      </w:r>
      <w:r w:rsidRPr="00554476">
        <w:rPr>
          <w:rFonts w:ascii="Arial" w:hAnsi="Arial" w:cs="Arial"/>
          <w:sz w:val="20"/>
          <w:szCs w:val="20"/>
        </w:rPr>
        <w:t>euros.</w:t>
      </w:r>
    </w:p>
    <w:p w14:paraId="74EADF09" w14:textId="203614BC" w:rsidR="003B6DD6" w:rsidRPr="00554476" w:rsidRDefault="003B6DD6"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Honorarios de Registro de la Propiedad</w:t>
      </w:r>
      <w:r w:rsidR="00A4153C">
        <w:rPr>
          <w:rFonts w:ascii="Arial" w:hAnsi="Arial" w:cs="Arial"/>
          <w:sz w:val="20"/>
          <w:szCs w:val="20"/>
        </w:rPr>
        <w:t xml:space="preserve"> (100% de lo desembolsado)</w:t>
      </w:r>
      <w:r w:rsidRPr="00554476">
        <w:rPr>
          <w:rFonts w:ascii="Arial" w:hAnsi="Arial" w:cs="Arial"/>
          <w:sz w:val="20"/>
          <w:szCs w:val="20"/>
        </w:rPr>
        <w:t xml:space="preserve">: </w:t>
      </w:r>
      <w:r w:rsidR="00A42C7C">
        <w:rPr>
          <w:rFonts w:ascii="Arial" w:hAnsi="Arial" w:cs="Arial"/>
          <w:sz w:val="20"/>
          <w:szCs w:val="20"/>
        </w:rPr>
        <w:fldChar w:fldCharType="begin"/>
      </w:r>
      <w:r w:rsidR="00A42C7C">
        <w:rPr>
          <w:rFonts w:ascii="Arial" w:hAnsi="Arial" w:cs="Arial"/>
          <w:sz w:val="20"/>
          <w:szCs w:val="20"/>
        </w:rPr>
        <w:instrText>persovalores_personalizable1282</w:instrText>
      </w:r>
      <w:r w:rsidR="00A42C7C">
        <w:rPr>
          <w:rFonts w:ascii="Arial" w:hAnsi="Arial" w:cs="Arial"/>
          <w:sz w:val="20"/>
          <w:szCs w:val="20"/>
        </w:rPr>
        <w:fldChar w:fldCharType="separate"/>
      </w:r>
      <w:r w:rsidR="00A42C7C">
        <w:rPr>
          <w:rFonts w:ascii="Arial" w:hAnsi="Arial" w:cs="Arial"/>
          <w:noProof/>
          <w:sz w:val="20"/>
          <w:szCs w:val="20"/>
        </w:rPr>
        <w:t>«BANKINTER_CLAUSULAS_RESGISTRO_RECLAMADO»</w:t>
      </w:r>
      <w:r w:rsidR="00A42C7C">
        <w:rPr>
          <w:rFonts w:ascii="Arial" w:hAnsi="Arial" w:cs="Arial"/>
          <w:sz w:val="20"/>
          <w:szCs w:val="20"/>
        </w:rPr>
        <w:fldChar w:fldCharType="end"/>
      </w:r>
      <w:r w:rsidR="00A42C7C">
        <w:rPr>
          <w:rFonts w:ascii="Arial" w:hAnsi="Arial" w:cs="Arial"/>
          <w:sz w:val="20"/>
          <w:szCs w:val="20"/>
        </w:rPr>
        <w:t xml:space="preserve"> </w:t>
      </w:r>
      <w:r w:rsidRPr="00554476">
        <w:rPr>
          <w:rFonts w:ascii="Arial" w:hAnsi="Arial" w:cs="Arial"/>
          <w:sz w:val="20"/>
          <w:szCs w:val="20"/>
        </w:rPr>
        <w:t>euros.</w:t>
      </w:r>
    </w:p>
    <w:p w14:paraId="717B4EC2" w14:textId="2A855E11" w:rsidR="002F6F6C" w:rsidRPr="00554476" w:rsidRDefault="002F6F6C"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Gestoría</w:t>
      </w:r>
      <w:r w:rsidR="00A4153C">
        <w:rPr>
          <w:rFonts w:ascii="Arial" w:hAnsi="Arial" w:cs="Arial"/>
          <w:sz w:val="20"/>
          <w:szCs w:val="20"/>
        </w:rPr>
        <w:t xml:space="preserve"> (100% de lo desembolsado)</w:t>
      </w:r>
      <w:r w:rsidRPr="00554476">
        <w:rPr>
          <w:rFonts w:ascii="Arial" w:hAnsi="Arial" w:cs="Arial"/>
          <w:sz w:val="20"/>
          <w:szCs w:val="20"/>
        </w:rPr>
        <w:t xml:space="preserve">: </w:t>
      </w:r>
      <w:r w:rsidR="00A42C7C">
        <w:rPr>
          <w:rFonts w:ascii="Arial" w:hAnsi="Arial" w:cs="Arial"/>
          <w:sz w:val="20"/>
          <w:szCs w:val="20"/>
        </w:rPr>
        <w:fldChar w:fldCharType="begin"/>
      </w:r>
      <w:r w:rsidR="00A42C7C">
        <w:rPr>
          <w:rFonts w:ascii="Arial" w:hAnsi="Arial" w:cs="Arial"/>
          <w:sz w:val="20"/>
          <w:szCs w:val="20"/>
        </w:rPr>
        <w:instrText>persovalores_personalizable1284</w:instrText>
      </w:r>
      <w:r w:rsidR="00A42C7C">
        <w:rPr>
          <w:rFonts w:ascii="Arial" w:hAnsi="Arial" w:cs="Arial"/>
          <w:sz w:val="20"/>
          <w:szCs w:val="20"/>
        </w:rPr>
        <w:fldChar w:fldCharType="separate"/>
      </w:r>
      <w:r w:rsidR="00A42C7C">
        <w:rPr>
          <w:rFonts w:ascii="Arial" w:hAnsi="Arial" w:cs="Arial"/>
          <w:noProof/>
          <w:sz w:val="20"/>
          <w:szCs w:val="20"/>
        </w:rPr>
        <w:t>«BANKINTER_CLAUSULAS_GESTORÍA_RECLAMADA»</w:t>
      </w:r>
      <w:r w:rsidR="00A42C7C">
        <w:rPr>
          <w:rFonts w:ascii="Arial" w:hAnsi="Arial" w:cs="Arial"/>
          <w:sz w:val="20"/>
          <w:szCs w:val="20"/>
        </w:rPr>
        <w:fldChar w:fldCharType="end"/>
      </w:r>
      <w:r w:rsidRPr="00554476">
        <w:rPr>
          <w:rFonts w:ascii="Arial" w:hAnsi="Arial" w:cs="Arial"/>
          <w:sz w:val="20"/>
          <w:szCs w:val="20"/>
        </w:rPr>
        <w:t xml:space="preserve"> euros.</w:t>
      </w:r>
    </w:p>
    <w:p w14:paraId="2289574C" w14:textId="312C7EC4" w:rsidR="002F6F6C" w:rsidRPr="00554476" w:rsidRDefault="002F6F6C"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Tasación</w:t>
      </w:r>
      <w:r w:rsidR="00A4153C">
        <w:rPr>
          <w:rFonts w:ascii="Arial" w:hAnsi="Arial" w:cs="Arial"/>
          <w:sz w:val="20"/>
          <w:szCs w:val="20"/>
        </w:rPr>
        <w:t xml:space="preserve"> (100% de lo desembolsado)</w:t>
      </w:r>
      <w:r w:rsidRPr="00554476">
        <w:rPr>
          <w:rFonts w:ascii="Arial" w:hAnsi="Arial" w:cs="Arial"/>
          <w:sz w:val="20"/>
          <w:szCs w:val="20"/>
        </w:rPr>
        <w:t xml:space="preserve">: </w:t>
      </w:r>
      <w:r w:rsidR="00A42C7C">
        <w:rPr>
          <w:rFonts w:ascii="Arial" w:hAnsi="Arial" w:cs="Arial"/>
          <w:sz w:val="20"/>
          <w:szCs w:val="20"/>
        </w:rPr>
        <w:fldChar w:fldCharType="begin"/>
      </w:r>
      <w:r w:rsidR="00A42C7C">
        <w:rPr>
          <w:rFonts w:ascii="Arial" w:hAnsi="Arial" w:cs="Arial"/>
          <w:sz w:val="20"/>
          <w:szCs w:val="20"/>
        </w:rPr>
        <w:instrText>persovalores_personalizable1283</w:instrText>
      </w:r>
      <w:r w:rsidR="00A42C7C">
        <w:rPr>
          <w:rFonts w:ascii="Arial" w:hAnsi="Arial" w:cs="Arial"/>
          <w:sz w:val="20"/>
          <w:szCs w:val="20"/>
        </w:rPr>
        <w:fldChar w:fldCharType="separate"/>
      </w:r>
      <w:r w:rsidR="00A42C7C">
        <w:rPr>
          <w:rFonts w:ascii="Arial" w:hAnsi="Arial" w:cs="Arial"/>
          <w:noProof/>
          <w:sz w:val="20"/>
          <w:szCs w:val="20"/>
        </w:rPr>
        <w:t>«BANKINTER_CLAUSULAS_TASACIÓN_RECLAMADA»</w:t>
      </w:r>
      <w:r w:rsidR="00A42C7C">
        <w:rPr>
          <w:rFonts w:ascii="Arial" w:hAnsi="Arial" w:cs="Arial"/>
          <w:sz w:val="20"/>
          <w:szCs w:val="20"/>
        </w:rPr>
        <w:fldChar w:fldCharType="end"/>
      </w:r>
      <w:r w:rsidRPr="00554476">
        <w:rPr>
          <w:rFonts w:ascii="Arial" w:hAnsi="Arial" w:cs="Arial"/>
          <w:sz w:val="20"/>
          <w:szCs w:val="20"/>
        </w:rPr>
        <w:t xml:space="preserve"> euros.</w:t>
      </w:r>
    </w:p>
    <w:p w14:paraId="09E6CAF7" w14:textId="71D870AC" w:rsidR="008B0674" w:rsidRPr="00554476" w:rsidRDefault="008B0674"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IAJD</w:t>
      </w:r>
      <w:r w:rsidR="00A4153C">
        <w:rPr>
          <w:rFonts w:ascii="Arial" w:hAnsi="Arial" w:cs="Arial"/>
          <w:sz w:val="20"/>
          <w:szCs w:val="20"/>
        </w:rPr>
        <w:t xml:space="preserve"> (100% de lo desembolsado)</w:t>
      </w:r>
      <w:r w:rsidRPr="00554476">
        <w:rPr>
          <w:rFonts w:ascii="Arial" w:hAnsi="Arial" w:cs="Arial"/>
          <w:sz w:val="20"/>
          <w:szCs w:val="20"/>
        </w:rPr>
        <w:t xml:space="preserve">: </w:t>
      </w:r>
      <w:r w:rsidR="004636DC">
        <w:rPr>
          <w:rFonts w:ascii="Arial" w:hAnsi="Arial" w:cs="Arial"/>
          <w:sz w:val="20"/>
          <w:szCs w:val="20"/>
          <w:highlight w:val="cyan"/>
        </w:rPr>
        <w:fldChar w:fldCharType="begin"/>
      </w:r>
      <w:r w:rsidR="004636DC">
        <w:rPr>
          <w:rFonts w:ascii="Arial" w:hAnsi="Arial" w:cs="Arial"/>
          <w:sz w:val="20"/>
          <w:szCs w:val="20"/>
          <w:highlight w:val="cyan"/>
        </w:rPr>
        <w:instrText>persovalores_personalizable1421</w:instrText>
      </w:r>
      <w:r w:rsidR="004636DC">
        <w:rPr>
          <w:rFonts w:ascii="Arial" w:hAnsi="Arial" w:cs="Arial"/>
          <w:sz w:val="20"/>
          <w:szCs w:val="20"/>
          <w:highlight w:val="cyan"/>
        </w:rPr>
        <w:fldChar w:fldCharType="separate"/>
      </w:r>
      <w:r w:rsidR="004636DC">
        <w:rPr>
          <w:rFonts w:ascii="Arial" w:hAnsi="Arial" w:cs="Arial"/>
          <w:noProof/>
          <w:sz w:val="20"/>
          <w:szCs w:val="20"/>
          <w:highlight w:val="cyan"/>
        </w:rPr>
        <w:t>«BANKINTER_CLAUSULAS_IAJD»</w:t>
      </w:r>
      <w:r w:rsidR="004636DC">
        <w:rPr>
          <w:rFonts w:ascii="Arial" w:hAnsi="Arial" w:cs="Arial"/>
          <w:sz w:val="20"/>
          <w:szCs w:val="20"/>
          <w:highlight w:val="cyan"/>
        </w:rPr>
        <w:fldChar w:fldCharType="end"/>
      </w:r>
      <w:r w:rsidR="004636DC">
        <w:rPr>
          <w:rFonts w:ascii="Arial" w:hAnsi="Arial" w:cs="Arial"/>
          <w:sz w:val="20"/>
          <w:szCs w:val="20"/>
        </w:rPr>
        <w:t xml:space="preserve"> </w:t>
      </w:r>
      <w:r w:rsidRPr="00554476">
        <w:rPr>
          <w:rFonts w:ascii="Arial" w:hAnsi="Arial" w:cs="Arial"/>
          <w:sz w:val="20"/>
          <w:szCs w:val="20"/>
        </w:rPr>
        <w:t xml:space="preserve">euros. </w:t>
      </w:r>
    </w:p>
    <w:p w14:paraId="76051CBA" w14:textId="18C4FD71" w:rsidR="008B0674" w:rsidRPr="00554476" w:rsidRDefault="008B0674" w:rsidP="001618DF">
      <w:pPr>
        <w:pStyle w:val="Prrafodelista"/>
        <w:numPr>
          <w:ilvl w:val="0"/>
          <w:numId w:val="3"/>
        </w:numPr>
        <w:spacing w:after="0" w:line="360" w:lineRule="auto"/>
        <w:jc w:val="both"/>
        <w:rPr>
          <w:rFonts w:ascii="Arial" w:hAnsi="Arial" w:cs="Arial"/>
          <w:sz w:val="20"/>
          <w:szCs w:val="20"/>
        </w:rPr>
      </w:pPr>
      <w:r w:rsidRPr="00554476">
        <w:rPr>
          <w:rFonts w:ascii="Arial" w:hAnsi="Arial" w:cs="Arial"/>
          <w:sz w:val="20"/>
          <w:szCs w:val="20"/>
        </w:rPr>
        <w:t xml:space="preserve">Comisión de apertura: </w:t>
      </w:r>
      <w:r w:rsidR="00A42C7C">
        <w:rPr>
          <w:rFonts w:ascii="Arial" w:hAnsi="Arial" w:cs="Arial"/>
          <w:sz w:val="20"/>
          <w:szCs w:val="20"/>
        </w:rPr>
        <w:fldChar w:fldCharType="begin"/>
      </w:r>
      <w:r w:rsidR="00A42C7C">
        <w:rPr>
          <w:rFonts w:ascii="Arial" w:hAnsi="Arial" w:cs="Arial"/>
          <w:sz w:val="20"/>
          <w:szCs w:val="20"/>
        </w:rPr>
        <w:instrText>persovalores_personalizable1285</w:instrText>
      </w:r>
      <w:r w:rsidR="00A42C7C">
        <w:rPr>
          <w:rFonts w:ascii="Arial" w:hAnsi="Arial" w:cs="Arial"/>
          <w:sz w:val="20"/>
          <w:szCs w:val="20"/>
        </w:rPr>
        <w:fldChar w:fldCharType="separate"/>
      </w:r>
      <w:r w:rsidR="00A42C7C">
        <w:rPr>
          <w:rFonts w:ascii="Arial" w:hAnsi="Arial" w:cs="Arial"/>
          <w:noProof/>
          <w:sz w:val="20"/>
          <w:szCs w:val="20"/>
        </w:rPr>
        <w:t>«BANKINTER_CLAUSULAS_COMISIÓN_DE_APERTURA»</w:t>
      </w:r>
      <w:r w:rsidR="00A42C7C">
        <w:rPr>
          <w:rFonts w:ascii="Arial" w:hAnsi="Arial" w:cs="Arial"/>
          <w:sz w:val="20"/>
          <w:szCs w:val="20"/>
        </w:rPr>
        <w:fldChar w:fldCharType="end"/>
      </w:r>
      <w:r w:rsidR="00A42C7C">
        <w:rPr>
          <w:rFonts w:ascii="Arial" w:hAnsi="Arial" w:cs="Arial"/>
          <w:sz w:val="20"/>
          <w:szCs w:val="20"/>
        </w:rPr>
        <w:t xml:space="preserve"> </w:t>
      </w:r>
      <w:r w:rsidRPr="00554476">
        <w:rPr>
          <w:rFonts w:ascii="Arial" w:hAnsi="Arial" w:cs="Arial"/>
          <w:sz w:val="20"/>
          <w:szCs w:val="20"/>
        </w:rPr>
        <w:t>euros.</w:t>
      </w:r>
    </w:p>
    <w:p w14:paraId="59E9E96C" w14:textId="77777777" w:rsidR="002F6F6C" w:rsidRPr="00554476" w:rsidRDefault="002F6F6C" w:rsidP="00554476">
      <w:pPr>
        <w:pStyle w:val="Prrafodelista"/>
        <w:spacing w:after="0" w:line="360" w:lineRule="auto"/>
        <w:ind w:left="0"/>
        <w:jc w:val="both"/>
        <w:rPr>
          <w:rFonts w:ascii="Arial" w:hAnsi="Arial" w:cs="Arial"/>
          <w:sz w:val="20"/>
          <w:szCs w:val="20"/>
        </w:rPr>
      </w:pPr>
    </w:p>
    <w:p w14:paraId="13E736E2" w14:textId="0D488D1A" w:rsidR="005B4F39" w:rsidRPr="00554476" w:rsidRDefault="00AD7BFB" w:rsidP="00554476">
      <w:pPr>
        <w:spacing w:after="0" w:line="360" w:lineRule="auto"/>
        <w:jc w:val="both"/>
        <w:rPr>
          <w:rFonts w:ascii="Arial" w:eastAsia="Calibri" w:hAnsi="Arial" w:cs="Arial"/>
          <w:bCs/>
          <w:spacing w:val="4"/>
          <w:sz w:val="20"/>
          <w:szCs w:val="20"/>
        </w:rPr>
      </w:pPr>
      <w:r w:rsidRPr="00554476">
        <w:rPr>
          <w:rFonts w:ascii="Arial" w:eastAsia="Calibri" w:hAnsi="Arial" w:cs="Arial"/>
          <w:bCs/>
          <w:spacing w:val="4"/>
          <w:sz w:val="20"/>
          <w:szCs w:val="20"/>
        </w:rPr>
        <w:t>Habida cuenta del momento de formalización del préstamo hipotecario que nos ocupa</w:t>
      </w:r>
      <w:r w:rsidR="006064A2">
        <w:rPr>
          <w:rFonts w:ascii="Arial" w:eastAsia="Calibri" w:hAnsi="Arial" w:cs="Arial"/>
          <w:bCs/>
          <w:spacing w:val="4"/>
          <w:sz w:val="20"/>
          <w:szCs w:val="20"/>
        </w:rPr>
        <w:t>,</w:t>
      </w:r>
      <w:r w:rsidRPr="00554476">
        <w:rPr>
          <w:rFonts w:ascii="Arial" w:eastAsia="Calibri" w:hAnsi="Arial" w:cs="Arial"/>
          <w:bCs/>
          <w:spacing w:val="4"/>
          <w:sz w:val="20"/>
          <w:szCs w:val="20"/>
        </w:rPr>
        <w:t xml:space="preserve"> del momento que fueron abonados los distintos conceptos cuyos importes hoy se reclaman y la fecha de interposición de la Demanda, resulta que al tiempo de ejercitarse las acciones judiciales que traen causa la de reclamación de cantidad se encuentra más que prescrita por </w:t>
      </w:r>
      <w:r w:rsidRPr="00554476">
        <w:rPr>
          <w:rFonts w:ascii="Arial" w:eastAsia="Calibri" w:hAnsi="Arial" w:cs="Arial"/>
          <w:bCs/>
          <w:spacing w:val="4"/>
          <w:sz w:val="20"/>
          <w:szCs w:val="20"/>
        </w:rPr>
        <w:lastRenderedPageBreak/>
        <w:t>mor del artículo 1964 del Código Civil</w:t>
      </w:r>
      <w:r w:rsidR="00DB5275">
        <w:rPr>
          <w:rFonts w:ascii="Arial" w:eastAsia="Calibri" w:hAnsi="Arial" w:cs="Arial"/>
          <w:bCs/>
          <w:spacing w:val="4"/>
          <w:sz w:val="20"/>
          <w:szCs w:val="20"/>
        </w:rPr>
        <w:t xml:space="preserve">, </w:t>
      </w:r>
      <w:r w:rsidRPr="00554476">
        <w:rPr>
          <w:rFonts w:ascii="Arial" w:eastAsia="Calibri" w:hAnsi="Arial" w:cs="Arial"/>
          <w:bCs/>
          <w:spacing w:val="4"/>
          <w:sz w:val="20"/>
          <w:szCs w:val="20"/>
        </w:rPr>
        <w:t>lo que debería de dar lugar, cuanto menos, a la desestimación de la pretensión condenatoria.</w:t>
      </w:r>
    </w:p>
    <w:p w14:paraId="0306F277" w14:textId="77777777" w:rsidR="005B4F39" w:rsidRPr="00554476" w:rsidRDefault="005B4F39" w:rsidP="00554476">
      <w:pPr>
        <w:spacing w:after="0" w:line="360" w:lineRule="auto"/>
        <w:jc w:val="both"/>
        <w:rPr>
          <w:rFonts w:ascii="Arial" w:eastAsia="Calibri" w:hAnsi="Arial" w:cs="Arial"/>
          <w:spacing w:val="4"/>
          <w:sz w:val="20"/>
          <w:szCs w:val="20"/>
        </w:rPr>
      </w:pPr>
    </w:p>
    <w:p w14:paraId="7DACBB08" w14:textId="5570C0DA" w:rsidR="00AD7BFB" w:rsidRPr="00554476" w:rsidRDefault="00AD7BFB" w:rsidP="00554476">
      <w:pPr>
        <w:spacing w:after="0" w:line="360" w:lineRule="auto"/>
        <w:jc w:val="both"/>
        <w:rPr>
          <w:rFonts w:ascii="Arial" w:eastAsia="Calibri" w:hAnsi="Arial" w:cs="Arial"/>
          <w:b/>
          <w:sz w:val="20"/>
          <w:szCs w:val="20"/>
        </w:rPr>
      </w:pPr>
      <w:r w:rsidRPr="00554476">
        <w:rPr>
          <w:rFonts w:ascii="Arial" w:eastAsia="Calibri" w:hAnsi="Arial" w:cs="Arial"/>
          <w:spacing w:val="4"/>
          <w:sz w:val="20"/>
          <w:szCs w:val="20"/>
        </w:rPr>
        <w:t xml:space="preserve">Sin perjuicio de esta alegación inicial, esta Contestación trata en </w:t>
      </w:r>
      <w:r w:rsidR="005B4F39" w:rsidRPr="00554476">
        <w:rPr>
          <w:rFonts w:ascii="Arial" w:eastAsia="Calibri" w:hAnsi="Arial" w:cs="Arial"/>
          <w:spacing w:val="4"/>
          <w:sz w:val="20"/>
          <w:szCs w:val="20"/>
        </w:rPr>
        <w:t>su</w:t>
      </w:r>
      <w:r w:rsidRPr="00554476">
        <w:rPr>
          <w:rFonts w:ascii="Arial" w:eastAsia="Calibri" w:hAnsi="Arial" w:cs="Arial"/>
          <w:spacing w:val="4"/>
          <w:sz w:val="20"/>
          <w:szCs w:val="20"/>
        </w:rPr>
        <w:t xml:space="preserve"> </w:t>
      </w:r>
      <w:r w:rsidR="005B4F39" w:rsidRPr="00554476">
        <w:rPr>
          <w:rFonts w:ascii="Arial" w:eastAsia="Calibri" w:hAnsi="Arial" w:cs="Arial"/>
          <w:spacing w:val="4"/>
          <w:sz w:val="20"/>
          <w:szCs w:val="20"/>
        </w:rPr>
        <w:t>f</w:t>
      </w:r>
      <w:r w:rsidRPr="00554476">
        <w:rPr>
          <w:rFonts w:ascii="Arial" w:eastAsia="Calibri" w:hAnsi="Arial" w:cs="Arial"/>
          <w:spacing w:val="4"/>
          <w:sz w:val="20"/>
          <w:szCs w:val="20"/>
        </w:rPr>
        <w:t>undamentación jurídica el instituto de la prescripción.</w:t>
      </w:r>
    </w:p>
    <w:p w14:paraId="43AFCFF4" w14:textId="77777777" w:rsidR="002F763B" w:rsidRPr="00554476" w:rsidRDefault="002F763B" w:rsidP="00554476">
      <w:pPr>
        <w:spacing w:after="0" w:line="360" w:lineRule="auto"/>
        <w:jc w:val="both"/>
        <w:rPr>
          <w:rFonts w:ascii="Arial" w:hAnsi="Arial" w:cs="Arial"/>
          <w:b/>
          <w:sz w:val="20"/>
          <w:szCs w:val="20"/>
          <w:u w:val="single"/>
        </w:rPr>
      </w:pPr>
    </w:p>
    <w:p w14:paraId="313005F0" w14:textId="63F6D49B" w:rsidR="00FC7AC9" w:rsidRPr="00554476" w:rsidRDefault="008B0674" w:rsidP="00554476">
      <w:pPr>
        <w:pStyle w:val="Ttulo2"/>
        <w:spacing w:before="0" w:line="360" w:lineRule="auto"/>
        <w:jc w:val="both"/>
        <w:rPr>
          <w:rFonts w:ascii="Arial" w:eastAsia="Bankinter" w:hAnsi="Arial" w:cs="Arial"/>
          <w:b/>
          <w:color w:val="auto"/>
          <w:sz w:val="20"/>
          <w:szCs w:val="20"/>
          <w:u w:val="single"/>
        </w:rPr>
      </w:pPr>
      <w:bookmarkStart w:id="4" w:name="_Toc54185188"/>
      <w:r w:rsidRPr="00554476">
        <w:rPr>
          <w:rFonts w:ascii="Arial" w:eastAsia="Bankinter" w:hAnsi="Arial" w:cs="Arial"/>
          <w:b/>
          <w:color w:val="auto"/>
          <w:sz w:val="20"/>
          <w:szCs w:val="20"/>
          <w:u w:val="single"/>
        </w:rPr>
        <w:t>SEGUNDO. -</w:t>
      </w:r>
      <w:r w:rsidR="007F1E46" w:rsidRPr="00554476">
        <w:rPr>
          <w:rFonts w:ascii="Arial" w:eastAsia="Bankinter" w:hAnsi="Arial" w:cs="Arial"/>
          <w:b/>
          <w:color w:val="auto"/>
          <w:sz w:val="20"/>
          <w:szCs w:val="20"/>
          <w:u w:val="single"/>
        </w:rPr>
        <w:t xml:space="preserve"> </w:t>
      </w:r>
      <w:r w:rsidR="00623261" w:rsidRPr="00554476">
        <w:rPr>
          <w:rFonts w:ascii="Arial" w:eastAsia="Bankinter" w:hAnsi="Arial" w:cs="Arial"/>
          <w:b/>
          <w:color w:val="auto"/>
          <w:sz w:val="20"/>
          <w:szCs w:val="20"/>
          <w:u w:val="single"/>
        </w:rPr>
        <w:t>Del proceso de negociación del préstamo hipotecario</w:t>
      </w:r>
      <w:r w:rsidR="007F1E46" w:rsidRPr="00554476">
        <w:rPr>
          <w:rFonts w:ascii="Arial" w:eastAsia="Bankinter" w:hAnsi="Arial" w:cs="Arial"/>
          <w:b/>
          <w:color w:val="auto"/>
          <w:sz w:val="20"/>
          <w:szCs w:val="20"/>
          <w:u w:val="single"/>
        </w:rPr>
        <w:t>.</w:t>
      </w:r>
      <w:bookmarkEnd w:id="4"/>
      <w:r w:rsidR="00586316" w:rsidRPr="00554476">
        <w:rPr>
          <w:rFonts w:ascii="Arial" w:eastAsia="Bankinter" w:hAnsi="Arial" w:cs="Arial"/>
          <w:b/>
          <w:color w:val="auto"/>
          <w:sz w:val="20"/>
          <w:szCs w:val="20"/>
          <w:u w:val="single"/>
        </w:rPr>
        <w:t xml:space="preserve"> </w:t>
      </w:r>
    </w:p>
    <w:p w14:paraId="439183CE" w14:textId="77777777" w:rsidR="009F72F2" w:rsidRPr="00554476" w:rsidRDefault="009F72F2" w:rsidP="00554476">
      <w:pPr>
        <w:autoSpaceDE w:val="0"/>
        <w:autoSpaceDN w:val="0"/>
        <w:spacing w:after="0" w:line="360" w:lineRule="auto"/>
        <w:jc w:val="both"/>
        <w:rPr>
          <w:rFonts w:ascii="Arial" w:hAnsi="Arial" w:cs="Arial"/>
          <w:sz w:val="20"/>
          <w:szCs w:val="20"/>
        </w:rPr>
      </w:pPr>
    </w:p>
    <w:p w14:paraId="1A60979D" w14:textId="626E7BD5" w:rsidR="00E2679C" w:rsidRPr="00554476" w:rsidRDefault="00E2679C" w:rsidP="00554476">
      <w:pPr>
        <w:autoSpaceDE w:val="0"/>
        <w:autoSpaceDN w:val="0"/>
        <w:spacing w:after="0" w:line="360" w:lineRule="auto"/>
        <w:jc w:val="both"/>
        <w:rPr>
          <w:rFonts w:ascii="Arial" w:hAnsi="Arial" w:cs="Arial"/>
          <w:sz w:val="20"/>
          <w:szCs w:val="20"/>
        </w:rPr>
      </w:pPr>
      <w:r w:rsidRPr="00554476">
        <w:rPr>
          <w:rFonts w:ascii="Arial" w:hAnsi="Arial" w:cs="Arial"/>
          <w:sz w:val="20"/>
          <w:szCs w:val="20"/>
        </w:rPr>
        <w:t xml:space="preserve">A diferencia de lo manifestado </w:t>
      </w:r>
      <w:r w:rsidR="00345E1D" w:rsidRPr="00554476">
        <w:rPr>
          <w:rFonts w:ascii="Arial" w:hAnsi="Arial" w:cs="Arial"/>
          <w:sz w:val="20"/>
          <w:szCs w:val="20"/>
        </w:rPr>
        <w:t>de contrario</w:t>
      </w:r>
      <w:r w:rsidRPr="00554476">
        <w:rPr>
          <w:rFonts w:ascii="Arial" w:hAnsi="Arial" w:cs="Arial"/>
          <w:sz w:val="20"/>
          <w:szCs w:val="20"/>
        </w:rPr>
        <w:t>, con carácter previo a la firma de la escritura de préstamo hipotecario, las partes procedieron a negociar las condiciones de</w:t>
      </w:r>
      <w:r w:rsidR="00345E1D" w:rsidRPr="00554476">
        <w:rPr>
          <w:rFonts w:ascii="Arial" w:hAnsi="Arial" w:cs="Arial"/>
          <w:sz w:val="20"/>
          <w:szCs w:val="20"/>
        </w:rPr>
        <w:t xml:space="preserve"> </w:t>
      </w:r>
      <w:r w:rsidRPr="00554476">
        <w:rPr>
          <w:rFonts w:ascii="Arial" w:hAnsi="Arial" w:cs="Arial"/>
          <w:sz w:val="20"/>
          <w:szCs w:val="20"/>
        </w:rPr>
        <w:t>l</w:t>
      </w:r>
      <w:r w:rsidR="00345E1D" w:rsidRPr="00554476">
        <w:rPr>
          <w:rFonts w:ascii="Arial" w:hAnsi="Arial" w:cs="Arial"/>
          <w:sz w:val="20"/>
          <w:szCs w:val="20"/>
        </w:rPr>
        <w:t xml:space="preserve">a operación, siendo todas ellas </w:t>
      </w:r>
      <w:r w:rsidR="00586316" w:rsidRPr="00554476">
        <w:rPr>
          <w:rFonts w:ascii="Arial" w:hAnsi="Arial" w:cs="Arial"/>
          <w:sz w:val="20"/>
          <w:szCs w:val="20"/>
        </w:rPr>
        <w:t xml:space="preserve">debidamente </w:t>
      </w:r>
      <w:r w:rsidRPr="00554476">
        <w:rPr>
          <w:rFonts w:ascii="Arial" w:hAnsi="Arial" w:cs="Arial"/>
          <w:sz w:val="20"/>
          <w:szCs w:val="20"/>
        </w:rPr>
        <w:t xml:space="preserve">explicadas por el personal de la entidad durante </w:t>
      </w:r>
      <w:r w:rsidR="00345E1D" w:rsidRPr="00554476">
        <w:rPr>
          <w:rFonts w:ascii="Arial" w:hAnsi="Arial" w:cs="Arial"/>
          <w:sz w:val="20"/>
          <w:szCs w:val="20"/>
        </w:rPr>
        <w:t xml:space="preserve">la </w:t>
      </w:r>
      <w:r w:rsidRPr="00554476">
        <w:rPr>
          <w:rFonts w:ascii="Arial" w:hAnsi="Arial" w:cs="Arial"/>
          <w:sz w:val="20"/>
          <w:szCs w:val="20"/>
        </w:rPr>
        <w:t>fase precontractual</w:t>
      </w:r>
      <w:r w:rsidR="00345E1D" w:rsidRPr="00554476">
        <w:rPr>
          <w:rFonts w:ascii="Arial" w:hAnsi="Arial" w:cs="Arial"/>
          <w:sz w:val="20"/>
          <w:szCs w:val="20"/>
        </w:rPr>
        <w:t>,</w:t>
      </w:r>
      <w:r w:rsidRPr="00554476">
        <w:rPr>
          <w:rFonts w:ascii="Arial" w:hAnsi="Arial" w:cs="Arial"/>
          <w:sz w:val="20"/>
          <w:szCs w:val="20"/>
        </w:rPr>
        <w:t xml:space="preserve"> </w:t>
      </w:r>
      <w:r w:rsidR="00345E1D" w:rsidRPr="00554476">
        <w:rPr>
          <w:rFonts w:ascii="Arial" w:hAnsi="Arial" w:cs="Arial"/>
          <w:sz w:val="20"/>
          <w:szCs w:val="20"/>
        </w:rPr>
        <w:t xml:space="preserve">periodo comprendido </w:t>
      </w:r>
      <w:r w:rsidRPr="00554476">
        <w:rPr>
          <w:rFonts w:ascii="Arial" w:hAnsi="Arial" w:cs="Arial"/>
          <w:sz w:val="20"/>
          <w:szCs w:val="20"/>
        </w:rPr>
        <w:t>desde la solicitud d</w:t>
      </w:r>
      <w:r w:rsidR="00CC58BF" w:rsidRPr="00554476">
        <w:rPr>
          <w:rFonts w:ascii="Arial" w:hAnsi="Arial" w:cs="Arial"/>
          <w:sz w:val="20"/>
          <w:szCs w:val="20"/>
        </w:rPr>
        <w:t>e</w:t>
      </w:r>
      <w:r w:rsidRPr="00554476">
        <w:rPr>
          <w:rFonts w:ascii="Arial" w:hAnsi="Arial" w:cs="Arial"/>
          <w:sz w:val="20"/>
          <w:szCs w:val="20"/>
        </w:rPr>
        <w:t xml:space="preserve"> financiación hasta el otorgamiento de la escritura. </w:t>
      </w:r>
    </w:p>
    <w:p w14:paraId="06A52A32" w14:textId="77777777" w:rsidR="006C5687" w:rsidRPr="00554476" w:rsidRDefault="006C5687" w:rsidP="00554476">
      <w:pPr>
        <w:spacing w:after="0" w:line="360" w:lineRule="auto"/>
        <w:jc w:val="both"/>
        <w:rPr>
          <w:rFonts w:ascii="Arial" w:hAnsi="Arial" w:cs="Arial"/>
          <w:sz w:val="20"/>
          <w:szCs w:val="20"/>
        </w:rPr>
      </w:pPr>
    </w:p>
    <w:p w14:paraId="09507092" w14:textId="77777777" w:rsidR="007006C1" w:rsidRPr="00554476" w:rsidRDefault="007006C1" w:rsidP="00554476">
      <w:pPr>
        <w:spacing w:after="0" w:line="360" w:lineRule="auto"/>
        <w:jc w:val="both"/>
        <w:rPr>
          <w:rFonts w:ascii="Arial" w:hAnsi="Arial" w:cs="Arial"/>
          <w:sz w:val="20"/>
          <w:szCs w:val="20"/>
        </w:rPr>
      </w:pPr>
      <w:r w:rsidRPr="00554476">
        <w:rPr>
          <w:rFonts w:ascii="Arial" w:hAnsi="Arial" w:cs="Arial"/>
          <w:sz w:val="20"/>
          <w:szCs w:val="20"/>
        </w:rPr>
        <w:t xml:space="preserve">El proceso de comercialización del préstamo </w:t>
      </w:r>
      <w:r w:rsidR="00345E1D" w:rsidRPr="00554476">
        <w:rPr>
          <w:rFonts w:ascii="Arial" w:hAnsi="Arial" w:cs="Arial"/>
          <w:sz w:val="20"/>
          <w:szCs w:val="20"/>
        </w:rPr>
        <w:t>comienza en el momento</w:t>
      </w:r>
      <w:r w:rsidRPr="00554476">
        <w:rPr>
          <w:rFonts w:ascii="Arial" w:hAnsi="Arial" w:cs="Arial"/>
          <w:sz w:val="20"/>
          <w:szCs w:val="20"/>
        </w:rPr>
        <w:t xml:space="preserve"> </w:t>
      </w:r>
      <w:r w:rsidR="00345E1D" w:rsidRPr="00554476">
        <w:rPr>
          <w:rFonts w:ascii="Arial" w:hAnsi="Arial" w:cs="Arial"/>
          <w:sz w:val="20"/>
          <w:szCs w:val="20"/>
        </w:rPr>
        <w:t xml:space="preserve">en que </w:t>
      </w:r>
      <w:r w:rsidRPr="00554476">
        <w:rPr>
          <w:rFonts w:ascii="Arial" w:hAnsi="Arial" w:cs="Arial"/>
          <w:sz w:val="20"/>
          <w:szCs w:val="20"/>
        </w:rPr>
        <w:t xml:space="preserve">el </w:t>
      </w:r>
      <w:r w:rsidR="00345E1D" w:rsidRPr="00554476">
        <w:rPr>
          <w:rFonts w:ascii="Arial" w:hAnsi="Arial" w:cs="Arial"/>
          <w:sz w:val="20"/>
          <w:szCs w:val="20"/>
        </w:rPr>
        <w:t xml:space="preserve">hoy </w:t>
      </w:r>
      <w:r w:rsidRPr="00554476">
        <w:rPr>
          <w:rFonts w:ascii="Arial" w:hAnsi="Arial" w:cs="Arial"/>
          <w:sz w:val="20"/>
          <w:szCs w:val="20"/>
        </w:rPr>
        <w:t xml:space="preserve">demandante </w:t>
      </w:r>
      <w:r w:rsidR="00345E1D" w:rsidRPr="00554476">
        <w:rPr>
          <w:rFonts w:ascii="Arial" w:hAnsi="Arial" w:cs="Arial"/>
          <w:sz w:val="20"/>
          <w:szCs w:val="20"/>
        </w:rPr>
        <w:t>acude</w:t>
      </w:r>
      <w:r w:rsidR="00EC7615" w:rsidRPr="00554476">
        <w:rPr>
          <w:rFonts w:ascii="Arial" w:hAnsi="Arial" w:cs="Arial"/>
          <w:sz w:val="20"/>
          <w:szCs w:val="20"/>
        </w:rPr>
        <w:t xml:space="preserve"> a Bankinter</w:t>
      </w:r>
      <w:r w:rsidRPr="00554476">
        <w:rPr>
          <w:rFonts w:ascii="Arial" w:hAnsi="Arial" w:cs="Arial"/>
          <w:sz w:val="20"/>
          <w:szCs w:val="20"/>
        </w:rPr>
        <w:t xml:space="preserve"> </w:t>
      </w:r>
      <w:r w:rsidR="00EC7615" w:rsidRPr="00554476">
        <w:rPr>
          <w:rFonts w:ascii="Arial" w:hAnsi="Arial" w:cs="Arial"/>
          <w:sz w:val="20"/>
          <w:szCs w:val="20"/>
        </w:rPr>
        <w:t xml:space="preserve">interesando </w:t>
      </w:r>
      <w:r w:rsidRPr="00554476">
        <w:rPr>
          <w:rFonts w:ascii="Arial" w:hAnsi="Arial" w:cs="Arial"/>
          <w:sz w:val="20"/>
          <w:szCs w:val="20"/>
        </w:rPr>
        <w:t xml:space="preserve">información acerca de las opciones de financiación hipotecaria que </w:t>
      </w:r>
      <w:r w:rsidR="00EC7615" w:rsidRPr="00554476">
        <w:rPr>
          <w:rFonts w:ascii="Arial" w:hAnsi="Arial" w:cs="Arial"/>
          <w:sz w:val="20"/>
          <w:szCs w:val="20"/>
        </w:rPr>
        <w:t xml:space="preserve">la entidad </w:t>
      </w:r>
      <w:r w:rsidR="00345E1D" w:rsidRPr="00554476">
        <w:rPr>
          <w:rFonts w:ascii="Arial" w:hAnsi="Arial" w:cs="Arial"/>
          <w:sz w:val="20"/>
          <w:szCs w:val="20"/>
        </w:rPr>
        <w:t>dispone</w:t>
      </w:r>
      <w:r w:rsidRPr="00554476">
        <w:rPr>
          <w:rFonts w:ascii="Arial" w:hAnsi="Arial" w:cs="Arial"/>
          <w:sz w:val="20"/>
          <w:szCs w:val="20"/>
        </w:rPr>
        <w:t xml:space="preserve">. </w:t>
      </w:r>
    </w:p>
    <w:p w14:paraId="6DFB518D" w14:textId="77777777" w:rsidR="00802409" w:rsidRPr="00554476" w:rsidRDefault="00802409" w:rsidP="00554476">
      <w:pPr>
        <w:spacing w:after="0" w:line="360" w:lineRule="auto"/>
        <w:jc w:val="both"/>
        <w:rPr>
          <w:rFonts w:ascii="Arial" w:eastAsia="Calibri" w:hAnsi="Arial" w:cs="Arial"/>
          <w:spacing w:val="4"/>
          <w:sz w:val="20"/>
          <w:szCs w:val="20"/>
        </w:rPr>
      </w:pPr>
    </w:p>
    <w:p w14:paraId="5D74771F" w14:textId="77777777" w:rsidR="00C430BC" w:rsidRPr="00554476" w:rsidRDefault="00C430BC" w:rsidP="00554476">
      <w:pPr>
        <w:spacing w:after="0" w:line="360" w:lineRule="auto"/>
        <w:jc w:val="both"/>
        <w:rPr>
          <w:rFonts w:ascii="Arial" w:hAnsi="Arial" w:cs="Arial"/>
          <w:sz w:val="20"/>
          <w:szCs w:val="20"/>
        </w:rPr>
      </w:pPr>
      <w:r w:rsidRPr="00554476">
        <w:rPr>
          <w:rFonts w:ascii="Arial" w:hAnsi="Arial" w:cs="Arial"/>
          <w:sz w:val="20"/>
          <w:szCs w:val="20"/>
        </w:rPr>
        <w:t>De todos es sabido que la firma de un préstamo hipotecario no es una cuestión baladí y que no se materializa en un único día. Todo ciudadano se preocupa de obtener las mejores condiciones económicas en su préstamo y, para ello, sondea el mercado en busca de las condiciones que más le interesen.</w:t>
      </w:r>
    </w:p>
    <w:p w14:paraId="580AC57D" w14:textId="77777777" w:rsidR="00130BF5" w:rsidRPr="00554476" w:rsidRDefault="00130BF5" w:rsidP="00554476">
      <w:pPr>
        <w:spacing w:after="0" w:line="360" w:lineRule="auto"/>
        <w:jc w:val="both"/>
        <w:rPr>
          <w:rFonts w:ascii="Arial" w:hAnsi="Arial" w:cs="Arial"/>
          <w:sz w:val="20"/>
          <w:szCs w:val="20"/>
        </w:rPr>
      </w:pPr>
    </w:p>
    <w:p w14:paraId="30473576" w14:textId="77777777" w:rsidR="007006C1" w:rsidRPr="00554476" w:rsidRDefault="007006C1" w:rsidP="00554476">
      <w:pPr>
        <w:spacing w:after="0" w:line="360" w:lineRule="auto"/>
        <w:jc w:val="both"/>
        <w:rPr>
          <w:rFonts w:ascii="Arial" w:hAnsi="Arial" w:cs="Arial"/>
          <w:sz w:val="20"/>
          <w:szCs w:val="20"/>
        </w:rPr>
      </w:pPr>
      <w:r w:rsidRPr="00554476">
        <w:rPr>
          <w:rFonts w:ascii="Arial" w:hAnsi="Arial" w:cs="Arial"/>
          <w:sz w:val="20"/>
          <w:szCs w:val="20"/>
        </w:rPr>
        <w:t>A este respecto</w:t>
      </w:r>
      <w:r w:rsidR="00486752" w:rsidRPr="00554476">
        <w:rPr>
          <w:rFonts w:ascii="Arial" w:hAnsi="Arial" w:cs="Arial"/>
          <w:sz w:val="20"/>
          <w:szCs w:val="20"/>
        </w:rPr>
        <w:t>,</w:t>
      </w:r>
      <w:r w:rsidRPr="00554476">
        <w:rPr>
          <w:rFonts w:ascii="Arial" w:hAnsi="Arial" w:cs="Arial"/>
          <w:sz w:val="20"/>
          <w:szCs w:val="20"/>
        </w:rPr>
        <w:t xml:space="preserve"> es importante señalar que, con ánimo de dar debido cumplimiento a las directrices de buenas prácticas bancarias, mi mandante mantiene un </w:t>
      </w:r>
      <w:r w:rsidR="00B91A76" w:rsidRPr="00554476">
        <w:rPr>
          <w:rFonts w:ascii="Arial" w:hAnsi="Arial" w:cs="Arial"/>
          <w:sz w:val="20"/>
          <w:szCs w:val="20"/>
        </w:rPr>
        <w:t xml:space="preserve">estricto </w:t>
      </w:r>
      <w:r w:rsidRPr="00554476">
        <w:rPr>
          <w:rFonts w:ascii="Arial" w:hAnsi="Arial" w:cs="Arial"/>
          <w:sz w:val="20"/>
          <w:szCs w:val="20"/>
        </w:rPr>
        <w:t xml:space="preserve">protocolo de actuación en la comercialización de </w:t>
      </w:r>
      <w:r w:rsidR="000975F4" w:rsidRPr="00554476">
        <w:rPr>
          <w:rFonts w:ascii="Arial" w:hAnsi="Arial" w:cs="Arial"/>
          <w:sz w:val="20"/>
          <w:szCs w:val="20"/>
        </w:rPr>
        <w:t xml:space="preserve">los </w:t>
      </w:r>
      <w:r w:rsidRPr="00554476">
        <w:rPr>
          <w:rFonts w:ascii="Arial" w:hAnsi="Arial" w:cs="Arial"/>
          <w:sz w:val="20"/>
          <w:szCs w:val="20"/>
        </w:rPr>
        <w:t>préstamos</w:t>
      </w:r>
      <w:r w:rsidR="00F019E4" w:rsidRPr="00554476">
        <w:rPr>
          <w:rFonts w:ascii="Arial" w:hAnsi="Arial" w:cs="Arial"/>
          <w:sz w:val="20"/>
          <w:szCs w:val="20"/>
        </w:rPr>
        <w:t>,</w:t>
      </w:r>
      <w:r w:rsidRPr="00554476">
        <w:rPr>
          <w:rFonts w:ascii="Arial" w:hAnsi="Arial" w:cs="Arial"/>
          <w:sz w:val="20"/>
          <w:szCs w:val="20"/>
        </w:rPr>
        <w:t xml:space="preserve"> </w:t>
      </w:r>
      <w:r w:rsidR="00B91A76" w:rsidRPr="00554476">
        <w:rPr>
          <w:rFonts w:ascii="Arial" w:hAnsi="Arial" w:cs="Arial"/>
          <w:sz w:val="20"/>
          <w:szCs w:val="20"/>
        </w:rPr>
        <w:t xml:space="preserve">resultando </w:t>
      </w:r>
      <w:r w:rsidRPr="00554476">
        <w:rPr>
          <w:rFonts w:ascii="Arial" w:hAnsi="Arial" w:cs="Arial"/>
          <w:sz w:val="20"/>
          <w:szCs w:val="20"/>
        </w:rPr>
        <w:t xml:space="preserve">obligatorio informar a los prestatarios de todas las cuantías a las que tendrían que hacer frente </w:t>
      </w:r>
      <w:r w:rsidR="00B11635" w:rsidRPr="00554476">
        <w:rPr>
          <w:rFonts w:ascii="Arial" w:hAnsi="Arial" w:cs="Arial"/>
          <w:sz w:val="20"/>
          <w:szCs w:val="20"/>
        </w:rPr>
        <w:t xml:space="preserve">éstos </w:t>
      </w:r>
      <w:r w:rsidRPr="00554476">
        <w:rPr>
          <w:rFonts w:ascii="Arial" w:hAnsi="Arial" w:cs="Arial"/>
          <w:sz w:val="20"/>
          <w:szCs w:val="20"/>
        </w:rPr>
        <w:t>en</w:t>
      </w:r>
      <w:r w:rsidR="00B91A76" w:rsidRPr="00554476">
        <w:rPr>
          <w:rFonts w:ascii="Arial" w:hAnsi="Arial" w:cs="Arial"/>
          <w:sz w:val="20"/>
          <w:szCs w:val="20"/>
        </w:rPr>
        <w:t xml:space="preserve"> caso de concederse la financiación.</w:t>
      </w:r>
      <w:r w:rsidRPr="00554476">
        <w:rPr>
          <w:rFonts w:ascii="Arial" w:hAnsi="Arial" w:cs="Arial"/>
          <w:sz w:val="20"/>
          <w:szCs w:val="20"/>
        </w:rPr>
        <w:t xml:space="preserve"> </w:t>
      </w:r>
      <w:r w:rsidR="00C24097" w:rsidRPr="00554476">
        <w:rPr>
          <w:rFonts w:ascii="Arial" w:hAnsi="Arial" w:cs="Arial"/>
          <w:sz w:val="20"/>
          <w:szCs w:val="20"/>
        </w:rPr>
        <w:t>Extremando</w:t>
      </w:r>
      <w:r w:rsidR="00486752" w:rsidRPr="00554476">
        <w:rPr>
          <w:rFonts w:ascii="Arial" w:hAnsi="Arial" w:cs="Arial"/>
          <w:sz w:val="20"/>
          <w:szCs w:val="20"/>
        </w:rPr>
        <w:t>,</w:t>
      </w:r>
      <w:r w:rsidR="00C24097" w:rsidRPr="00554476">
        <w:rPr>
          <w:rFonts w:ascii="Arial" w:hAnsi="Arial" w:cs="Arial"/>
          <w:sz w:val="20"/>
          <w:szCs w:val="20"/>
        </w:rPr>
        <w:t xml:space="preserve"> todavía más si cabe</w:t>
      </w:r>
      <w:r w:rsidR="00486752" w:rsidRPr="00554476">
        <w:rPr>
          <w:rFonts w:ascii="Arial" w:hAnsi="Arial" w:cs="Arial"/>
          <w:sz w:val="20"/>
          <w:szCs w:val="20"/>
        </w:rPr>
        <w:t>,</w:t>
      </w:r>
      <w:r w:rsidR="00C24097" w:rsidRPr="00554476">
        <w:rPr>
          <w:rFonts w:ascii="Arial" w:hAnsi="Arial" w:cs="Arial"/>
          <w:sz w:val="20"/>
          <w:szCs w:val="20"/>
        </w:rPr>
        <w:t xml:space="preserve"> las precauciones </w:t>
      </w:r>
      <w:r w:rsidR="00FE38CC" w:rsidRPr="00554476">
        <w:rPr>
          <w:rFonts w:ascii="Arial" w:hAnsi="Arial" w:cs="Arial"/>
          <w:sz w:val="20"/>
          <w:szCs w:val="20"/>
        </w:rPr>
        <w:t xml:space="preserve">en las </w:t>
      </w:r>
      <w:r w:rsidRPr="00554476">
        <w:rPr>
          <w:rFonts w:ascii="Arial" w:hAnsi="Arial" w:cs="Arial"/>
          <w:sz w:val="20"/>
          <w:szCs w:val="20"/>
        </w:rPr>
        <w:t xml:space="preserve">operaciones de naturaleza hipotecaria. </w:t>
      </w:r>
    </w:p>
    <w:p w14:paraId="36DABCAB" w14:textId="77777777" w:rsidR="002F6F6C" w:rsidRPr="00554476" w:rsidRDefault="002F6F6C" w:rsidP="00554476">
      <w:pPr>
        <w:spacing w:after="0" w:line="360" w:lineRule="auto"/>
        <w:jc w:val="both"/>
        <w:rPr>
          <w:rFonts w:ascii="Arial" w:hAnsi="Arial" w:cs="Arial"/>
          <w:sz w:val="20"/>
          <w:szCs w:val="20"/>
        </w:rPr>
      </w:pPr>
    </w:p>
    <w:p w14:paraId="0084CCEF" w14:textId="4B71E877" w:rsidR="00881B80" w:rsidRPr="00554476" w:rsidRDefault="00F646AF" w:rsidP="00554476">
      <w:pPr>
        <w:spacing w:after="0" w:line="360" w:lineRule="auto"/>
        <w:jc w:val="both"/>
        <w:rPr>
          <w:rFonts w:ascii="Arial" w:hAnsi="Arial" w:cs="Arial"/>
          <w:sz w:val="20"/>
          <w:szCs w:val="20"/>
        </w:rPr>
      </w:pPr>
      <w:r w:rsidRPr="00554476">
        <w:rPr>
          <w:rFonts w:ascii="Arial" w:hAnsi="Arial" w:cs="Arial"/>
          <w:sz w:val="20"/>
          <w:szCs w:val="20"/>
        </w:rPr>
        <w:t xml:space="preserve">El proceso de comercialización culminó </w:t>
      </w:r>
      <w:r w:rsidR="00A8586C" w:rsidRPr="00554476">
        <w:rPr>
          <w:rFonts w:ascii="Arial" w:hAnsi="Arial" w:cs="Arial"/>
          <w:sz w:val="20"/>
          <w:szCs w:val="20"/>
        </w:rPr>
        <w:t xml:space="preserve">el </w:t>
      </w:r>
      <w:r w:rsidR="00A8586C" w:rsidRPr="00DB5275">
        <w:rPr>
          <w:rFonts w:ascii="Arial" w:hAnsi="Arial" w:cs="Arial"/>
          <w:sz w:val="20"/>
          <w:szCs w:val="20"/>
          <w:highlight w:val="yellow"/>
        </w:rPr>
        <w:t xml:space="preserve">día </w:t>
      </w:r>
      <w:r w:rsidR="00A42C7C">
        <w:rPr>
          <w:rFonts w:ascii="Arial" w:hAnsi="Arial" w:cs="Arial"/>
          <w:b/>
          <w:sz w:val="20"/>
          <w:szCs w:val="20"/>
          <w:highlight w:val="yellow"/>
        </w:rPr>
        <w:fldChar w:fldCharType="begin"/>
      </w:r>
      <w:r w:rsidR="00A42C7C">
        <w:rPr>
          <w:rFonts w:ascii="Arial" w:hAnsi="Arial" w:cs="Arial"/>
          <w:b/>
          <w:sz w:val="20"/>
          <w:szCs w:val="20"/>
          <w:highlight w:val="yellow"/>
        </w:rPr>
        <w:instrText>persovalores_personalizable1296</w:instrText>
      </w:r>
      <w:r w:rsidR="00A42C7C">
        <w:rPr>
          <w:rFonts w:ascii="Arial" w:hAnsi="Arial" w:cs="Arial"/>
          <w:b/>
          <w:sz w:val="20"/>
          <w:szCs w:val="20"/>
          <w:highlight w:val="yellow"/>
        </w:rPr>
        <w:fldChar w:fldCharType="separate"/>
      </w:r>
      <w:r w:rsidR="00A42C7C">
        <w:rPr>
          <w:rFonts w:ascii="Arial" w:hAnsi="Arial" w:cs="Arial"/>
          <w:b/>
          <w:noProof/>
          <w:sz w:val="20"/>
          <w:szCs w:val="20"/>
          <w:highlight w:val="yellow"/>
        </w:rPr>
        <w:t>«BANKINTER_CLAUSULAS_FECHA_DE_ESCRITURA»</w:t>
      </w:r>
      <w:r w:rsidR="00A42C7C">
        <w:rPr>
          <w:rFonts w:ascii="Arial" w:hAnsi="Arial" w:cs="Arial"/>
          <w:b/>
          <w:sz w:val="20"/>
          <w:szCs w:val="20"/>
          <w:highlight w:val="yellow"/>
        </w:rPr>
        <w:fldChar w:fldCharType="end"/>
      </w:r>
      <w:r w:rsidR="00B94CC8" w:rsidRPr="00554476">
        <w:rPr>
          <w:rFonts w:ascii="Arial" w:hAnsi="Arial" w:cs="Arial"/>
          <w:sz w:val="20"/>
          <w:szCs w:val="20"/>
        </w:rPr>
        <w:t xml:space="preserve"> </w:t>
      </w:r>
      <w:r w:rsidRPr="00554476">
        <w:rPr>
          <w:rFonts w:ascii="Arial" w:hAnsi="Arial" w:cs="Arial"/>
          <w:sz w:val="20"/>
          <w:szCs w:val="20"/>
        </w:rPr>
        <w:t>con el otorgamiento de la escritura pública de préstamo con garantía hipotecaria, incluyéndose la cláusula de gastos en la que, como puede advertirse, no atribuye de forma indiscriminada todos los gastos al prestatario, sino que especifica e identifican sin género de dudas cada uno de los gastos derivados del otorgamiento de la escritura serán a cuenta y cargo del deudor hipotecario:</w:t>
      </w:r>
    </w:p>
    <w:p w14:paraId="01B69404" w14:textId="77777777" w:rsidR="00F646AF" w:rsidRPr="00554476" w:rsidRDefault="00F646AF" w:rsidP="00554476">
      <w:pPr>
        <w:spacing w:after="0" w:line="360" w:lineRule="auto"/>
        <w:jc w:val="both"/>
        <w:rPr>
          <w:rFonts w:ascii="Arial" w:hAnsi="Arial" w:cs="Arial"/>
          <w:sz w:val="20"/>
          <w:szCs w:val="20"/>
        </w:rPr>
      </w:pPr>
    </w:p>
    <w:p w14:paraId="545910DB" w14:textId="77777777" w:rsidR="00881B80" w:rsidRPr="00554476" w:rsidRDefault="00881B80" w:rsidP="00554476">
      <w:pPr>
        <w:spacing w:after="0" w:line="360" w:lineRule="auto"/>
        <w:jc w:val="both"/>
        <w:rPr>
          <w:rFonts w:ascii="Arial" w:hAnsi="Arial" w:cs="Arial"/>
          <w:sz w:val="20"/>
          <w:szCs w:val="20"/>
        </w:rPr>
      </w:pPr>
      <w:r w:rsidRPr="00554476">
        <w:rPr>
          <w:rFonts w:ascii="Arial" w:hAnsi="Arial" w:cs="Arial"/>
          <w:sz w:val="20"/>
          <w:szCs w:val="20"/>
        </w:rPr>
        <w:t xml:space="preserve">En la </w:t>
      </w:r>
      <w:r w:rsidR="00A96C75" w:rsidRPr="00554476">
        <w:rPr>
          <w:rFonts w:ascii="Arial" w:hAnsi="Arial" w:cs="Arial"/>
          <w:sz w:val="20"/>
          <w:szCs w:val="20"/>
        </w:rPr>
        <w:t>escritura de préstamo hipotecario</w:t>
      </w:r>
      <w:r w:rsidRPr="00554476">
        <w:rPr>
          <w:rFonts w:ascii="Arial" w:hAnsi="Arial" w:cs="Arial"/>
          <w:sz w:val="20"/>
          <w:szCs w:val="20"/>
        </w:rPr>
        <w:t>, se incluye la cláusula de gastos en la que se establece:</w:t>
      </w:r>
    </w:p>
    <w:p w14:paraId="77E877C2" w14:textId="77777777" w:rsidR="00881B80" w:rsidRPr="00554476" w:rsidRDefault="00881B80" w:rsidP="00554476">
      <w:pPr>
        <w:spacing w:after="0" w:line="360" w:lineRule="auto"/>
        <w:jc w:val="both"/>
        <w:rPr>
          <w:rFonts w:ascii="Arial" w:hAnsi="Arial" w:cs="Arial"/>
          <w:sz w:val="20"/>
          <w:szCs w:val="20"/>
        </w:rPr>
      </w:pPr>
    </w:p>
    <w:p w14:paraId="2C474909"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lastRenderedPageBreak/>
        <w:t xml:space="preserve">“Todos los derivados del otorgamiento de esta escritura y los que se produzcan, en su caso, por cancelación, modificación y ejecución de la hipoteca, así como los gastos extrajudiciales y costas judiciales que se ocasionen a BANKINTER”. </w:t>
      </w:r>
    </w:p>
    <w:p w14:paraId="45C9A5FA"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Es decir correrán por cuenta y cargo del prestatario los gastos derivados de los siguientes conceptos: </w:t>
      </w:r>
    </w:p>
    <w:p w14:paraId="63F13B24"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a) Tasación del inmueble y de comprobación registral de la/s finca/s. </w:t>
      </w:r>
    </w:p>
    <w:p w14:paraId="3876AD52"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b) Aranceles notariales y registrales relativos a la constitución, modificación o cancelación de la hipoteca, comprendidos los de la primera copia de la presente escritura para BANKINTER. </w:t>
      </w:r>
    </w:p>
    <w:p w14:paraId="3BE3E314"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c) Impuestos. </w:t>
      </w:r>
    </w:p>
    <w:p w14:paraId="308B4A43"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d) Gastos de tramitación de esta escritura ante el registro de la Propiedad y la oficina liquidadora de los impuestos. </w:t>
      </w:r>
    </w:p>
    <w:p w14:paraId="6AACB791"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e) Gastos de conservación y seguro de daños del inmueble hipotecado. </w:t>
      </w:r>
    </w:p>
    <w:p w14:paraId="7F0B1D99"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f) Los derivados del seguro de amortización del préstamo o, en caso de suscribirlo, de la vida del prestatario. </w:t>
      </w:r>
    </w:p>
    <w:p w14:paraId="687B744F" w14:textId="77777777" w:rsidR="0003044A" w:rsidRPr="00747865" w:rsidRDefault="0003044A" w:rsidP="00554476">
      <w:pPr>
        <w:spacing w:after="0" w:line="360" w:lineRule="auto"/>
        <w:ind w:left="567" w:right="-1"/>
        <w:jc w:val="both"/>
        <w:rPr>
          <w:rFonts w:ascii="Arial" w:hAnsi="Arial" w:cs="Arial"/>
          <w:sz w:val="20"/>
          <w:szCs w:val="20"/>
          <w:highlight w:val="yellow"/>
        </w:rPr>
      </w:pPr>
      <w:r w:rsidRPr="00747865">
        <w:rPr>
          <w:rFonts w:ascii="Arial" w:hAnsi="Arial" w:cs="Arial"/>
          <w:i/>
          <w:iCs/>
          <w:sz w:val="20"/>
          <w:szCs w:val="20"/>
          <w:highlight w:val="yellow"/>
        </w:rPr>
        <w:t xml:space="preserve">g) Gastos extrajudiciales y costas judiciales ocasionados a BANKINTER como consecuencia del incumplimiento de la obligación de pago por parte del prestatario. </w:t>
      </w:r>
    </w:p>
    <w:p w14:paraId="6329F31B" w14:textId="77777777" w:rsidR="0003044A" w:rsidRPr="00554476" w:rsidRDefault="0003044A" w:rsidP="00554476">
      <w:pPr>
        <w:spacing w:after="0" w:line="360" w:lineRule="auto"/>
        <w:ind w:left="567" w:right="-1"/>
        <w:jc w:val="both"/>
        <w:rPr>
          <w:rFonts w:ascii="Arial" w:hAnsi="Arial" w:cs="Arial"/>
          <w:sz w:val="20"/>
          <w:szCs w:val="20"/>
        </w:rPr>
      </w:pPr>
      <w:r w:rsidRPr="00747865">
        <w:rPr>
          <w:rFonts w:ascii="Arial" w:hAnsi="Arial" w:cs="Arial"/>
          <w:i/>
          <w:iCs/>
          <w:sz w:val="20"/>
          <w:szCs w:val="20"/>
          <w:highlight w:val="yellow"/>
        </w:rPr>
        <w:t>h) Cualquier gasto correspondiente a la efectiva prestación de un servicio, relacionado con esta operación, que no sea inherente a la actividad del Grupo BANKINTER, dirigida a la concesión y administración del préstamo.”</w:t>
      </w:r>
      <w:r w:rsidRPr="00554476">
        <w:rPr>
          <w:rFonts w:ascii="Arial" w:hAnsi="Arial" w:cs="Arial"/>
          <w:i/>
          <w:iCs/>
          <w:sz w:val="20"/>
          <w:szCs w:val="20"/>
        </w:rPr>
        <w:t xml:space="preserve"> </w:t>
      </w:r>
    </w:p>
    <w:p w14:paraId="5B604F0A" w14:textId="77777777" w:rsidR="0003044A" w:rsidRPr="00554476" w:rsidRDefault="0003044A" w:rsidP="00554476">
      <w:pPr>
        <w:spacing w:after="0" w:line="360" w:lineRule="auto"/>
        <w:jc w:val="both"/>
        <w:rPr>
          <w:rFonts w:ascii="Arial" w:hAnsi="Arial" w:cs="Arial"/>
          <w:sz w:val="20"/>
          <w:szCs w:val="20"/>
        </w:rPr>
      </w:pPr>
    </w:p>
    <w:p w14:paraId="18C5129E" w14:textId="0FEC5C20" w:rsidR="007006C1" w:rsidRPr="00554476" w:rsidRDefault="00881B80" w:rsidP="00554476">
      <w:pPr>
        <w:spacing w:after="0" w:line="360" w:lineRule="auto"/>
        <w:jc w:val="both"/>
        <w:rPr>
          <w:rFonts w:ascii="Arial" w:hAnsi="Arial" w:cs="Arial"/>
          <w:sz w:val="20"/>
          <w:szCs w:val="20"/>
        </w:rPr>
      </w:pPr>
      <w:r w:rsidRPr="00554476">
        <w:rPr>
          <w:rFonts w:ascii="Arial" w:hAnsi="Arial" w:cs="Arial"/>
          <w:sz w:val="20"/>
          <w:szCs w:val="20"/>
        </w:rPr>
        <w:t xml:space="preserve">Como puede observarse, </w:t>
      </w:r>
      <w:r w:rsidR="00A23AFC" w:rsidRPr="00554476">
        <w:rPr>
          <w:rFonts w:ascii="Arial" w:hAnsi="Arial" w:cs="Arial"/>
          <w:sz w:val="20"/>
          <w:szCs w:val="20"/>
        </w:rPr>
        <w:t xml:space="preserve">la cláusula </w:t>
      </w:r>
      <w:r w:rsidR="00F646AF" w:rsidRPr="00554476">
        <w:rPr>
          <w:rFonts w:ascii="Arial" w:hAnsi="Arial" w:cs="Arial"/>
          <w:sz w:val="20"/>
          <w:szCs w:val="20"/>
        </w:rPr>
        <w:t xml:space="preserve">enumera </w:t>
      </w:r>
      <w:r w:rsidR="00A23AFC" w:rsidRPr="00554476">
        <w:rPr>
          <w:rFonts w:ascii="Arial" w:hAnsi="Arial" w:cs="Arial"/>
          <w:sz w:val="20"/>
          <w:szCs w:val="20"/>
        </w:rPr>
        <w:t>los distint</w:t>
      </w:r>
      <w:r w:rsidR="003B6292" w:rsidRPr="00554476">
        <w:rPr>
          <w:rFonts w:ascii="Arial" w:hAnsi="Arial" w:cs="Arial"/>
          <w:sz w:val="20"/>
          <w:szCs w:val="20"/>
        </w:rPr>
        <w:t xml:space="preserve">os conceptos de forma detallada, </w:t>
      </w:r>
      <w:r w:rsidR="006064A2">
        <w:rPr>
          <w:rFonts w:ascii="Arial" w:hAnsi="Arial" w:cs="Arial"/>
          <w:sz w:val="20"/>
          <w:szCs w:val="20"/>
        </w:rPr>
        <w:t>conociendo perfectamente el demandante</w:t>
      </w:r>
      <w:r w:rsidR="003B6292" w:rsidRPr="00554476">
        <w:rPr>
          <w:rFonts w:ascii="Arial" w:hAnsi="Arial" w:cs="Arial"/>
          <w:sz w:val="20"/>
          <w:szCs w:val="20"/>
        </w:rPr>
        <w:t xml:space="preserve"> cuáles eran esos gastos</w:t>
      </w:r>
      <w:r w:rsidR="006064A2">
        <w:rPr>
          <w:rFonts w:ascii="Arial" w:hAnsi="Arial" w:cs="Arial"/>
          <w:sz w:val="20"/>
          <w:szCs w:val="20"/>
        </w:rPr>
        <w:t xml:space="preserve">. Igualmente, en caso de haber tenido alguna duda sobre los mismos podría haber manifestado alguna queja o </w:t>
      </w:r>
      <w:r w:rsidR="003B6292" w:rsidRPr="00554476">
        <w:rPr>
          <w:rFonts w:ascii="Arial" w:hAnsi="Arial" w:cs="Arial"/>
          <w:sz w:val="20"/>
          <w:szCs w:val="20"/>
        </w:rPr>
        <w:t xml:space="preserve">solicitado </w:t>
      </w:r>
      <w:r w:rsidR="006064A2">
        <w:rPr>
          <w:rFonts w:ascii="Arial" w:hAnsi="Arial" w:cs="Arial"/>
          <w:sz w:val="20"/>
          <w:szCs w:val="20"/>
        </w:rPr>
        <w:t>cualquier</w:t>
      </w:r>
      <w:r w:rsidR="003B6292" w:rsidRPr="00554476">
        <w:rPr>
          <w:rFonts w:ascii="Arial" w:hAnsi="Arial" w:cs="Arial"/>
          <w:sz w:val="20"/>
          <w:szCs w:val="20"/>
        </w:rPr>
        <w:t xml:space="preserve"> clarificación</w:t>
      </w:r>
      <w:r w:rsidR="00F646AF" w:rsidRPr="00554476">
        <w:rPr>
          <w:rFonts w:ascii="Arial" w:hAnsi="Arial" w:cs="Arial"/>
          <w:sz w:val="20"/>
          <w:szCs w:val="20"/>
        </w:rPr>
        <w:t>.</w:t>
      </w:r>
      <w:r w:rsidR="003B6292" w:rsidRPr="00554476">
        <w:rPr>
          <w:rFonts w:ascii="Arial" w:hAnsi="Arial" w:cs="Arial"/>
          <w:sz w:val="20"/>
          <w:szCs w:val="20"/>
        </w:rPr>
        <w:t xml:space="preserve"> </w:t>
      </w:r>
      <w:r w:rsidR="007006C1" w:rsidRPr="00554476">
        <w:rPr>
          <w:rFonts w:ascii="Arial" w:hAnsi="Arial" w:cs="Arial"/>
          <w:sz w:val="20"/>
          <w:szCs w:val="20"/>
        </w:rPr>
        <w:t>Por el contrario, tras la lectura de la escritura y las pertinentes advertencias realizadas por el notario</w:t>
      </w:r>
      <w:r w:rsidR="00486752" w:rsidRPr="00554476">
        <w:rPr>
          <w:rFonts w:ascii="Arial" w:hAnsi="Arial" w:cs="Arial"/>
          <w:sz w:val="20"/>
          <w:szCs w:val="20"/>
        </w:rPr>
        <w:t>,</w:t>
      </w:r>
      <w:r w:rsidR="007006C1" w:rsidRPr="00554476">
        <w:rPr>
          <w:rFonts w:ascii="Arial" w:hAnsi="Arial" w:cs="Arial"/>
          <w:sz w:val="20"/>
          <w:szCs w:val="20"/>
        </w:rPr>
        <w:t xml:space="preserve"> el </w:t>
      </w:r>
      <w:r w:rsidR="005E2966" w:rsidRPr="00554476">
        <w:rPr>
          <w:rFonts w:ascii="Arial" w:hAnsi="Arial" w:cs="Arial"/>
          <w:sz w:val="20"/>
          <w:szCs w:val="20"/>
        </w:rPr>
        <w:t xml:space="preserve">hoy </w:t>
      </w:r>
      <w:r w:rsidR="007006C1" w:rsidRPr="00554476">
        <w:rPr>
          <w:rFonts w:ascii="Arial" w:hAnsi="Arial" w:cs="Arial"/>
          <w:sz w:val="20"/>
          <w:szCs w:val="20"/>
        </w:rPr>
        <w:t xml:space="preserve">demandante firmó la escritura. </w:t>
      </w:r>
    </w:p>
    <w:p w14:paraId="5B680506" w14:textId="77777777" w:rsidR="00DF7285" w:rsidRPr="00554476" w:rsidRDefault="00DF7285" w:rsidP="00554476">
      <w:pPr>
        <w:spacing w:after="0" w:line="360" w:lineRule="auto"/>
        <w:jc w:val="both"/>
        <w:rPr>
          <w:rFonts w:ascii="Arial" w:hAnsi="Arial" w:cs="Arial"/>
          <w:sz w:val="20"/>
          <w:szCs w:val="20"/>
        </w:rPr>
      </w:pPr>
    </w:p>
    <w:p w14:paraId="409597EA" w14:textId="77777777" w:rsidR="00DF7285" w:rsidRPr="00554476" w:rsidRDefault="00DF7285" w:rsidP="00554476">
      <w:pPr>
        <w:spacing w:after="0" w:line="360" w:lineRule="auto"/>
        <w:jc w:val="both"/>
        <w:rPr>
          <w:rFonts w:ascii="Arial" w:hAnsi="Arial" w:cs="Arial"/>
          <w:sz w:val="20"/>
          <w:szCs w:val="20"/>
        </w:rPr>
      </w:pPr>
      <w:r w:rsidRPr="00554476">
        <w:rPr>
          <w:rFonts w:ascii="Arial" w:hAnsi="Arial" w:cs="Arial"/>
          <w:sz w:val="20"/>
          <w:szCs w:val="20"/>
        </w:rPr>
        <w:t xml:space="preserve">Tampoco con posterioridad a la firma de este documento, el actor advirtió a mi mandante acerca de la existencia de algún error o divergencia de alguna de las cláusulas suscritas.  </w:t>
      </w:r>
    </w:p>
    <w:p w14:paraId="45F1B297" w14:textId="77777777" w:rsidR="00DF7285" w:rsidRPr="00554476" w:rsidRDefault="00DF7285" w:rsidP="00554476">
      <w:pPr>
        <w:spacing w:after="0" w:line="360" w:lineRule="auto"/>
        <w:ind w:firstLine="708"/>
        <w:jc w:val="both"/>
        <w:rPr>
          <w:rFonts w:ascii="Arial" w:hAnsi="Arial" w:cs="Arial"/>
          <w:sz w:val="20"/>
          <w:szCs w:val="20"/>
        </w:rPr>
      </w:pPr>
    </w:p>
    <w:p w14:paraId="645D28BD" w14:textId="77777777" w:rsidR="00DF7285" w:rsidRPr="00554476" w:rsidRDefault="00DF7285" w:rsidP="00554476">
      <w:pPr>
        <w:spacing w:after="0" w:line="360" w:lineRule="auto"/>
        <w:jc w:val="both"/>
        <w:rPr>
          <w:rFonts w:ascii="Arial" w:hAnsi="Arial" w:cs="Arial"/>
          <w:sz w:val="20"/>
          <w:szCs w:val="20"/>
        </w:rPr>
      </w:pPr>
      <w:r w:rsidRPr="00554476">
        <w:rPr>
          <w:rFonts w:ascii="Arial" w:hAnsi="Arial" w:cs="Arial"/>
          <w:sz w:val="20"/>
          <w:szCs w:val="20"/>
        </w:rPr>
        <w:t>Es más, el actor procedió al abono de las facturas de notaría, Registro, gestoría, tasación e IAJD por lo que la parte actora aceptó dichos pagos como propios, no oponiendo en ningún momento posterior, objeción alguna a los mismos.</w:t>
      </w:r>
    </w:p>
    <w:p w14:paraId="64F0CB5A" w14:textId="77777777" w:rsidR="00DF7285" w:rsidRPr="00554476" w:rsidRDefault="00DF7285" w:rsidP="00554476">
      <w:pPr>
        <w:spacing w:after="0" w:line="360" w:lineRule="auto"/>
        <w:jc w:val="both"/>
        <w:rPr>
          <w:rFonts w:ascii="Arial" w:hAnsi="Arial" w:cs="Arial"/>
          <w:sz w:val="20"/>
          <w:szCs w:val="20"/>
        </w:rPr>
      </w:pPr>
    </w:p>
    <w:p w14:paraId="04B61CBB" w14:textId="653ED19F" w:rsidR="00DF7285" w:rsidRPr="00554476" w:rsidRDefault="00DF7285" w:rsidP="00554476">
      <w:pPr>
        <w:spacing w:after="0" w:line="360" w:lineRule="auto"/>
        <w:jc w:val="both"/>
        <w:rPr>
          <w:rFonts w:ascii="Arial" w:hAnsi="Arial" w:cs="Arial"/>
          <w:sz w:val="20"/>
          <w:szCs w:val="20"/>
        </w:rPr>
      </w:pPr>
      <w:r w:rsidRPr="00554476">
        <w:rPr>
          <w:rFonts w:ascii="Arial" w:hAnsi="Arial" w:cs="Arial"/>
          <w:sz w:val="20"/>
          <w:szCs w:val="20"/>
        </w:rPr>
        <w:t xml:space="preserve">Resulta, cuanto menos extraño, que no ha sido hasta </w:t>
      </w:r>
      <w:r w:rsidR="00A42C7C">
        <w:rPr>
          <w:rFonts w:ascii="Arial" w:hAnsi="Arial" w:cs="Arial"/>
          <w:sz w:val="20"/>
          <w:szCs w:val="20"/>
        </w:rPr>
        <w:fldChar w:fldCharType="begin"/>
      </w:r>
      <w:r w:rsidR="00A42C7C">
        <w:rPr>
          <w:rFonts w:ascii="Arial" w:hAnsi="Arial" w:cs="Arial"/>
          <w:sz w:val="20"/>
          <w:szCs w:val="20"/>
        </w:rPr>
        <w:instrText>persovalores_personalizable1297</w:instrText>
      </w:r>
      <w:r w:rsidR="00A42C7C">
        <w:rPr>
          <w:rFonts w:ascii="Arial" w:hAnsi="Arial" w:cs="Arial"/>
          <w:sz w:val="20"/>
          <w:szCs w:val="20"/>
        </w:rPr>
        <w:fldChar w:fldCharType="separate"/>
      </w:r>
      <w:r w:rsidR="00A42C7C">
        <w:rPr>
          <w:rFonts w:ascii="Arial" w:hAnsi="Arial" w:cs="Arial"/>
          <w:noProof/>
          <w:sz w:val="20"/>
          <w:szCs w:val="20"/>
        </w:rPr>
        <w:t>«BANKINTER_CLAUSULAS_AÑOS_TRANSCURRIDOS»</w:t>
      </w:r>
      <w:r w:rsidR="00A42C7C">
        <w:rPr>
          <w:rFonts w:ascii="Arial" w:hAnsi="Arial" w:cs="Arial"/>
          <w:sz w:val="20"/>
          <w:szCs w:val="20"/>
        </w:rPr>
        <w:fldChar w:fldCharType="end"/>
      </w:r>
      <w:r w:rsidRPr="00554476">
        <w:rPr>
          <w:rFonts w:ascii="Arial" w:hAnsi="Arial" w:cs="Arial"/>
          <w:sz w:val="20"/>
          <w:szCs w:val="20"/>
        </w:rPr>
        <w:t xml:space="preserve"> años después de la firma de la escritura hipotecaria, cuando la parte prestataria ha decidido interponer esta demanda, hecho éste sobre el que abundaremos posteriormente. </w:t>
      </w:r>
    </w:p>
    <w:p w14:paraId="5978EE06" w14:textId="77777777" w:rsidR="00DF7285" w:rsidRPr="00554476" w:rsidRDefault="00DF7285" w:rsidP="00554476">
      <w:pPr>
        <w:spacing w:after="0" w:line="360" w:lineRule="auto"/>
        <w:jc w:val="both"/>
        <w:rPr>
          <w:rFonts w:ascii="Arial" w:hAnsi="Arial" w:cs="Arial"/>
          <w:sz w:val="20"/>
          <w:szCs w:val="20"/>
        </w:rPr>
      </w:pPr>
    </w:p>
    <w:p w14:paraId="0F504FF2" w14:textId="67E9C9B1" w:rsidR="00B351E8" w:rsidRPr="00554476" w:rsidRDefault="00192338" w:rsidP="00554476">
      <w:pPr>
        <w:autoSpaceDE w:val="0"/>
        <w:autoSpaceDN w:val="0"/>
        <w:spacing w:after="0" w:line="360" w:lineRule="auto"/>
        <w:jc w:val="both"/>
        <w:rPr>
          <w:rFonts w:ascii="Arial" w:hAnsi="Arial" w:cs="Arial"/>
          <w:sz w:val="20"/>
          <w:szCs w:val="20"/>
        </w:rPr>
      </w:pPr>
      <w:r w:rsidRPr="00554476">
        <w:rPr>
          <w:rFonts w:ascii="Arial" w:hAnsi="Arial" w:cs="Arial"/>
          <w:sz w:val="20"/>
          <w:szCs w:val="20"/>
        </w:rPr>
        <w:lastRenderedPageBreak/>
        <w:t>Tampoco, por todo lo afirmado con anterioridad procede declarar como abusiva la cláusula en lo que se refiere al resto de los gastos mencionados de forma di</w:t>
      </w:r>
      <w:r w:rsidR="00A25EBA" w:rsidRPr="00554476">
        <w:rPr>
          <w:rFonts w:ascii="Arial" w:hAnsi="Arial" w:cs="Arial"/>
          <w:sz w:val="20"/>
          <w:szCs w:val="20"/>
        </w:rPr>
        <w:t>ferenciada y detallada en</w:t>
      </w:r>
      <w:r w:rsidR="00587BE1" w:rsidRPr="00554476">
        <w:rPr>
          <w:rFonts w:ascii="Arial" w:hAnsi="Arial" w:cs="Arial"/>
          <w:sz w:val="20"/>
          <w:szCs w:val="20"/>
        </w:rPr>
        <w:t xml:space="preserve"> ella</w:t>
      </w:r>
      <w:r w:rsidR="008D72F9" w:rsidRPr="00554476">
        <w:rPr>
          <w:rFonts w:ascii="Arial" w:hAnsi="Arial" w:cs="Arial"/>
          <w:sz w:val="20"/>
          <w:szCs w:val="20"/>
        </w:rPr>
        <w:t>.</w:t>
      </w:r>
    </w:p>
    <w:p w14:paraId="0EEB812B" w14:textId="77777777" w:rsidR="0001031F" w:rsidRPr="00554476" w:rsidRDefault="0001031F" w:rsidP="00554476">
      <w:pPr>
        <w:autoSpaceDE w:val="0"/>
        <w:autoSpaceDN w:val="0"/>
        <w:spacing w:after="0" w:line="360" w:lineRule="auto"/>
        <w:jc w:val="both"/>
        <w:rPr>
          <w:rFonts w:ascii="Arial" w:hAnsi="Arial" w:cs="Arial"/>
          <w:sz w:val="20"/>
          <w:szCs w:val="20"/>
        </w:rPr>
      </w:pPr>
    </w:p>
    <w:p w14:paraId="1717C2BF" w14:textId="77777777" w:rsidR="0003044A" w:rsidRPr="00554476" w:rsidRDefault="0003044A" w:rsidP="00554476">
      <w:pPr>
        <w:autoSpaceDE w:val="0"/>
        <w:autoSpaceDN w:val="0"/>
        <w:spacing w:after="0" w:line="360" w:lineRule="auto"/>
        <w:jc w:val="both"/>
        <w:rPr>
          <w:rFonts w:ascii="Arial" w:hAnsi="Arial" w:cs="Arial"/>
          <w:sz w:val="20"/>
          <w:szCs w:val="20"/>
        </w:rPr>
      </w:pPr>
    </w:p>
    <w:p w14:paraId="07DFE79C" w14:textId="77777777" w:rsidR="00A42C7C" w:rsidRDefault="00A2529B" w:rsidP="00554476">
      <w:pPr>
        <w:pStyle w:val="Ttulo2"/>
        <w:spacing w:before="0" w:line="360" w:lineRule="auto"/>
        <w:jc w:val="both"/>
        <w:rPr>
          <w:rFonts w:ascii="Arial" w:eastAsia="Bankinter" w:hAnsi="Arial" w:cs="Arial"/>
          <w:b/>
          <w:color w:val="auto"/>
          <w:sz w:val="20"/>
          <w:szCs w:val="20"/>
          <w:u w:val="single"/>
        </w:rPr>
      </w:pPr>
      <w:bookmarkStart w:id="5" w:name="_Toc54185189"/>
      <w:r w:rsidRPr="00554476">
        <w:rPr>
          <w:rFonts w:ascii="Arial" w:eastAsia="Bankinter" w:hAnsi="Arial" w:cs="Arial"/>
          <w:b/>
          <w:color w:val="auto"/>
          <w:sz w:val="20"/>
          <w:szCs w:val="20"/>
          <w:u w:val="single"/>
        </w:rPr>
        <w:t xml:space="preserve">TERCERO. – Validez, legalidad y no </w:t>
      </w:r>
      <w:proofErr w:type="spellStart"/>
      <w:r w:rsidRPr="00554476">
        <w:rPr>
          <w:rFonts w:ascii="Arial" w:eastAsia="Bankinter" w:hAnsi="Arial" w:cs="Arial"/>
          <w:b/>
          <w:color w:val="auto"/>
          <w:sz w:val="20"/>
          <w:szCs w:val="20"/>
          <w:u w:val="single"/>
        </w:rPr>
        <w:t>abusividad</w:t>
      </w:r>
      <w:proofErr w:type="spellEnd"/>
      <w:r w:rsidRPr="00554476">
        <w:rPr>
          <w:rFonts w:ascii="Arial" w:eastAsia="Bankinter" w:hAnsi="Arial" w:cs="Arial"/>
          <w:b/>
          <w:color w:val="auto"/>
          <w:sz w:val="20"/>
          <w:szCs w:val="20"/>
          <w:u w:val="single"/>
        </w:rPr>
        <w:t xml:space="preserve"> de la cláusula que establece una </w:t>
      </w:r>
      <w:r w:rsidRPr="00AC41E8">
        <w:rPr>
          <w:rFonts w:ascii="Arial" w:eastAsia="Bankinter" w:hAnsi="Arial" w:cs="Arial"/>
          <w:b/>
          <w:color w:val="auto"/>
          <w:sz w:val="20"/>
          <w:szCs w:val="20"/>
          <w:highlight w:val="cyan"/>
          <w:u w:val="single"/>
        </w:rPr>
        <w:t>comisión de apertura</w:t>
      </w:r>
      <w:r w:rsidRPr="00554476">
        <w:rPr>
          <w:rFonts w:ascii="Arial" w:eastAsia="Bankinter" w:hAnsi="Arial" w:cs="Arial"/>
          <w:b/>
          <w:color w:val="auto"/>
          <w:sz w:val="20"/>
          <w:szCs w:val="20"/>
          <w:u w:val="single"/>
        </w:rPr>
        <w:t>.</w:t>
      </w:r>
      <w:bookmarkEnd w:id="5"/>
    </w:p>
    <w:p w14:paraId="2A1248BC" w14:textId="77777777" w:rsidR="00A42C7C" w:rsidRDefault="00A42C7C" w:rsidP="00554476">
      <w:pPr>
        <w:pStyle w:val="Ttulo2"/>
        <w:spacing w:before="0" w:line="360" w:lineRule="auto"/>
        <w:jc w:val="both"/>
        <w:rPr>
          <w:rFonts w:ascii="Arial" w:eastAsia="Bankinter" w:hAnsi="Arial" w:cs="Arial"/>
          <w:b/>
          <w:color w:val="auto"/>
          <w:sz w:val="20"/>
          <w:szCs w:val="20"/>
          <w:u w:val="single"/>
        </w:rPr>
      </w:pPr>
    </w:p>
    <w:p w14:paraId="7D355D1D" w14:textId="33C51062" w:rsidR="00A2529B" w:rsidRPr="00554476" w:rsidRDefault="00A42C7C" w:rsidP="00554476">
      <w:pPr>
        <w:pStyle w:val="Ttulo2"/>
        <w:spacing w:before="0" w:line="360" w:lineRule="auto"/>
        <w:jc w:val="both"/>
        <w:rPr>
          <w:rFonts w:ascii="Arial" w:eastAsia="Bankinter" w:hAnsi="Arial" w:cs="Arial"/>
          <w:b/>
          <w:color w:val="auto"/>
          <w:sz w:val="20"/>
          <w:szCs w:val="20"/>
          <w:u w:val="single"/>
        </w:rPr>
      </w:pPr>
      <w:r>
        <w:rPr>
          <w:rFonts w:ascii="Arial" w:eastAsia="Bankinter" w:hAnsi="Arial" w:cs="Arial"/>
          <w:b/>
          <w:color w:val="auto"/>
          <w:sz w:val="20"/>
          <w:szCs w:val="20"/>
          <w:u w:val="single"/>
        </w:rPr>
        <w:t xml:space="preserve"> </w:t>
      </w:r>
      <w:r w:rsidRPr="00A42C7C">
        <w:rPr>
          <w:rFonts w:ascii="Arial" w:eastAsia="Bankinter" w:hAnsi="Arial" w:cs="Arial"/>
          <w:b/>
          <w:color w:val="auto"/>
          <w:sz w:val="20"/>
          <w:szCs w:val="20"/>
          <w:highlight w:val="green"/>
          <w:u w:val="single"/>
        </w:rPr>
        <w:t>[A LA COMISIÓN DE APERTURA SIEMPRE NOS OPONEMOS, NUNCA NOS ALLANAMOS]</w:t>
      </w:r>
    </w:p>
    <w:p w14:paraId="26E3A691" w14:textId="77777777" w:rsidR="00B62948" w:rsidRPr="00554476" w:rsidRDefault="00B62948"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I</w:t>
      </w:r>
    </w:p>
    <w:p w14:paraId="0679D5EE" w14:textId="77777777" w:rsidR="00B62948" w:rsidRPr="00554476" w:rsidRDefault="00B62948" w:rsidP="00554476">
      <w:pPr>
        <w:spacing w:after="0" w:line="360" w:lineRule="auto"/>
        <w:jc w:val="center"/>
        <w:rPr>
          <w:rFonts w:ascii="Arial" w:eastAsia="Calibri" w:hAnsi="Arial" w:cs="Arial"/>
          <w:b/>
          <w:sz w:val="20"/>
          <w:szCs w:val="20"/>
        </w:rPr>
      </w:pPr>
    </w:p>
    <w:p w14:paraId="0B10C95B" w14:textId="338B7323"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En cuanto a la estipulación contenida en el contrato de préstamo hipotecario que trae causa, que vincula a las partes aquí enfrentadas, por la que se establece una comisión de apertura, señalar que, sin perjui</w:t>
      </w:r>
      <w:r w:rsidR="006064A2">
        <w:rPr>
          <w:rFonts w:ascii="Arial" w:eastAsia="Calibri" w:hAnsi="Arial" w:cs="Arial"/>
          <w:sz w:val="20"/>
          <w:szCs w:val="20"/>
        </w:rPr>
        <w:t>cio de lo que se aduce en esta c</w:t>
      </w:r>
      <w:r w:rsidRPr="00554476">
        <w:rPr>
          <w:rFonts w:ascii="Arial" w:eastAsia="Calibri" w:hAnsi="Arial" w:cs="Arial"/>
          <w:sz w:val="20"/>
          <w:szCs w:val="20"/>
        </w:rPr>
        <w:t>ontestación respecto a la información previa que sobre el particular recibió la parte demandante en el proceso precontractual de formación de la voluntad de contratar, así como que la fijación de la misma encuentra el cobijo de la libertad de pactos ex</w:t>
      </w:r>
      <w:r w:rsidR="007C33B7">
        <w:rPr>
          <w:rFonts w:ascii="Arial" w:eastAsia="Calibri" w:hAnsi="Arial" w:cs="Arial"/>
          <w:sz w:val="20"/>
          <w:szCs w:val="20"/>
        </w:rPr>
        <w:t xml:space="preserve"> artículo 1255 del Código Civil,</w:t>
      </w:r>
      <w:r w:rsidRPr="00554476">
        <w:rPr>
          <w:rFonts w:ascii="Arial" w:eastAsia="Calibri" w:hAnsi="Arial" w:cs="Arial"/>
          <w:sz w:val="20"/>
          <w:szCs w:val="20"/>
        </w:rPr>
        <w:t xml:space="preserve"> añadir, en este punto, que el contenido de la estipulación en cuestión resulta válido y ajustado a Derecho y en modo alguno abusivo al cumplir todos los requisitos exigidos por la normativa sectorial aplicable.</w:t>
      </w:r>
    </w:p>
    <w:p w14:paraId="1E095CE3" w14:textId="77777777" w:rsidR="00B62948" w:rsidRPr="00554476" w:rsidRDefault="00B62948" w:rsidP="00554476">
      <w:pPr>
        <w:spacing w:after="0" w:line="360" w:lineRule="auto"/>
        <w:jc w:val="both"/>
        <w:rPr>
          <w:rFonts w:ascii="Arial" w:eastAsia="Calibri" w:hAnsi="Arial" w:cs="Arial"/>
          <w:sz w:val="20"/>
          <w:szCs w:val="20"/>
        </w:rPr>
      </w:pPr>
    </w:p>
    <w:p w14:paraId="683D261D"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Debe señalarse que las comisiones, junto con el tipo de interés remuneratorio, forman parte del precio del préstamo. Si el tipo de interés es la contraprestación de la disponibilidad del dinero tomado a préstamo, las comisiones por su parte constituyen la contraprestación que el prestatario abona al prestamista por determinados servicios asociados a la operación de préstamo.</w:t>
      </w:r>
    </w:p>
    <w:p w14:paraId="0CEC027A" w14:textId="77777777" w:rsidR="00B62948" w:rsidRPr="00554476" w:rsidRDefault="00B62948" w:rsidP="00554476">
      <w:pPr>
        <w:spacing w:after="0" w:line="360" w:lineRule="auto"/>
        <w:jc w:val="both"/>
        <w:rPr>
          <w:rFonts w:ascii="Arial" w:eastAsia="Calibri" w:hAnsi="Arial" w:cs="Arial"/>
          <w:sz w:val="20"/>
          <w:szCs w:val="20"/>
        </w:rPr>
      </w:pPr>
    </w:p>
    <w:p w14:paraId="5527B0ED"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En consecuencia, las comisiones se configuran como un elemento esencial del contrato, y como tal, fue uno de los aspectos que la parte prestataria negoció con mi representada a la hora de embarcarse en la operación que nos ocupa.</w:t>
      </w:r>
    </w:p>
    <w:p w14:paraId="6EBB4D2F" w14:textId="77777777" w:rsidR="00B62948" w:rsidRPr="00554476" w:rsidRDefault="00B62948" w:rsidP="00554476">
      <w:pPr>
        <w:spacing w:after="0" w:line="360" w:lineRule="auto"/>
        <w:jc w:val="both"/>
        <w:rPr>
          <w:rFonts w:ascii="Arial" w:eastAsia="Calibri" w:hAnsi="Arial" w:cs="Arial"/>
          <w:sz w:val="20"/>
          <w:szCs w:val="20"/>
        </w:rPr>
      </w:pPr>
    </w:p>
    <w:p w14:paraId="228D0328"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Y así lo entendió el propio </w:t>
      </w:r>
      <w:r w:rsidRPr="00554476">
        <w:rPr>
          <w:rFonts w:ascii="Arial" w:eastAsia="Calibri" w:hAnsi="Arial" w:cs="Arial"/>
          <w:b/>
          <w:sz w:val="20"/>
          <w:szCs w:val="20"/>
          <w:u w:val="single"/>
        </w:rPr>
        <w:t>Tribunal Supremo, en aquella</w:t>
      </w:r>
      <w:r w:rsidRPr="00554476">
        <w:rPr>
          <w:rFonts w:ascii="Arial" w:eastAsia="Calibri" w:hAnsi="Arial" w:cs="Arial"/>
          <w:sz w:val="20"/>
          <w:szCs w:val="20"/>
          <w:u w:val="single"/>
        </w:rPr>
        <w:t xml:space="preserve"> </w:t>
      </w:r>
      <w:r w:rsidRPr="00554476">
        <w:rPr>
          <w:rFonts w:ascii="Arial" w:eastAsia="Calibri" w:hAnsi="Arial" w:cs="Arial"/>
          <w:b/>
          <w:sz w:val="20"/>
          <w:szCs w:val="20"/>
          <w:u w:val="single"/>
        </w:rPr>
        <w:t>Sentencia 44/2019, de 23 de enero de 2019</w:t>
      </w:r>
      <w:r w:rsidRPr="00554476">
        <w:rPr>
          <w:rFonts w:ascii="Arial" w:eastAsia="Calibri" w:hAnsi="Arial" w:cs="Arial"/>
          <w:sz w:val="20"/>
          <w:szCs w:val="20"/>
        </w:rPr>
        <w:t>, donde expone que la comisión de apertura no es ajena al precio del préstamo; por el contrario, el interés remuneratorio y la comisión de apertura constituyen sendas partidas del precio del préstamo, en cuanto que son las principales retribuciones que recibe la entidad financiera por conceder el préstamo al prestatario y no corresponden a actuaciones o servicios eventuales. Tanto el interés remuneratorio como la comisión de apertura deben incluirse en el cálculo de la TAE, que permite al consumidor conocer cuál será el coste efectivo del préstamo:</w:t>
      </w:r>
    </w:p>
    <w:p w14:paraId="16BECB68" w14:textId="77777777" w:rsidR="00B62948" w:rsidRPr="00554476" w:rsidRDefault="00B62948" w:rsidP="00554476">
      <w:pPr>
        <w:spacing w:after="0" w:line="360" w:lineRule="auto"/>
        <w:jc w:val="both"/>
        <w:rPr>
          <w:rFonts w:ascii="Arial" w:eastAsia="Calibri" w:hAnsi="Arial" w:cs="Arial"/>
          <w:sz w:val="20"/>
          <w:szCs w:val="20"/>
        </w:rPr>
      </w:pPr>
    </w:p>
    <w:p w14:paraId="308E1F43"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“La propia naturaleza del préstamo y de las operaciones necesarias para la concesión del mismo (estudio de la solicitud y gestiones relacionadas con la misma, recopilación y análisis de la información sobre la solvencia del solicitante y de su capacidad para pagar el préstamo durante toda su duración, evaluación de las garantías presentadas, </w:t>
      </w:r>
      <w:r w:rsidRPr="00554476">
        <w:rPr>
          <w:rFonts w:ascii="Arial" w:eastAsia="Calibri" w:hAnsi="Arial" w:cs="Arial"/>
          <w:i/>
          <w:sz w:val="20"/>
          <w:szCs w:val="20"/>
        </w:rPr>
        <w:lastRenderedPageBreak/>
        <w:t xml:space="preserve">preparación del contrato y suscripción del mismo, entrega del dinero prestado mediante su ingreso en la cuenta del prestatario o en la forma que este designe, etc.) muestran que la etapa inicial del préstamo, esto es, su preparación y concesión, exige de la entidad financiera la realización de una serie de actividades que son de una naturaleza distinta al servicio que supone la disposición del dinero por el prestatario durante la duración del préstamo. </w:t>
      </w:r>
    </w:p>
    <w:p w14:paraId="575215F2" w14:textId="77777777" w:rsidR="00B62948" w:rsidRPr="00554476" w:rsidRDefault="00B62948" w:rsidP="00554476">
      <w:pPr>
        <w:spacing w:after="0" w:line="360" w:lineRule="auto"/>
        <w:ind w:left="567"/>
        <w:jc w:val="both"/>
        <w:rPr>
          <w:rFonts w:ascii="Arial" w:eastAsia="Calibri" w:hAnsi="Arial" w:cs="Arial"/>
          <w:i/>
          <w:sz w:val="20"/>
          <w:szCs w:val="20"/>
        </w:rPr>
      </w:pPr>
    </w:p>
    <w:p w14:paraId="0320BF22"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Ello justifica que </w:t>
      </w:r>
      <w:r w:rsidRPr="00554476">
        <w:rPr>
          <w:rFonts w:ascii="Arial" w:eastAsia="Calibri" w:hAnsi="Arial" w:cs="Arial"/>
          <w:b/>
          <w:i/>
          <w:sz w:val="20"/>
          <w:szCs w:val="20"/>
        </w:rPr>
        <w:t>la normativa relativa a esta actividad bancaria prevea la posibilidad de que, además del interés remuneratorio, la entidad financiera pueda cobrar como parte integrante del precio una comisión de apertura</w:t>
      </w:r>
      <w:r w:rsidRPr="00554476">
        <w:rPr>
          <w:rFonts w:ascii="Arial" w:eastAsia="Calibri" w:hAnsi="Arial" w:cs="Arial"/>
          <w:i/>
          <w:sz w:val="20"/>
          <w:szCs w:val="20"/>
        </w:rPr>
        <w:t xml:space="preserve"> […] </w:t>
      </w:r>
      <w:r w:rsidRPr="00554476">
        <w:rPr>
          <w:rFonts w:ascii="Arial" w:eastAsia="Calibri" w:hAnsi="Arial" w:cs="Arial"/>
          <w:b/>
          <w:i/>
          <w:sz w:val="20"/>
          <w:szCs w:val="20"/>
        </w:rPr>
        <w:t>La comisión de apertura</w:t>
      </w:r>
      <w:r w:rsidRPr="00554476">
        <w:rPr>
          <w:rFonts w:ascii="Arial" w:eastAsia="Calibri" w:hAnsi="Arial" w:cs="Arial"/>
          <w:i/>
          <w:sz w:val="20"/>
          <w:szCs w:val="20"/>
        </w:rPr>
        <w:t xml:space="preserve"> no es uno más de los posibles pagos que eventualmente deba realizar el prestatario por el disfrute del préstamo (como era el caso de la «comisión de riesgo» objeto de la citada sentencia del TJUE de 26 febrero de 2015) sino que </w:t>
      </w:r>
      <w:r w:rsidRPr="00554476">
        <w:rPr>
          <w:rFonts w:ascii="Arial" w:eastAsia="Calibri" w:hAnsi="Arial" w:cs="Arial"/>
          <w:b/>
          <w:i/>
          <w:sz w:val="20"/>
          <w:szCs w:val="20"/>
        </w:rPr>
        <w:t>constituye, junto con el interés remuneratorio, uno de los dos principales pagos que el prestatario ha de pagar por la concesión y disfrute del préstamo, por lo que entra de lleno en la previsión del art. 4.2 de la Directiva 93/13 interpretado en los términos estrictos que exige el TJUE</w:t>
      </w:r>
      <w:r w:rsidRPr="00554476">
        <w:rPr>
          <w:rFonts w:ascii="Arial" w:eastAsia="Calibri" w:hAnsi="Arial" w:cs="Arial"/>
          <w:i/>
          <w:sz w:val="20"/>
          <w:szCs w:val="20"/>
        </w:rPr>
        <w:t>”.</w:t>
      </w:r>
    </w:p>
    <w:p w14:paraId="1A512324" w14:textId="77777777" w:rsidR="00B62948" w:rsidRPr="00554476" w:rsidRDefault="00B62948" w:rsidP="00554476">
      <w:pPr>
        <w:spacing w:after="0" w:line="360" w:lineRule="auto"/>
        <w:jc w:val="both"/>
        <w:rPr>
          <w:rFonts w:ascii="Arial" w:eastAsia="Calibri" w:hAnsi="Arial" w:cs="Arial"/>
          <w:sz w:val="20"/>
          <w:szCs w:val="20"/>
        </w:rPr>
      </w:pPr>
    </w:p>
    <w:p w14:paraId="35BDE0DE"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lang w:val="es-ES_tradnl"/>
        </w:rPr>
        <w:t xml:space="preserve">Así las cosas, no puede considerarse que la comisión de apertura es una cláusula abusiva, toda vez que la misma no es susceptible de control de contenido, sino exclusivamente de control de transparencia. </w:t>
      </w:r>
      <w:r w:rsidRPr="00554476">
        <w:rPr>
          <w:rFonts w:ascii="Arial" w:eastAsia="Calibri" w:hAnsi="Arial" w:cs="Arial"/>
          <w:sz w:val="20"/>
          <w:szCs w:val="20"/>
        </w:rPr>
        <w:t xml:space="preserve">Especialmente, y respecto del control de transparencia al que debiera someterse la comisión enjuiciada, ya expuso la meritada sentencia, que: </w:t>
      </w:r>
    </w:p>
    <w:p w14:paraId="50686563" w14:textId="77777777" w:rsidR="00B62948" w:rsidRPr="00554476" w:rsidRDefault="00B62948" w:rsidP="00554476">
      <w:pPr>
        <w:spacing w:after="0" w:line="360" w:lineRule="auto"/>
        <w:jc w:val="both"/>
        <w:rPr>
          <w:rFonts w:ascii="Arial" w:eastAsia="Calibri" w:hAnsi="Arial" w:cs="Arial"/>
          <w:sz w:val="20"/>
          <w:szCs w:val="20"/>
        </w:rPr>
      </w:pPr>
    </w:p>
    <w:p w14:paraId="50065E68" w14:textId="77777777" w:rsidR="00B62948" w:rsidRPr="00554476" w:rsidRDefault="00B62948" w:rsidP="00554476">
      <w:pPr>
        <w:spacing w:after="0" w:line="360" w:lineRule="auto"/>
        <w:ind w:left="567"/>
        <w:jc w:val="both"/>
        <w:rPr>
          <w:rFonts w:ascii="Arial" w:eastAsia="Calibri" w:hAnsi="Arial" w:cs="Arial"/>
          <w:b/>
          <w:i/>
          <w:sz w:val="20"/>
          <w:szCs w:val="20"/>
        </w:rPr>
      </w:pPr>
      <w:r w:rsidRPr="00554476">
        <w:rPr>
          <w:rFonts w:ascii="Arial" w:eastAsia="Calibri" w:hAnsi="Arial" w:cs="Arial"/>
          <w:sz w:val="20"/>
          <w:szCs w:val="20"/>
        </w:rPr>
        <w:t>“</w:t>
      </w:r>
      <w:r w:rsidRPr="00554476">
        <w:rPr>
          <w:rFonts w:ascii="Arial" w:eastAsia="Calibri" w:hAnsi="Arial" w:cs="Arial"/>
          <w:i/>
          <w:sz w:val="20"/>
          <w:szCs w:val="20"/>
        </w:rPr>
        <w:t xml:space="preserve">Además, no se suscitaban dudas razonables sobre el carácter transparente de la cláusula. Son razones que sustentan la transparencia de esta cláusula que es de </w:t>
      </w:r>
      <w:r w:rsidRPr="00554476">
        <w:rPr>
          <w:rFonts w:ascii="Arial" w:eastAsia="Calibri" w:hAnsi="Arial" w:cs="Arial"/>
          <w:b/>
          <w:i/>
          <w:sz w:val="20"/>
          <w:szCs w:val="20"/>
        </w:rPr>
        <w:t>general conocimiento entre los consumidores</w:t>
      </w:r>
      <w:r w:rsidRPr="00554476">
        <w:rPr>
          <w:rFonts w:ascii="Arial" w:eastAsia="Calibri" w:hAnsi="Arial" w:cs="Arial"/>
          <w:i/>
          <w:sz w:val="20"/>
          <w:szCs w:val="20"/>
        </w:rPr>
        <w:t xml:space="preserve"> interesados en contratar un préstamo hipotecario el hecho de que, en la gran mayoría de los préstamos hipotecarios, la entidad bancaria cobra una comisión de apertura además del interés remuneratorio; es uno de los extremos sobre los que la entidad bancaria está obligada a informar al potencial prestatario de acuerdo con la regulación de las fichas normalizadas de información y, de hecho, </w:t>
      </w:r>
      <w:r w:rsidRPr="00554476">
        <w:rPr>
          <w:rFonts w:ascii="Arial" w:eastAsia="Calibri" w:hAnsi="Arial" w:cs="Arial"/>
          <w:b/>
          <w:i/>
          <w:sz w:val="20"/>
          <w:szCs w:val="20"/>
        </w:rPr>
        <w:t>suele ser uno de los extremos sobre los que versa la publicidad de las entidades bancarias; se trata de una comisión que ha de pagarse por entero en el momento inicial del préstamo, lo que hace que el consumidor medio le preste especial atención como parte sustancial del sacrificio económico que le supone la obtención del préstamo; y la redacción, ubicación y estructura de la cláusula permiten apreciar que constituye un elemento esencial del contrato.”</w:t>
      </w:r>
    </w:p>
    <w:p w14:paraId="1F6094A6" w14:textId="77777777" w:rsidR="00B62948" w:rsidRPr="00554476" w:rsidRDefault="00B62948" w:rsidP="00554476">
      <w:pPr>
        <w:spacing w:after="0" w:line="360" w:lineRule="auto"/>
        <w:jc w:val="both"/>
        <w:rPr>
          <w:rFonts w:ascii="Arial" w:eastAsia="Calibri" w:hAnsi="Arial" w:cs="Arial"/>
          <w:sz w:val="20"/>
          <w:szCs w:val="20"/>
        </w:rPr>
      </w:pPr>
    </w:p>
    <w:p w14:paraId="5733681D"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Es decir, la comisión de apertura se configura como un elemento esencial del contrato. No es un coste de formalización de la operación, como tal, ni suponen gastos de “tramitación”, como pudieran ser los gastos hipotecarios de escrituras notariales, registrales, tributos… sino que se </w:t>
      </w:r>
      <w:r w:rsidRPr="00554476">
        <w:rPr>
          <w:rFonts w:ascii="Arial" w:eastAsia="Calibri" w:hAnsi="Arial" w:cs="Arial"/>
          <w:sz w:val="20"/>
          <w:szCs w:val="20"/>
        </w:rPr>
        <w:lastRenderedPageBreak/>
        <w:t>sustenta en el coste de gestiones previas a él. En definitiva, se trata de un coste de financiación, no de formalización del contrato.</w:t>
      </w:r>
    </w:p>
    <w:p w14:paraId="6A2E0922" w14:textId="77777777" w:rsidR="00B62948" w:rsidRPr="00554476" w:rsidRDefault="00B62948" w:rsidP="00554476">
      <w:pPr>
        <w:spacing w:after="0" w:line="360" w:lineRule="auto"/>
        <w:rPr>
          <w:rFonts w:ascii="Arial" w:eastAsia="Calibri" w:hAnsi="Arial" w:cs="Arial"/>
          <w:b/>
          <w:sz w:val="20"/>
          <w:szCs w:val="20"/>
        </w:rPr>
      </w:pPr>
    </w:p>
    <w:p w14:paraId="03214D13" w14:textId="6D7089BA"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Precisamente, nuestro Alto Tribunal, vino a sostener esta postura en aquella mencionada </w:t>
      </w:r>
      <w:r w:rsidRPr="00554476">
        <w:rPr>
          <w:rFonts w:ascii="Arial" w:eastAsia="Calibri" w:hAnsi="Arial" w:cs="Arial"/>
          <w:b/>
          <w:bCs/>
          <w:sz w:val="20"/>
          <w:szCs w:val="20"/>
          <w:u w:val="single"/>
        </w:rPr>
        <w:t>Sentencia 44/2019, de 23 de enero</w:t>
      </w:r>
      <w:r w:rsidR="007C33B7">
        <w:rPr>
          <w:rFonts w:ascii="Arial" w:eastAsia="Calibri" w:hAnsi="Arial" w:cs="Arial"/>
          <w:bCs/>
          <w:sz w:val="20"/>
          <w:szCs w:val="20"/>
        </w:rPr>
        <w:t xml:space="preserve"> que</w:t>
      </w:r>
      <w:r w:rsidRPr="00554476">
        <w:rPr>
          <w:rFonts w:ascii="Arial" w:eastAsia="Calibri" w:hAnsi="Arial" w:cs="Arial"/>
          <w:sz w:val="20"/>
          <w:szCs w:val="20"/>
        </w:rPr>
        <w:t xml:space="preserve"> “</w:t>
      </w:r>
      <w:r w:rsidRPr="00554476">
        <w:rPr>
          <w:rFonts w:ascii="Arial" w:eastAsia="Calibri" w:hAnsi="Arial" w:cs="Arial"/>
          <w:i/>
          <w:iCs/>
          <w:sz w:val="20"/>
          <w:szCs w:val="20"/>
        </w:rPr>
        <w:t>La comisión de apertura no es una partida ajena al precio del préstamo; por el contrario, el interés remuneratorio y la comisión de apertura constituyen las dos partidas principales del precio del préstamo, en cuanto que son las principales retribuciones que recibe la entidad financiera por conceder el préstamo al prestatario, y no corresponden a actuaciones o servicios eventuales. 10.- No estamos propiamente ante la repercusión de un gasto, sino ante el cobro de una partida del precio que el banco pone a sus servicios. La tesis contraria llevaría al absurdo de que, para que el banco pudiera cobrar por estas actuaciones, las mismas habrían de estar externalizadas en una tercera entidad y solo en ese caso el banco podría repercutir en el cliente el precio cobrado por esa tercera entidad, que muy posiblemente pertenecería a su mismo grupo societario. 11.- Como tales partes principales del precio del préstamo, el interés remuneratorio y la comisión de apertura son objeto de regulación por las normas tanto de Derecho de la Unión Europea como de Derecho interno, con la finalidad de asegurar su transparencia. Uno de los principales medios de asegurar esa transparencia es que ambas partidas deben incluirse en el cálculo de la tasa anual equivalente (TAE), que permite al consumidor conocer cuál será el coste efectivo del préstamo, por lo que podrá realizar una comparación con otras ofertas en tanto que la TAE constituye un instrumento de medida homogéneo, y podrá tomar conciencia del sacrificio patrimonial que la concesión del préstamo le supondrá.”</w:t>
      </w:r>
    </w:p>
    <w:p w14:paraId="076E28BF" w14:textId="77777777" w:rsidR="007C33B7" w:rsidRPr="00554476" w:rsidRDefault="007C33B7" w:rsidP="00554476">
      <w:pPr>
        <w:spacing w:after="0" w:line="360" w:lineRule="auto"/>
        <w:jc w:val="both"/>
        <w:rPr>
          <w:rFonts w:ascii="Arial" w:eastAsia="Calibri" w:hAnsi="Arial" w:cs="Arial"/>
          <w:sz w:val="20"/>
          <w:szCs w:val="20"/>
        </w:rPr>
      </w:pPr>
    </w:p>
    <w:p w14:paraId="3B87D76C"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Analizando el funcionamiento de la referida comisión y de su tratamiento diferenciado respecto del resto de comisiones que puedan figurar en un préstamo hipotecario,  nuestro Alto Tribunal llegó a la conclusión de que la misma supera el control de transparencia, pues, siendo que su importe forma parte del precio del contrato y, estando la misma incluida en la T.A.E, cualquier consumidor puede ser conocedor del precio final del préstamo, lo que le permite valorar y comparar la oferta comercial ofrecida por el Banco. </w:t>
      </w:r>
    </w:p>
    <w:p w14:paraId="656029C4" w14:textId="77777777" w:rsidR="00B62948" w:rsidRPr="00554476" w:rsidRDefault="00B62948" w:rsidP="00554476">
      <w:pPr>
        <w:spacing w:after="0" w:line="360" w:lineRule="auto"/>
        <w:jc w:val="both"/>
        <w:rPr>
          <w:rFonts w:ascii="Arial" w:eastAsia="Calibri" w:hAnsi="Arial" w:cs="Arial"/>
          <w:sz w:val="20"/>
          <w:szCs w:val="20"/>
        </w:rPr>
      </w:pPr>
    </w:p>
    <w:p w14:paraId="352F34BF"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Pero, aún más, el Tribunal Supremo no se quedó en esa simple tesis para declarar la no </w:t>
      </w:r>
      <w:proofErr w:type="spellStart"/>
      <w:r w:rsidRPr="00554476">
        <w:rPr>
          <w:rFonts w:ascii="Arial" w:eastAsia="Calibri" w:hAnsi="Arial" w:cs="Arial"/>
          <w:sz w:val="20"/>
          <w:szCs w:val="20"/>
        </w:rPr>
        <w:t>abusividad</w:t>
      </w:r>
      <w:proofErr w:type="spellEnd"/>
      <w:r w:rsidRPr="00554476">
        <w:rPr>
          <w:rFonts w:ascii="Arial" w:eastAsia="Calibri" w:hAnsi="Arial" w:cs="Arial"/>
          <w:sz w:val="20"/>
          <w:szCs w:val="20"/>
        </w:rPr>
        <w:t xml:space="preserve"> de la citada comisión. Analizada la especial consideración de la misma, llegó a la conclusión de que efectivamente responde a un servicio prestado por el Banco, distinto al servicio y/o la obligación principal, la entrega del capital al prestatario, que consiste en todas las operaciones de preparación a la propia concesión de dicho capital: </w:t>
      </w:r>
    </w:p>
    <w:p w14:paraId="6F07567B" w14:textId="77777777" w:rsidR="00B62948" w:rsidRPr="00554476" w:rsidRDefault="00B62948" w:rsidP="00554476">
      <w:pPr>
        <w:spacing w:after="0" w:line="360" w:lineRule="auto"/>
        <w:jc w:val="both"/>
        <w:rPr>
          <w:rFonts w:ascii="Arial" w:eastAsia="Calibri" w:hAnsi="Arial" w:cs="Arial"/>
          <w:sz w:val="20"/>
          <w:szCs w:val="20"/>
        </w:rPr>
      </w:pPr>
    </w:p>
    <w:p w14:paraId="078D9763" w14:textId="77777777" w:rsidR="00B62948" w:rsidRPr="00554476" w:rsidRDefault="00B62948" w:rsidP="00554476">
      <w:pPr>
        <w:spacing w:after="0" w:line="360" w:lineRule="auto"/>
        <w:jc w:val="both"/>
        <w:rPr>
          <w:rFonts w:ascii="Arial" w:eastAsia="Calibri" w:hAnsi="Arial" w:cs="Arial"/>
          <w:i/>
          <w:iCs/>
          <w:sz w:val="20"/>
          <w:szCs w:val="20"/>
        </w:rPr>
      </w:pPr>
      <w:r w:rsidRPr="00554476">
        <w:rPr>
          <w:rFonts w:ascii="Arial" w:eastAsia="Calibri" w:hAnsi="Arial" w:cs="Arial"/>
          <w:i/>
          <w:iCs/>
          <w:sz w:val="20"/>
          <w:szCs w:val="20"/>
        </w:rPr>
        <w:t xml:space="preserve">“(…) La propia naturaleza del préstamo y de las operaciones necesarias para la concesión del mismo (estudio de la solicitud y gestiones relacionadas con la misma, recopilación y análisis de la información sobre la solvencia del solicitante y de su capacidad para pagar el préstamo durante toda su duración, evaluación de las garantías presentadas, preparación del contrato y suscripción </w:t>
      </w:r>
      <w:r w:rsidRPr="00554476">
        <w:rPr>
          <w:rFonts w:ascii="Arial" w:eastAsia="Calibri" w:hAnsi="Arial" w:cs="Arial"/>
          <w:i/>
          <w:iCs/>
          <w:sz w:val="20"/>
          <w:szCs w:val="20"/>
        </w:rPr>
        <w:lastRenderedPageBreak/>
        <w:t>del mismo, entrega del dinero prestado mediante su ingreso en la cuenta del prestatario o en la forma que este designe, etc.) muestran que la etapa inicial del préstamo, esto es, su preparación y concesión, exige de la entidad financiera la realización de una serie de actividades que son de una naturaleza distinta al servicio que supone la disposición del dinero por el prestatario durante la duración del préstamo. Ello justifica que la normativa relativa a esta actividad bancaria prevea la posibilidad de que, además del interés remuneratorio, la entidad financiera pueda cobrar como parte integrante del precio una comisión de apertura.</w:t>
      </w:r>
    </w:p>
    <w:p w14:paraId="5DF55740" w14:textId="77777777" w:rsidR="00B62948" w:rsidRPr="00554476" w:rsidRDefault="00B62948" w:rsidP="00554476">
      <w:pPr>
        <w:spacing w:after="0" w:line="360" w:lineRule="auto"/>
        <w:jc w:val="both"/>
        <w:rPr>
          <w:rFonts w:ascii="Arial" w:eastAsia="Calibri" w:hAnsi="Arial" w:cs="Arial"/>
          <w:i/>
          <w:iCs/>
          <w:sz w:val="20"/>
          <w:szCs w:val="20"/>
        </w:rPr>
      </w:pPr>
    </w:p>
    <w:p w14:paraId="1A9A2FFA" w14:textId="2AED2530" w:rsidR="007C33B7" w:rsidRDefault="00B62948" w:rsidP="00554476">
      <w:pPr>
        <w:spacing w:after="0" w:line="360" w:lineRule="auto"/>
        <w:jc w:val="both"/>
        <w:rPr>
          <w:rFonts w:ascii="Arial" w:eastAsia="Calibri" w:hAnsi="Arial" w:cs="Arial"/>
          <w:sz w:val="20"/>
          <w:szCs w:val="20"/>
        </w:rPr>
      </w:pPr>
      <w:r w:rsidRPr="00554476">
        <w:rPr>
          <w:rFonts w:ascii="Arial" w:eastAsia="Calibri" w:hAnsi="Arial" w:cs="Arial"/>
          <w:i/>
          <w:iCs/>
          <w:sz w:val="20"/>
          <w:szCs w:val="20"/>
        </w:rPr>
        <w:t xml:space="preserve">15.- El hecho de que esas actuaciones iniciales sean "inherentes" a la actividad de la entidad financiera destinada a la concesión del préstamo, no impide que esta pueda estructurar el precio de sus servicios distinguiendo el interés remuneratorio y la comisión de apertura, ni implica que el cobro de esta comisión incurra en la </w:t>
      </w:r>
      <w:proofErr w:type="spellStart"/>
      <w:r w:rsidRPr="00554476">
        <w:rPr>
          <w:rFonts w:ascii="Arial" w:eastAsia="Calibri" w:hAnsi="Arial" w:cs="Arial"/>
          <w:i/>
          <w:iCs/>
          <w:sz w:val="20"/>
          <w:szCs w:val="20"/>
        </w:rPr>
        <w:t>abusividad</w:t>
      </w:r>
      <w:proofErr w:type="spellEnd"/>
      <w:r w:rsidRPr="00554476">
        <w:rPr>
          <w:rFonts w:ascii="Arial" w:eastAsia="Calibri" w:hAnsi="Arial" w:cs="Arial"/>
          <w:i/>
          <w:iCs/>
          <w:sz w:val="20"/>
          <w:szCs w:val="20"/>
        </w:rPr>
        <w:t xml:space="preserve"> prevista en el art. 87.5 TRLCU</w:t>
      </w:r>
      <w:r w:rsidRPr="00554476">
        <w:rPr>
          <w:rFonts w:ascii="Arial" w:eastAsia="Calibri" w:hAnsi="Arial" w:cs="Arial"/>
          <w:sz w:val="20"/>
          <w:szCs w:val="20"/>
        </w:rPr>
        <w:t>”.</w:t>
      </w:r>
    </w:p>
    <w:p w14:paraId="66B85CE1" w14:textId="77777777" w:rsidR="006064A2" w:rsidRPr="00554476" w:rsidRDefault="006064A2" w:rsidP="00554476">
      <w:pPr>
        <w:spacing w:after="0" w:line="360" w:lineRule="auto"/>
        <w:jc w:val="both"/>
        <w:rPr>
          <w:rFonts w:ascii="Arial" w:eastAsia="Calibri" w:hAnsi="Arial" w:cs="Arial"/>
          <w:sz w:val="20"/>
          <w:szCs w:val="20"/>
        </w:rPr>
      </w:pPr>
    </w:p>
    <w:p w14:paraId="069A5145" w14:textId="5FB6F60F" w:rsidR="00F948AC" w:rsidRPr="00F948AC" w:rsidRDefault="00F948AC" w:rsidP="00E014A6">
      <w:pPr>
        <w:spacing w:after="0" w:line="360" w:lineRule="auto"/>
        <w:jc w:val="both"/>
        <w:rPr>
          <w:rFonts w:ascii="Arial" w:eastAsia="Calibri" w:hAnsi="Arial" w:cs="Arial"/>
          <w:color w:val="000000" w:themeColor="text1"/>
          <w:sz w:val="20"/>
          <w:szCs w:val="20"/>
        </w:rPr>
      </w:pPr>
      <w:r>
        <w:rPr>
          <w:rFonts w:ascii="Arial" w:eastAsia="Calibri" w:hAnsi="Arial" w:cs="Arial"/>
          <w:color w:val="000000" w:themeColor="text1"/>
          <w:sz w:val="20"/>
          <w:szCs w:val="20"/>
        </w:rPr>
        <w:t xml:space="preserve">A mayor abundamiento, </w:t>
      </w:r>
      <w:r w:rsidRPr="00A266F8">
        <w:rPr>
          <w:rFonts w:ascii="Arial" w:eastAsia="Calibri" w:hAnsi="Arial" w:cs="Arial"/>
          <w:b/>
          <w:color w:val="000000" w:themeColor="text1"/>
          <w:sz w:val="20"/>
          <w:szCs w:val="20"/>
        </w:rPr>
        <w:t xml:space="preserve">nuestro Alto Tribunal ratificó sus consideraciones mediante </w:t>
      </w:r>
      <w:r w:rsidRPr="00A266F8">
        <w:rPr>
          <w:rFonts w:ascii="Arial" w:eastAsia="Calibri" w:hAnsi="Arial" w:cs="Arial"/>
          <w:b/>
          <w:color w:val="000000" w:themeColor="text1"/>
          <w:sz w:val="20"/>
          <w:szCs w:val="20"/>
          <w:u w:val="single"/>
        </w:rPr>
        <w:t xml:space="preserve">Auto del Tribunal Supremo, sala de lo civil, </w:t>
      </w:r>
      <w:proofErr w:type="spellStart"/>
      <w:r w:rsidRPr="00A266F8">
        <w:rPr>
          <w:rFonts w:ascii="Arial" w:eastAsia="Calibri" w:hAnsi="Arial" w:cs="Arial"/>
          <w:b/>
          <w:color w:val="000000" w:themeColor="text1"/>
          <w:sz w:val="20"/>
          <w:szCs w:val="20"/>
          <w:u w:val="single"/>
        </w:rPr>
        <w:t>rec.</w:t>
      </w:r>
      <w:proofErr w:type="spellEnd"/>
      <w:r w:rsidRPr="00A266F8">
        <w:rPr>
          <w:rFonts w:ascii="Arial" w:eastAsia="Calibri" w:hAnsi="Arial" w:cs="Arial"/>
          <w:b/>
          <w:color w:val="000000" w:themeColor="text1"/>
          <w:sz w:val="20"/>
          <w:szCs w:val="20"/>
          <w:u w:val="single"/>
        </w:rPr>
        <w:t xml:space="preserve"> 1964/2018 de 20 de enero de 2021</w:t>
      </w:r>
      <w:r>
        <w:rPr>
          <w:rFonts w:ascii="Arial" w:eastAsia="Calibri" w:hAnsi="Arial" w:cs="Arial"/>
          <w:color w:val="000000" w:themeColor="text1"/>
          <w:sz w:val="20"/>
          <w:szCs w:val="20"/>
        </w:rPr>
        <w:t xml:space="preserve">, </w:t>
      </w:r>
      <w:r w:rsidR="00E014A6">
        <w:rPr>
          <w:rFonts w:ascii="Arial" w:eastAsia="Calibri" w:hAnsi="Arial" w:cs="Arial"/>
          <w:color w:val="000000" w:themeColor="text1"/>
          <w:sz w:val="20"/>
          <w:szCs w:val="20"/>
        </w:rPr>
        <w:t xml:space="preserve">mediante el cual inadmitía un recurso de casación cuyo objeto era la posible nulidad de la comisión de apertura de un préstamo hipotecario por considerar que </w:t>
      </w:r>
      <w:r w:rsidR="00E014A6" w:rsidRPr="00E014A6">
        <w:rPr>
          <w:rFonts w:ascii="Arial" w:eastAsia="Calibri" w:hAnsi="Arial" w:cs="Arial"/>
          <w:i/>
          <w:color w:val="000000" w:themeColor="text1"/>
          <w:sz w:val="20"/>
          <w:szCs w:val="20"/>
        </w:rPr>
        <w:t>“respecto al fondo incurre en la causa de inadmisión de inexistencia de interés casacional (arts. 477.2. 3.º y art. 483.2. 3.º LEC) en la medida que la sentencia de la audiencia provincial no se opone a la doctrina respecto a la comisión de apertura y su exclusión del control de contenido”</w:t>
      </w:r>
      <w:r>
        <w:rPr>
          <w:rFonts w:ascii="Arial" w:eastAsia="Calibri" w:hAnsi="Arial" w:cs="Arial"/>
          <w:color w:val="000000" w:themeColor="text1"/>
          <w:sz w:val="20"/>
          <w:szCs w:val="20"/>
        </w:rPr>
        <w:t xml:space="preserve"> </w:t>
      </w:r>
      <w:r w:rsidR="00E014A6">
        <w:rPr>
          <w:rFonts w:ascii="Arial" w:eastAsia="Calibri" w:hAnsi="Arial" w:cs="Arial"/>
          <w:color w:val="000000" w:themeColor="text1"/>
          <w:sz w:val="20"/>
          <w:szCs w:val="20"/>
        </w:rPr>
        <w:t xml:space="preserve">en referencia a la meritada </w:t>
      </w:r>
      <w:r w:rsidR="00A266F8">
        <w:rPr>
          <w:rFonts w:ascii="Arial" w:eastAsia="Calibri" w:hAnsi="Arial" w:cs="Arial"/>
          <w:color w:val="000000" w:themeColor="text1"/>
          <w:sz w:val="20"/>
          <w:szCs w:val="20"/>
        </w:rPr>
        <w:t xml:space="preserve">Sentencia 44/2019, de 23 de enero. </w:t>
      </w:r>
    </w:p>
    <w:p w14:paraId="065FF9CD" w14:textId="77777777" w:rsidR="00F948AC" w:rsidRDefault="00F948AC" w:rsidP="00554476">
      <w:pPr>
        <w:spacing w:after="0" w:line="360" w:lineRule="auto"/>
        <w:jc w:val="center"/>
        <w:rPr>
          <w:rFonts w:ascii="Arial" w:eastAsia="Calibri" w:hAnsi="Arial" w:cs="Arial"/>
          <w:b/>
          <w:color w:val="000000" w:themeColor="text1"/>
          <w:sz w:val="20"/>
          <w:szCs w:val="20"/>
        </w:rPr>
      </w:pPr>
    </w:p>
    <w:p w14:paraId="331C561F" w14:textId="21459B35" w:rsidR="00B62948" w:rsidRPr="00554476" w:rsidRDefault="00B62948" w:rsidP="00554476">
      <w:pPr>
        <w:spacing w:after="0" w:line="360" w:lineRule="auto"/>
        <w:jc w:val="center"/>
        <w:rPr>
          <w:rFonts w:ascii="Arial" w:eastAsia="Calibri" w:hAnsi="Arial" w:cs="Arial"/>
          <w:b/>
          <w:color w:val="000000" w:themeColor="text1"/>
          <w:sz w:val="20"/>
          <w:szCs w:val="20"/>
        </w:rPr>
      </w:pPr>
      <w:r w:rsidRPr="00554476">
        <w:rPr>
          <w:rFonts w:ascii="Arial" w:eastAsia="Calibri" w:hAnsi="Arial" w:cs="Arial"/>
          <w:b/>
          <w:color w:val="000000" w:themeColor="text1"/>
          <w:sz w:val="20"/>
          <w:szCs w:val="20"/>
        </w:rPr>
        <w:t>II</w:t>
      </w:r>
    </w:p>
    <w:p w14:paraId="6120B502"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3ECCEE16" w14:textId="77777777" w:rsidR="00B62948" w:rsidRPr="00554476" w:rsidRDefault="00B62948" w:rsidP="00554476">
      <w:pPr>
        <w:spacing w:after="0" w:line="360" w:lineRule="auto"/>
        <w:jc w:val="both"/>
        <w:rPr>
          <w:rFonts w:ascii="Arial" w:eastAsia="Calibri" w:hAnsi="Arial" w:cs="Arial"/>
          <w:b/>
          <w:color w:val="000000" w:themeColor="text1"/>
          <w:sz w:val="20"/>
          <w:szCs w:val="20"/>
        </w:rPr>
      </w:pPr>
      <w:r w:rsidRPr="00554476">
        <w:rPr>
          <w:rFonts w:ascii="Arial" w:eastAsia="Calibri" w:hAnsi="Arial" w:cs="Arial"/>
          <w:color w:val="000000" w:themeColor="text1"/>
          <w:sz w:val="20"/>
          <w:szCs w:val="20"/>
        </w:rPr>
        <w:t>Por tanto, fueron estos dos aspectos (</w:t>
      </w:r>
      <w:r w:rsidRPr="00554476">
        <w:rPr>
          <w:rFonts w:ascii="Arial" w:eastAsia="Calibri" w:hAnsi="Arial" w:cs="Arial"/>
          <w:color w:val="000000" w:themeColor="text1"/>
          <w:sz w:val="20"/>
          <w:szCs w:val="20"/>
          <w:u w:val="single"/>
        </w:rPr>
        <w:t>la propia naturaleza de la cláusula y el hecho de que superase el control de transparencia</w:t>
      </w:r>
      <w:r w:rsidRPr="00554476">
        <w:rPr>
          <w:rFonts w:ascii="Arial" w:eastAsia="Calibri" w:hAnsi="Arial" w:cs="Arial"/>
          <w:color w:val="000000" w:themeColor="text1"/>
          <w:sz w:val="20"/>
          <w:szCs w:val="20"/>
        </w:rPr>
        <w:t xml:space="preserve">) los que le llevaron al Tribunal Supremo a entender que la comisión de apertura no podía tacharse de abusiva, </w:t>
      </w:r>
      <w:r w:rsidRPr="00554476">
        <w:rPr>
          <w:rFonts w:ascii="Arial" w:eastAsia="Calibri" w:hAnsi="Arial" w:cs="Arial"/>
          <w:b/>
          <w:color w:val="000000" w:themeColor="text1"/>
          <w:sz w:val="20"/>
          <w:szCs w:val="20"/>
          <w:u w:val="single"/>
        </w:rPr>
        <w:t>marcadores que no han sido contrariados por la reciente STJUE de 16 de julio de 2020</w:t>
      </w:r>
      <w:r w:rsidRPr="00554476">
        <w:rPr>
          <w:rFonts w:ascii="Arial" w:eastAsia="Calibri" w:hAnsi="Arial" w:cs="Arial"/>
          <w:b/>
          <w:color w:val="000000" w:themeColor="text1"/>
          <w:sz w:val="20"/>
          <w:szCs w:val="20"/>
        </w:rPr>
        <w:t xml:space="preserve">. </w:t>
      </w:r>
    </w:p>
    <w:p w14:paraId="56D68C18"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7FC96735" w14:textId="32D269B0" w:rsidR="00B62948"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En efecto, la </w:t>
      </w:r>
      <w:r w:rsidRPr="00554476">
        <w:rPr>
          <w:rFonts w:ascii="Arial" w:eastAsia="Calibri" w:hAnsi="Arial" w:cs="Arial"/>
          <w:b/>
          <w:color w:val="000000" w:themeColor="text1"/>
          <w:sz w:val="20"/>
          <w:szCs w:val="20"/>
        </w:rPr>
        <w:t>STJUE de 16 de julio de 2020 no contradice ni desvirtúa los pronunciamientos del Tribunal Supremo en materia de la cláusula de comisión de apertura</w:t>
      </w:r>
      <w:r w:rsidRPr="00554476">
        <w:rPr>
          <w:rFonts w:ascii="Arial" w:eastAsia="Calibri" w:hAnsi="Arial" w:cs="Arial"/>
          <w:color w:val="000000" w:themeColor="text1"/>
          <w:sz w:val="20"/>
          <w:szCs w:val="20"/>
        </w:rPr>
        <w:t>, siendo que la jurisprudencia de la Sala Primera se ajusta a la perfección a la doctrina del TJUE, que, en gran parte, ya había sido mantenida con anterioridad.</w:t>
      </w:r>
    </w:p>
    <w:p w14:paraId="6C894B12" w14:textId="113C4766" w:rsidR="00B62948" w:rsidRPr="00554476" w:rsidRDefault="00B62948" w:rsidP="00554476">
      <w:pPr>
        <w:spacing w:after="0" w:line="360" w:lineRule="auto"/>
        <w:jc w:val="both"/>
        <w:rPr>
          <w:rFonts w:ascii="Arial" w:eastAsia="Calibri" w:hAnsi="Arial" w:cs="Arial"/>
          <w:color w:val="000000" w:themeColor="text1"/>
          <w:sz w:val="20"/>
          <w:szCs w:val="20"/>
        </w:rPr>
      </w:pPr>
    </w:p>
    <w:p w14:paraId="6A11E441"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Lo cierto es que el TJUE no cuestiona los criterios jurisprudenciales de la Sala Primera del Tribunal Supremo, ya que no resuelve una especie de recurso ni enmienda frente a su doctrina. Sino que, simplemente, da respuesta a las cuestiones prejudiciales planteadas con la adopción de unas pautas de interpretación de los extremos relevantes del control de validez de la cláusula de comisión de apertura, que son coincidentes con las señaladas por el Tribunal Supremo. El fin de las respuestas del TJUE es dar las directrices a los órganos jurisdiccionales nacionales (cuyo </w:t>
      </w:r>
      <w:r w:rsidRPr="00554476">
        <w:rPr>
          <w:rFonts w:ascii="Arial" w:eastAsia="Calibri" w:hAnsi="Arial" w:cs="Arial"/>
          <w:color w:val="000000" w:themeColor="text1"/>
          <w:sz w:val="20"/>
          <w:szCs w:val="20"/>
        </w:rPr>
        <w:lastRenderedPageBreak/>
        <w:t xml:space="preserve">máximo órgano en este ámbito es el Tribunal Supremo) para que apliquen el Derecho interno de conformidad con la Directiva 93/13, </w:t>
      </w:r>
      <w:r w:rsidRPr="00554476">
        <w:rPr>
          <w:rFonts w:ascii="Arial" w:eastAsia="Calibri" w:hAnsi="Arial" w:cs="Arial"/>
          <w:b/>
          <w:color w:val="000000" w:themeColor="text1"/>
          <w:sz w:val="20"/>
          <w:szCs w:val="20"/>
        </w:rPr>
        <w:t>tal y como hizo el Tribunal Supremo en la STS 44/2019 en materia de la cláusula de comisión de apertura</w:t>
      </w:r>
      <w:r w:rsidRPr="00554476">
        <w:rPr>
          <w:rFonts w:ascii="Arial" w:eastAsia="Calibri" w:hAnsi="Arial" w:cs="Arial"/>
          <w:color w:val="000000" w:themeColor="text1"/>
          <w:sz w:val="20"/>
          <w:szCs w:val="20"/>
        </w:rPr>
        <w:t>.</w:t>
      </w:r>
    </w:p>
    <w:p w14:paraId="4B6E6F0C"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66A70C9A" w14:textId="16B22B45" w:rsidR="00B62948" w:rsidRDefault="00B62948" w:rsidP="00554476">
      <w:pPr>
        <w:keepNext/>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Centrándonos en la referida STJUE de 16 de julio de 2020, observamos que la primera cuestión analizada en relación con la cláusula de comisión de apertura se refiere a su </w:t>
      </w:r>
      <w:r w:rsidRPr="00554476">
        <w:rPr>
          <w:rFonts w:ascii="Arial" w:hAnsi="Arial" w:cs="Arial"/>
          <w:b/>
          <w:color w:val="000000" w:themeColor="text1"/>
          <w:sz w:val="20"/>
          <w:szCs w:val="20"/>
          <w:u w:val="single"/>
        </w:rPr>
        <w:t>naturaleza y configuración dentro del contrato de préstamo hipotecario</w:t>
      </w:r>
      <w:r w:rsidRPr="00554476">
        <w:rPr>
          <w:rFonts w:ascii="Arial" w:hAnsi="Arial" w:cs="Arial"/>
          <w:color w:val="000000" w:themeColor="text1"/>
          <w:sz w:val="20"/>
          <w:szCs w:val="20"/>
        </w:rPr>
        <w:t xml:space="preserve">, a los efectos de determinar si se refiere al concepto de </w:t>
      </w:r>
      <w:r w:rsidRPr="00554476">
        <w:rPr>
          <w:rFonts w:ascii="Arial" w:hAnsi="Arial" w:cs="Arial"/>
          <w:i/>
          <w:color w:val="000000" w:themeColor="text1"/>
          <w:sz w:val="20"/>
          <w:szCs w:val="20"/>
        </w:rPr>
        <w:t xml:space="preserve">objeto principal del contrato </w:t>
      </w:r>
      <w:r w:rsidRPr="00554476">
        <w:rPr>
          <w:rFonts w:ascii="Arial" w:hAnsi="Arial" w:cs="Arial"/>
          <w:color w:val="000000" w:themeColor="text1"/>
          <w:sz w:val="20"/>
          <w:szCs w:val="20"/>
        </w:rPr>
        <w:t xml:space="preserve">del art. 4.2 de la Directiva 93/13, de modo que esté excluida del control de </w:t>
      </w:r>
      <w:proofErr w:type="spellStart"/>
      <w:r w:rsidRPr="00554476">
        <w:rPr>
          <w:rFonts w:ascii="Arial" w:hAnsi="Arial" w:cs="Arial"/>
          <w:color w:val="000000" w:themeColor="text1"/>
          <w:sz w:val="20"/>
          <w:szCs w:val="20"/>
        </w:rPr>
        <w:t>abusividad</w:t>
      </w:r>
      <w:proofErr w:type="spellEnd"/>
      <w:r w:rsidRPr="00554476">
        <w:rPr>
          <w:rFonts w:ascii="Arial" w:hAnsi="Arial" w:cs="Arial"/>
          <w:color w:val="000000" w:themeColor="text1"/>
          <w:sz w:val="20"/>
          <w:szCs w:val="20"/>
        </w:rPr>
        <w:t xml:space="preserve">. </w:t>
      </w:r>
    </w:p>
    <w:p w14:paraId="4C32A738" w14:textId="77777777" w:rsidR="007C33B7" w:rsidRPr="00554476" w:rsidRDefault="007C33B7" w:rsidP="00554476">
      <w:pPr>
        <w:keepNext/>
        <w:spacing w:after="0" w:line="360" w:lineRule="auto"/>
        <w:jc w:val="both"/>
        <w:rPr>
          <w:rFonts w:ascii="Arial" w:hAnsi="Arial" w:cs="Arial"/>
          <w:color w:val="000000" w:themeColor="text1"/>
          <w:sz w:val="20"/>
          <w:szCs w:val="20"/>
        </w:rPr>
      </w:pPr>
    </w:p>
    <w:p w14:paraId="319B69B4" w14:textId="7937C619" w:rsidR="00B62948"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El TJUE parte de la premisa de que las estipulaciones relativas al objeto principal son “</w:t>
      </w:r>
      <w:r w:rsidRPr="00554476">
        <w:rPr>
          <w:rFonts w:ascii="Arial" w:hAnsi="Arial" w:cs="Arial"/>
          <w:i/>
          <w:color w:val="000000" w:themeColor="text1"/>
          <w:sz w:val="20"/>
          <w:szCs w:val="20"/>
        </w:rPr>
        <w:t>las que regulan las prestaciones esenciales de ese contrato y que, como tales, lo caracterizan</w:t>
      </w:r>
      <w:r w:rsidRPr="00554476">
        <w:rPr>
          <w:rFonts w:ascii="Arial" w:hAnsi="Arial" w:cs="Arial"/>
          <w:color w:val="000000" w:themeColor="text1"/>
          <w:sz w:val="20"/>
          <w:szCs w:val="20"/>
        </w:rPr>
        <w:t>”, mientras que “</w:t>
      </w:r>
      <w:r w:rsidRPr="00554476">
        <w:rPr>
          <w:rFonts w:ascii="Arial" w:hAnsi="Arial" w:cs="Arial"/>
          <w:i/>
          <w:color w:val="000000" w:themeColor="text1"/>
          <w:sz w:val="20"/>
          <w:szCs w:val="20"/>
        </w:rPr>
        <w:t>las cláusulas de carácter accesorio respecto de las que definen la esencia misma</w:t>
      </w:r>
      <w:r w:rsidRPr="00554476">
        <w:rPr>
          <w:rFonts w:ascii="Arial" w:hAnsi="Arial" w:cs="Arial"/>
          <w:color w:val="000000" w:themeColor="text1"/>
          <w:sz w:val="20"/>
          <w:szCs w:val="20"/>
        </w:rPr>
        <w:t>” del contrato quedan excluidas de ese concepto normativo. Esta doctrina no es novedosa: ya se contemplaba en las Sentencias de 26 de febrero de 2015 (</w:t>
      </w:r>
      <w:proofErr w:type="spellStart"/>
      <w:r w:rsidRPr="00554476">
        <w:rPr>
          <w:rFonts w:ascii="Arial" w:hAnsi="Arial" w:cs="Arial"/>
          <w:color w:val="000000" w:themeColor="text1"/>
          <w:sz w:val="20"/>
          <w:szCs w:val="20"/>
        </w:rPr>
        <w:t>Matei</w:t>
      </w:r>
      <w:proofErr w:type="spellEnd"/>
      <w:r w:rsidRPr="00554476">
        <w:rPr>
          <w:rFonts w:ascii="Arial" w:hAnsi="Arial" w:cs="Arial"/>
          <w:color w:val="000000" w:themeColor="text1"/>
          <w:sz w:val="20"/>
          <w:szCs w:val="20"/>
        </w:rPr>
        <w:t>, C-143/13), de 20 de septiembre de 2017 (</w:t>
      </w:r>
      <w:proofErr w:type="spellStart"/>
      <w:r w:rsidRPr="00554476">
        <w:rPr>
          <w:rFonts w:ascii="Arial" w:hAnsi="Arial" w:cs="Arial"/>
          <w:color w:val="000000" w:themeColor="text1"/>
          <w:sz w:val="20"/>
          <w:szCs w:val="20"/>
        </w:rPr>
        <w:t>Andriciuc</w:t>
      </w:r>
      <w:proofErr w:type="spellEnd"/>
      <w:r w:rsidRPr="00554476">
        <w:rPr>
          <w:rFonts w:ascii="Arial" w:hAnsi="Arial" w:cs="Arial"/>
          <w:color w:val="000000" w:themeColor="text1"/>
          <w:sz w:val="20"/>
          <w:szCs w:val="20"/>
        </w:rPr>
        <w:t xml:space="preserve">, C-186/16) y de 3 de octubre de 2019 (Kiss, C-621/17). </w:t>
      </w:r>
    </w:p>
    <w:p w14:paraId="6BB7AA6F" w14:textId="77777777" w:rsidR="007C33B7" w:rsidRPr="00554476" w:rsidRDefault="007C33B7" w:rsidP="00554476">
      <w:pPr>
        <w:spacing w:after="0" w:line="360" w:lineRule="auto"/>
        <w:jc w:val="both"/>
        <w:rPr>
          <w:rFonts w:ascii="Arial" w:hAnsi="Arial" w:cs="Arial"/>
          <w:color w:val="000000" w:themeColor="text1"/>
          <w:sz w:val="20"/>
          <w:szCs w:val="20"/>
        </w:rPr>
      </w:pPr>
    </w:p>
    <w:p w14:paraId="3232FE9A"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hAnsi="Arial" w:cs="Arial"/>
          <w:color w:val="000000" w:themeColor="text1"/>
          <w:sz w:val="20"/>
          <w:szCs w:val="20"/>
        </w:rPr>
        <w:t>Sin perjuicio de que corresponde al órgano jurisdiccional nacional apreciar si la cláusula de comisión de apertura constituye un “</w:t>
      </w:r>
      <w:r w:rsidRPr="00554476">
        <w:rPr>
          <w:rFonts w:ascii="Arial" w:hAnsi="Arial" w:cs="Arial"/>
          <w:i/>
          <w:color w:val="000000" w:themeColor="text1"/>
          <w:sz w:val="20"/>
          <w:szCs w:val="20"/>
        </w:rPr>
        <w:t>componente esencial del contrato</w:t>
      </w:r>
      <w:r w:rsidRPr="00554476">
        <w:rPr>
          <w:rFonts w:ascii="Arial" w:hAnsi="Arial" w:cs="Arial"/>
          <w:color w:val="000000" w:themeColor="text1"/>
          <w:sz w:val="20"/>
          <w:szCs w:val="20"/>
        </w:rPr>
        <w:t xml:space="preserve">”, el TJUE proporciona una pauta orientativa que debe guiar ese juicio: en línea con su doctrina jurisprudencial anterior (Sentencia de 26 de febrero de 2015, </w:t>
      </w:r>
      <w:proofErr w:type="spellStart"/>
      <w:r w:rsidRPr="00554476">
        <w:rPr>
          <w:rFonts w:ascii="Arial" w:hAnsi="Arial" w:cs="Arial"/>
          <w:color w:val="000000" w:themeColor="text1"/>
          <w:sz w:val="20"/>
          <w:szCs w:val="20"/>
        </w:rPr>
        <w:t>Matei</w:t>
      </w:r>
      <w:proofErr w:type="spellEnd"/>
      <w:r w:rsidRPr="00554476">
        <w:rPr>
          <w:rFonts w:ascii="Arial" w:hAnsi="Arial" w:cs="Arial"/>
          <w:color w:val="000000" w:themeColor="text1"/>
          <w:sz w:val="20"/>
          <w:szCs w:val="20"/>
        </w:rPr>
        <w:t xml:space="preserve">, C-143/13, apdo. 47), el alcance de los términos </w:t>
      </w:r>
      <w:r w:rsidRPr="00554476">
        <w:rPr>
          <w:rFonts w:ascii="Arial" w:hAnsi="Arial" w:cs="Arial"/>
          <w:i/>
          <w:color w:val="000000" w:themeColor="text1"/>
          <w:sz w:val="20"/>
          <w:szCs w:val="20"/>
        </w:rPr>
        <w:t xml:space="preserve">objeto principal </w:t>
      </w:r>
      <w:r w:rsidRPr="00554476">
        <w:rPr>
          <w:rFonts w:ascii="Arial" w:hAnsi="Arial" w:cs="Arial"/>
          <w:color w:val="000000" w:themeColor="text1"/>
          <w:sz w:val="20"/>
          <w:szCs w:val="20"/>
        </w:rPr>
        <w:t xml:space="preserve">y </w:t>
      </w:r>
      <w:r w:rsidRPr="00554476">
        <w:rPr>
          <w:rFonts w:ascii="Arial" w:hAnsi="Arial" w:cs="Arial"/>
          <w:i/>
          <w:color w:val="000000" w:themeColor="text1"/>
          <w:sz w:val="20"/>
          <w:szCs w:val="20"/>
        </w:rPr>
        <w:t>precio</w:t>
      </w:r>
      <w:r w:rsidRPr="00554476">
        <w:rPr>
          <w:rFonts w:ascii="Arial" w:hAnsi="Arial" w:cs="Arial"/>
          <w:color w:val="000000" w:themeColor="text1"/>
          <w:sz w:val="20"/>
          <w:szCs w:val="20"/>
        </w:rPr>
        <w:t xml:space="preserve"> no pueden establecerse mediante el concepto normativo de </w:t>
      </w:r>
      <w:r w:rsidRPr="00554476">
        <w:rPr>
          <w:rFonts w:ascii="Arial" w:hAnsi="Arial" w:cs="Arial"/>
          <w:i/>
          <w:color w:val="000000" w:themeColor="text1"/>
          <w:sz w:val="20"/>
          <w:szCs w:val="20"/>
        </w:rPr>
        <w:t>coste total del crédito para el consumidor</w:t>
      </w:r>
      <w:r w:rsidRPr="00554476">
        <w:rPr>
          <w:rFonts w:ascii="Arial" w:hAnsi="Arial" w:cs="Arial"/>
          <w:color w:val="000000" w:themeColor="text1"/>
          <w:sz w:val="20"/>
          <w:szCs w:val="20"/>
        </w:rPr>
        <w:t xml:space="preserve"> (art. 3 de la Directiva 2008/48), de modo que “</w:t>
      </w:r>
      <w:r w:rsidRPr="00554476">
        <w:rPr>
          <w:rFonts w:ascii="Arial" w:hAnsi="Arial" w:cs="Arial"/>
          <w:i/>
          <w:color w:val="000000" w:themeColor="text1"/>
          <w:sz w:val="20"/>
          <w:szCs w:val="20"/>
        </w:rPr>
        <w:t>una comisión de apertura no puede considerarse una prestación esencial de un préstamo hipotecario por el mero hecho de que tal comisión esté incluida en el coste total de este</w:t>
      </w:r>
      <w:r w:rsidRPr="00554476">
        <w:rPr>
          <w:rFonts w:ascii="Arial" w:hAnsi="Arial" w:cs="Arial"/>
          <w:color w:val="000000" w:themeColor="text1"/>
          <w:sz w:val="20"/>
          <w:szCs w:val="20"/>
        </w:rPr>
        <w:t>” (apdo. 64).</w:t>
      </w:r>
    </w:p>
    <w:p w14:paraId="695E161C"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59832AE7"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Pues bien, como ya se ha expuesto con anterioridad, lo cierto es que nuestro Tribunal Supremo </w:t>
      </w:r>
      <w:r w:rsidRPr="00554476">
        <w:rPr>
          <w:rFonts w:ascii="Arial" w:eastAsia="Calibri" w:hAnsi="Arial" w:cs="Arial"/>
          <w:b/>
          <w:color w:val="000000" w:themeColor="text1"/>
          <w:sz w:val="20"/>
          <w:szCs w:val="20"/>
        </w:rPr>
        <w:t>ya tomó en consideración esa directriz a la hora de configurar la comisión de apertura como un componente esencial del precio del préstamo en la STS 44/2019 y, por tanto, integrante del objeto principal del contrato a los efectos del art. 4.2 de la Directiva 93/13</w:t>
      </w:r>
      <w:r w:rsidRPr="00554476">
        <w:rPr>
          <w:rFonts w:ascii="Arial" w:eastAsia="Calibri" w:hAnsi="Arial" w:cs="Arial"/>
          <w:color w:val="000000" w:themeColor="text1"/>
          <w:sz w:val="20"/>
          <w:szCs w:val="20"/>
        </w:rPr>
        <w:t xml:space="preserve"> (y excluida, como consecuencia, del control de </w:t>
      </w:r>
      <w:proofErr w:type="spellStart"/>
      <w:r w:rsidRPr="00554476">
        <w:rPr>
          <w:rFonts w:ascii="Arial" w:eastAsia="Calibri" w:hAnsi="Arial" w:cs="Arial"/>
          <w:color w:val="000000" w:themeColor="text1"/>
          <w:sz w:val="20"/>
          <w:szCs w:val="20"/>
        </w:rPr>
        <w:t>abusividad</w:t>
      </w:r>
      <w:proofErr w:type="spellEnd"/>
      <w:r w:rsidRPr="00554476">
        <w:rPr>
          <w:rFonts w:ascii="Arial" w:eastAsia="Calibri" w:hAnsi="Arial" w:cs="Arial"/>
          <w:color w:val="000000" w:themeColor="text1"/>
          <w:sz w:val="20"/>
          <w:szCs w:val="20"/>
        </w:rPr>
        <w:t xml:space="preserve"> o de contenido).</w:t>
      </w:r>
    </w:p>
    <w:p w14:paraId="1811CDFE"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7E18363A"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Concurre además una circunstancia esencial que corrobora la conformidad de la STS 44/2019 con los postulados de la STJUE de 16 de julio de 2020, pues en esa labor de configuración de la comisión de apertura como componente sustancial del precio, el Tribunal Supremo diferenció su naturaleza de la denominada comisión de riesgo analizada por el TJUE en su Sentencia de 26 de febrero de 2015 (</w:t>
      </w:r>
      <w:proofErr w:type="spellStart"/>
      <w:r w:rsidRPr="00554476">
        <w:rPr>
          <w:rFonts w:ascii="Arial" w:eastAsia="Calibri" w:hAnsi="Arial" w:cs="Arial"/>
          <w:color w:val="000000" w:themeColor="text1"/>
          <w:sz w:val="20"/>
          <w:szCs w:val="20"/>
        </w:rPr>
        <w:t>Matei</w:t>
      </w:r>
      <w:proofErr w:type="spellEnd"/>
      <w:r w:rsidRPr="00554476">
        <w:rPr>
          <w:rFonts w:ascii="Arial" w:eastAsia="Calibri" w:hAnsi="Arial" w:cs="Arial"/>
          <w:color w:val="000000" w:themeColor="text1"/>
          <w:sz w:val="20"/>
          <w:szCs w:val="20"/>
        </w:rPr>
        <w:t>, C-143/13), en la medida en que la comisión de apertura “</w:t>
      </w:r>
      <w:r w:rsidRPr="00554476">
        <w:rPr>
          <w:rFonts w:ascii="Arial" w:eastAsia="Calibri" w:hAnsi="Arial" w:cs="Arial"/>
          <w:i/>
          <w:color w:val="000000" w:themeColor="text1"/>
          <w:sz w:val="20"/>
          <w:szCs w:val="20"/>
        </w:rPr>
        <w:t>constituye, junto con el interés remuneratorio, uno de los dos principales pagos que el prestatario ha de pagar por la concesión y disfrute del préstamo</w:t>
      </w:r>
      <w:r w:rsidRPr="00554476">
        <w:rPr>
          <w:rFonts w:ascii="Arial" w:eastAsia="Calibri" w:hAnsi="Arial" w:cs="Arial"/>
          <w:color w:val="000000" w:themeColor="text1"/>
          <w:sz w:val="20"/>
          <w:szCs w:val="20"/>
        </w:rPr>
        <w:t>” (FD 3.º, apdo. 22).</w:t>
      </w:r>
    </w:p>
    <w:p w14:paraId="01E54EAD"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55080336"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lastRenderedPageBreak/>
        <w:t>La STJUE de 16 de julio de 2020 se remite en algunos de sus pasajes a esa resolución, en la que el TJUE ya dictaminó que “</w:t>
      </w:r>
      <w:r w:rsidRPr="00554476">
        <w:rPr>
          <w:rFonts w:ascii="Arial" w:eastAsia="Calibri" w:hAnsi="Arial" w:cs="Arial"/>
          <w:i/>
          <w:color w:val="000000" w:themeColor="text1"/>
          <w:sz w:val="20"/>
          <w:szCs w:val="20"/>
        </w:rPr>
        <w:t xml:space="preserve">el alcance exacto de los conceptos de «objeto principal» y de «precio», en el sentido del artículo 4, apartado 2, de la Directiva 93/13, no puede establecerse mediante el concepto de «coste total del crédito para el consumidor»” </w:t>
      </w:r>
      <w:r w:rsidRPr="00554476">
        <w:rPr>
          <w:rFonts w:ascii="Arial" w:eastAsia="Calibri" w:hAnsi="Arial" w:cs="Arial"/>
          <w:color w:val="000000" w:themeColor="text1"/>
          <w:sz w:val="20"/>
          <w:szCs w:val="20"/>
        </w:rPr>
        <w:t>(apdo. 47) e, incluso, abogó por una</w:t>
      </w:r>
      <w:r w:rsidRPr="00554476">
        <w:rPr>
          <w:rFonts w:ascii="Arial" w:eastAsia="Calibri" w:hAnsi="Arial" w:cs="Arial"/>
          <w:i/>
          <w:color w:val="000000" w:themeColor="text1"/>
          <w:sz w:val="20"/>
          <w:szCs w:val="20"/>
        </w:rPr>
        <w:t xml:space="preserve"> “interpretación estricta” </w:t>
      </w:r>
      <w:r w:rsidRPr="00554476">
        <w:rPr>
          <w:rFonts w:ascii="Arial" w:eastAsia="Calibri" w:hAnsi="Arial" w:cs="Arial"/>
          <w:color w:val="000000" w:themeColor="text1"/>
          <w:sz w:val="20"/>
          <w:szCs w:val="20"/>
        </w:rPr>
        <w:t>del concepto de objeto principal del contrato, frente al de coste total del crédito que está configurado</w:t>
      </w:r>
      <w:r w:rsidRPr="00554476">
        <w:rPr>
          <w:rFonts w:ascii="Arial" w:eastAsia="Calibri" w:hAnsi="Arial" w:cs="Arial"/>
          <w:i/>
          <w:color w:val="000000" w:themeColor="text1"/>
          <w:sz w:val="20"/>
          <w:szCs w:val="20"/>
        </w:rPr>
        <w:t xml:space="preserve"> “de manera particularmente amplia</w:t>
      </w:r>
      <w:r w:rsidRPr="00554476">
        <w:rPr>
          <w:rFonts w:ascii="Arial" w:eastAsia="Calibri" w:hAnsi="Arial" w:cs="Arial"/>
          <w:color w:val="000000" w:themeColor="text1"/>
          <w:sz w:val="20"/>
          <w:szCs w:val="20"/>
        </w:rPr>
        <w:t>” al incluir todos los gastos y costes efectuados tanto al prestamista como a terceros con ocasión del préstamo hipotecario (</w:t>
      </w:r>
      <w:proofErr w:type="spellStart"/>
      <w:r w:rsidRPr="00554476">
        <w:rPr>
          <w:rFonts w:ascii="Arial" w:eastAsia="Calibri" w:hAnsi="Arial" w:cs="Arial"/>
          <w:color w:val="000000" w:themeColor="text1"/>
          <w:sz w:val="20"/>
          <w:szCs w:val="20"/>
        </w:rPr>
        <w:t>apdos</w:t>
      </w:r>
      <w:proofErr w:type="spellEnd"/>
      <w:r w:rsidRPr="00554476">
        <w:rPr>
          <w:rFonts w:ascii="Arial" w:eastAsia="Calibri" w:hAnsi="Arial" w:cs="Arial"/>
          <w:color w:val="000000" w:themeColor="text1"/>
          <w:sz w:val="20"/>
          <w:szCs w:val="20"/>
        </w:rPr>
        <w:t xml:space="preserve">. 48 y 49). </w:t>
      </w:r>
    </w:p>
    <w:p w14:paraId="2F700995"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782C773C"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En efecto, el concepto de coste total del crédito en los términos definidos por el art. 3 g) de la Directiva 2008/48/CE del Parlamento Europeo y del Consejo, de 23 de abril de 2008, relativa a los contratos de crédito al consumo (precepto referido en el apdo. 64 de la STJUE de 16 de julio de 2020), es amplio: “</w:t>
      </w:r>
      <w:r w:rsidRPr="00F86E29">
        <w:rPr>
          <w:rFonts w:ascii="Arial" w:eastAsia="Calibri" w:hAnsi="Arial" w:cs="Arial"/>
          <w:i/>
          <w:color w:val="000000" w:themeColor="text1"/>
          <w:sz w:val="20"/>
          <w:szCs w:val="20"/>
          <w:u w:val="single"/>
        </w:rPr>
        <w:t>todos los gastos, incluidos los intereses, las comisiones, los impuestos y cualquier otro tipo de gastos que el consumidor deba pagar en relación con el contrato de crédito y que sean conocidos por el prestamista, con excepción de los gastos de notaría; el coste de los servicios accesorios relacionados con el contrato de crédito, en particular las primas de seguros, se incluye asimismo en este concepto si, además, la celebración del contrato de servicios es obligatoria para obtener el crédito o para obtenerlo en las condiciones ofrecidas</w:t>
      </w:r>
      <w:r w:rsidRPr="00554476">
        <w:rPr>
          <w:rFonts w:ascii="Arial" w:eastAsia="Calibri" w:hAnsi="Arial" w:cs="Arial"/>
          <w:color w:val="000000" w:themeColor="text1"/>
          <w:sz w:val="20"/>
          <w:szCs w:val="20"/>
        </w:rPr>
        <w:t>”.</w:t>
      </w:r>
    </w:p>
    <w:p w14:paraId="5CE73E65"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2E517D70"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De seguir el planteamiento rechazado por el TJUE de que objeto principal del contrato y coste total del crédito son términos equivalentes, cualquier cláusula relativa a un desembolso por parte del consumidor con ocasión del préstamo (o de un servicio accesorio a él) ya sea al prestamista o a un tercero (gastos e impuestos) se integraría en el ámbito objeto de aplicación del art. 4.2 de la Directiva 93/13. Esa es la situación que proscribe el TJUE (y que ha recordado en la STJUE de 16 de julio de 2020), pero </w:t>
      </w:r>
      <w:r w:rsidRPr="00554476">
        <w:rPr>
          <w:rFonts w:ascii="Arial" w:eastAsia="Calibri" w:hAnsi="Arial" w:cs="Arial"/>
          <w:b/>
          <w:color w:val="000000" w:themeColor="text1"/>
          <w:sz w:val="20"/>
          <w:szCs w:val="20"/>
        </w:rPr>
        <w:t>ello no impide que una determinada partida como es la comisión de apertura sea, por su naturaleza y características, un componente esencial del precio del préstamo junto con el interés remuneratorio</w:t>
      </w:r>
      <w:r w:rsidRPr="00554476">
        <w:rPr>
          <w:rFonts w:ascii="Arial" w:eastAsia="Calibri" w:hAnsi="Arial" w:cs="Arial"/>
          <w:color w:val="000000" w:themeColor="text1"/>
          <w:sz w:val="20"/>
          <w:szCs w:val="20"/>
        </w:rPr>
        <w:t xml:space="preserve">. O, dicho de otro modo, no significa que solo las cláusulas relativas al concreto tipo de interés puedan conformar el objeto principal en los términos del art. 4.2 de la Directiva 93/13. De ser así, el TJUE lo habría indicado, pero no ha llegado a ese extremo, sino que </w:t>
      </w:r>
      <w:r w:rsidRPr="00554476">
        <w:rPr>
          <w:rFonts w:ascii="Arial" w:eastAsia="Calibri" w:hAnsi="Arial" w:cs="Arial"/>
          <w:color w:val="000000" w:themeColor="text1"/>
          <w:sz w:val="20"/>
          <w:szCs w:val="20"/>
          <w:u w:val="single"/>
        </w:rPr>
        <w:t>se ha limitado a señalar que el objeto principal del crédito no puede equipararse con su coste total en los términos de la Directiva 2008/48, de modo que no todos los elementos de la TAE forman parte del precio del préstamo</w:t>
      </w:r>
      <w:r w:rsidRPr="00554476">
        <w:rPr>
          <w:rFonts w:ascii="Arial" w:eastAsia="Calibri" w:hAnsi="Arial" w:cs="Arial"/>
          <w:color w:val="000000" w:themeColor="text1"/>
          <w:sz w:val="20"/>
          <w:szCs w:val="20"/>
        </w:rPr>
        <w:t>.</w:t>
      </w:r>
    </w:p>
    <w:p w14:paraId="0745F5E0"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21F65118"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Ahora bien, la STS 44/2019 no consideró que cualquier cláusula en virtud de la cual el consumidor efectúa desembolsos como consecuencia de la formalización del préstamo (como, por ejemplo, la cláusula de gastos) define el objeto principal del préstamo, sino que reservó fundadamente esa caracterización a una concreta comisión, que es la principal retribución que recibe la entidad financiera por la concesión del préstamo (y no por servicios eventuales o accesorios). </w:t>
      </w:r>
    </w:p>
    <w:p w14:paraId="0191BA79"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4EAB62A3"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lastRenderedPageBreak/>
        <w:t xml:space="preserve">En definitiva, </w:t>
      </w:r>
      <w:r w:rsidRPr="00612776">
        <w:rPr>
          <w:rFonts w:ascii="Arial" w:eastAsia="Calibri" w:hAnsi="Arial" w:cs="Arial"/>
          <w:b/>
          <w:color w:val="000000" w:themeColor="text1"/>
          <w:sz w:val="20"/>
          <w:szCs w:val="20"/>
        </w:rPr>
        <w:t>la configuración jurisprudencial de la comisión de apertura como componente sustancial del precio del préstamo es conforme al art. 4.2 de la Directiva 93/13 según ha sido interpretado por el TJUE, tanto en resoluciones anteriores como en la STJUE de 16 de julio de 2020</w:t>
      </w:r>
      <w:r w:rsidRPr="00554476">
        <w:rPr>
          <w:rFonts w:ascii="Arial" w:eastAsia="Calibri" w:hAnsi="Arial" w:cs="Arial"/>
          <w:color w:val="000000" w:themeColor="text1"/>
          <w:sz w:val="20"/>
          <w:szCs w:val="20"/>
        </w:rPr>
        <w:t xml:space="preserve">. </w:t>
      </w:r>
    </w:p>
    <w:p w14:paraId="1FF3E747"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6AFC487C"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Por ello, </w:t>
      </w:r>
      <w:r w:rsidRPr="00554476">
        <w:rPr>
          <w:rFonts w:ascii="Arial" w:eastAsia="Calibri" w:hAnsi="Arial" w:cs="Arial"/>
          <w:b/>
          <w:color w:val="000000" w:themeColor="text1"/>
          <w:sz w:val="20"/>
          <w:szCs w:val="20"/>
        </w:rPr>
        <w:t xml:space="preserve">ha de mantenerse la jurisprudencia del Tribunal Supremo: la comisión de apertura afecta al objeto principal del préstamo por ser, junto con el interés remuneratorio, una de las partidas principales de su precio y, en consecuencia, queda excluida del control de </w:t>
      </w:r>
      <w:proofErr w:type="spellStart"/>
      <w:r w:rsidRPr="00554476">
        <w:rPr>
          <w:rFonts w:ascii="Arial" w:eastAsia="Calibri" w:hAnsi="Arial" w:cs="Arial"/>
          <w:b/>
          <w:color w:val="000000" w:themeColor="text1"/>
          <w:sz w:val="20"/>
          <w:szCs w:val="20"/>
        </w:rPr>
        <w:t>abusividad</w:t>
      </w:r>
      <w:proofErr w:type="spellEnd"/>
      <w:r w:rsidRPr="00554476">
        <w:rPr>
          <w:rFonts w:ascii="Arial" w:eastAsia="Calibri" w:hAnsi="Arial" w:cs="Arial"/>
          <w:b/>
          <w:color w:val="000000" w:themeColor="text1"/>
          <w:sz w:val="20"/>
          <w:szCs w:val="20"/>
        </w:rPr>
        <w:t xml:space="preserve"> ex art. 4.2 de la Directiva 93/13</w:t>
      </w:r>
      <w:r w:rsidRPr="00554476">
        <w:rPr>
          <w:rFonts w:ascii="Arial" w:eastAsia="Calibri" w:hAnsi="Arial" w:cs="Arial"/>
          <w:color w:val="000000" w:themeColor="text1"/>
          <w:sz w:val="20"/>
          <w:szCs w:val="20"/>
        </w:rPr>
        <w:t xml:space="preserve">.  </w:t>
      </w:r>
    </w:p>
    <w:p w14:paraId="6B75B800"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1E20DB0D"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En lo relativo a la </w:t>
      </w:r>
      <w:r w:rsidRPr="00554476">
        <w:rPr>
          <w:rFonts w:ascii="Arial" w:eastAsia="Calibri" w:hAnsi="Arial" w:cs="Arial"/>
          <w:b/>
          <w:color w:val="000000" w:themeColor="text1"/>
          <w:sz w:val="20"/>
          <w:szCs w:val="20"/>
          <w:u w:val="single"/>
        </w:rPr>
        <w:t>transparencia de la comisión de apertura</w:t>
      </w:r>
      <w:r w:rsidRPr="00554476">
        <w:rPr>
          <w:rFonts w:ascii="Arial" w:eastAsia="Calibri" w:hAnsi="Arial" w:cs="Arial"/>
          <w:color w:val="000000" w:themeColor="text1"/>
          <w:sz w:val="20"/>
          <w:szCs w:val="20"/>
        </w:rPr>
        <w:t xml:space="preserve">, la referida STJUE de 16 de julio de 2020 </w:t>
      </w:r>
      <w:r w:rsidRPr="00554476">
        <w:rPr>
          <w:rFonts w:ascii="Arial" w:hAnsi="Arial" w:cs="Arial"/>
          <w:color w:val="000000" w:themeColor="text1"/>
          <w:sz w:val="20"/>
          <w:szCs w:val="20"/>
        </w:rPr>
        <w:t xml:space="preserve">analiza también los criterios relevantes que deben guiar el control de transparencia material de la cláusula de comisión de apertura: </w:t>
      </w:r>
      <w:r w:rsidRPr="00554476">
        <w:rPr>
          <w:rFonts w:ascii="Arial" w:hAnsi="Arial" w:cs="Arial"/>
          <w:i/>
          <w:color w:val="000000" w:themeColor="text1"/>
          <w:sz w:val="20"/>
          <w:szCs w:val="20"/>
        </w:rPr>
        <w:t xml:space="preserve">(i) </w:t>
      </w:r>
      <w:r w:rsidRPr="00554476">
        <w:rPr>
          <w:rFonts w:ascii="Arial" w:hAnsi="Arial" w:cs="Arial"/>
          <w:color w:val="000000" w:themeColor="text1"/>
          <w:sz w:val="20"/>
          <w:szCs w:val="20"/>
        </w:rPr>
        <w:t xml:space="preserve">la </w:t>
      </w:r>
      <w:r w:rsidRPr="00554476">
        <w:rPr>
          <w:rFonts w:ascii="Arial" w:hAnsi="Arial" w:cs="Arial"/>
          <w:i/>
          <w:color w:val="000000" w:themeColor="text1"/>
          <w:sz w:val="20"/>
          <w:szCs w:val="20"/>
        </w:rPr>
        <w:t xml:space="preserve">publicidad </w:t>
      </w:r>
      <w:r w:rsidRPr="00554476">
        <w:rPr>
          <w:rFonts w:ascii="Arial" w:hAnsi="Arial" w:cs="Arial"/>
          <w:color w:val="000000" w:themeColor="text1"/>
          <w:sz w:val="20"/>
          <w:szCs w:val="20"/>
        </w:rPr>
        <w:t xml:space="preserve">y la </w:t>
      </w:r>
      <w:r w:rsidRPr="00554476">
        <w:rPr>
          <w:rFonts w:ascii="Arial" w:hAnsi="Arial" w:cs="Arial"/>
          <w:i/>
          <w:color w:val="000000" w:themeColor="text1"/>
          <w:sz w:val="20"/>
          <w:szCs w:val="20"/>
        </w:rPr>
        <w:t xml:space="preserve">información </w:t>
      </w:r>
      <w:r w:rsidRPr="00554476">
        <w:rPr>
          <w:rFonts w:ascii="Arial" w:hAnsi="Arial" w:cs="Arial"/>
          <w:color w:val="000000" w:themeColor="text1"/>
          <w:sz w:val="20"/>
          <w:szCs w:val="20"/>
        </w:rPr>
        <w:t xml:space="preserve">ofrecidas por el prestamista en el contexto de la negociación de un contrato de préstamo; y </w:t>
      </w:r>
      <w:r w:rsidRPr="00554476">
        <w:rPr>
          <w:rFonts w:ascii="Arial" w:hAnsi="Arial" w:cs="Arial"/>
          <w:i/>
          <w:color w:val="000000" w:themeColor="text1"/>
          <w:sz w:val="20"/>
          <w:szCs w:val="20"/>
        </w:rPr>
        <w:t xml:space="preserve">(ii) </w:t>
      </w:r>
      <w:r w:rsidRPr="00554476">
        <w:rPr>
          <w:rFonts w:ascii="Arial" w:hAnsi="Arial" w:cs="Arial"/>
          <w:color w:val="000000" w:themeColor="text1"/>
          <w:sz w:val="20"/>
          <w:szCs w:val="20"/>
        </w:rPr>
        <w:t xml:space="preserve">el </w:t>
      </w:r>
      <w:r w:rsidRPr="00554476">
        <w:rPr>
          <w:rFonts w:ascii="Arial" w:hAnsi="Arial" w:cs="Arial"/>
          <w:i/>
          <w:color w:val="000000" w:themeColor="text1"/>
          <w:sz w:val="20"/>
          <w:szCs w:val="20"/>
        </w:rPr>
        <w:t>nivel de atención</w:t>
      </w:r>
      <w:r w:rsidRPr="00554476">
        <w:rPr>
          <w:rFonts w:ascii="Arial" w:hAnsi="Arial" w:cs="Arial"/>
          <w:color w:val="000000" w:themeColor="text1"/>
          <w:sz w:val="20"/>
          <w:szCs w:val="20"/>
        </w:rPr>
        <w:t xml:space="preserve"> esperable de un consumidor medio normalmente informado y razonablemente atento y perspicaz (apdo. 68). El obligado análisis de esos extremos supone que, según el TJUE, no puede concluirse que sea una cláusula “</w:t>
      </w:r>
      <w:r w:rsidRPr="00554476">
        <w:rPr>
          <w:rFonts w:ascii="Arial" w:hAnsi="Arial" w:cs="Arial"/>
          <w:i/>
          <w:color w:val="000000" w:themeColor="text1"/>
          <w:sz w:val="20"/>
          <w:szCs w:val="20"/>
        </w:rPr>
        <w:t>en sí misma transparente</w:t>
      </w:r>
      <w:r w:rsidRPr="00554476">
        <w:rPr>
          <w:rFonts w:ascii="Arial" w:hAnsi="Arial" w:cs="Arial"/>
          <w:color w:val="000000" w:themeColor="text1"/>
          <w:sz w:val="20"/>
          <w:szCs w:val="20"/>
        </w:rPr>
        <w:t>” (apdo. 69).</w:t>
      </w:r>
    </w:p>
    <w:p w14:paraId="6D804FB8"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6E7F496A" w14:textId="4D8339A2" w:rsidR="00B62948" w:rsidRDefault="00B62948" w:rsidP="00554476">
      <w:p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 xml:space="preserve">Como ya se ha expuesto, el Tribunal Supremo confirmó la transparencia material de la cláusula de comisión de apertura sobre la base de los siguientes elementos: </w:t>
      </w:r>
    </w:p>
    <w:p w14:paraId="3E46E43A" w14:textId="77777777" w:rsidR="002D63F5" w:rsidRPr="00554476" w:rsidRDefault="002D63F5" w:rsidP="00554476">
      <w:pPr>
        <w:spacing w:after="0" w:line="360" w:lineRule="auto"/>
        <w:jc w:val="both"/>
        <w:rPr>
          <w:rFonts w:ascii="Arial" w:eastAsia="Arial Narrow" w:hAnsi="Arial" w:cs="Arial"/>
          <w:color w:val="000000" w:themeColor="text1"/>
          <w:sz w:val="20"/>
          <w:szCs w:val="20"/>
        </w:rPr>
      </w:pPr>
    </w:p>
    <w:p w14:paraId="24306637" w14:textId="77777777" w:rsidR="00B62948" w:rsidRPr="00554476" w:rsidRDefault="00B62948" w:rsidP="001618DF">
      <w:pPr>
        <w:pStyle w:val="Prrafodelista"/>
        <w:numPr>
          <w:ilvl w:val="0"/>
          <w:numId w:val="19"/>
        </w:num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Es de “</w:t>
      </w:r>
      <w:r w:rsidRPr="00554476">
        <w:rPr>
          <w:rFonts w:ascii="Arial" w:eastAsia="Arial Narrow" w:hAnsi="Arial" w:cs="Arial"/>
          <w:i/>
          <w:color w:val="000000" w:themeColor="text1"/>
          <w:sz w:val="20"/>
          <w:szCs w:val="20"/>
        </w:rPr>
        <w:t>general conocimiento entre los consumidores</w:t>
      </w:r>
      <w:r w:rsidRPr="00554476">
        <w:rPr>
          <w:rFonts w:ascii="Arial" w:eastAsia="Arial Narrow" w:hAnsi="Arial" w:cs="Arial"/>
          <w:color w:val="000000" w:themeColor="text1"/>
          <w:sz w:val="20"/>
          <w:szCs w:val="20"/>
        </w:rPr>
        <w:t>”.</w:t>
      </w:r>
    </w:p>
    <w:p w14:paraId="6FCE0573" w14:textId="77777777" w:rsidR="00B62948" w:rsidRPr="00554476" w:rsidRDefault="00B62948" w:rsidP="001618DF">
      <w:pPr>
        <w:pStyle w:val="Prrafodelista"/>
        <w:numPr>
          <w:ilvl w:val="0"/>
          <w:numId w:val="19"/>
        </w:num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Es</w:t>
      </w:r>
      <w:r w:rsidRPr="00554476">
        <w:rPr>
          <w:rFonts w:ascii="Arial" w:eastAsia="Arial Narrow" w:hAnsi="Arial" w:cs="Arial"/>
          <w:i/>
          <w:color w:val="000000" w:themeColor="text1"/>
          <w:sz w:val="20"/>
          <w:szCs w:val="20"/>
        </w:rPr>
        <w:t xml:space="preserve"> “uno de los extremos sobre los que la entidad bancaria está obligada a informar</w:t>
      </w:r>
      <w:r w:rsidRPr="00554476">
        <w:rPr>
          <w:rFonts w:ascii="Arial" w:eastAsia="Arial Narrow" w:hAnsi="Arial" w:cs="Arial"/>
          <w:color w:val="000000" w:themeColor="text1"/>
          <w:sz w:val="20"/>
          <w:szCs w:val="20"/>
        </w:rPr>
        <w:t>”.</w:t>
      </w:r>
    </w:p>
    <w:p w14:paraId="4DB3F2D4" w14:textId="77777777" w:rsidR="00B62948" w:rsidRPr="00554476" w:rsidRDefault="00B62948" w:rsidP="001618DF">
      <w:pPr>
        <w:pStyle w:val="Prrafodelista"/>
        <w:numPr>
          <w:ilvl w:val="0"/>
          <w:numId w:val="19"/>
        </w:num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Es “</w:t>
      </w:r>
      <w:r w:rsidRPr="00554476">
        <w:rPr>
          <w:rFonts w:ascii="Arial" w:eastAsia="Arial Narrow" w:hAnsi="Arial" w:cs="Arial"/>
          <w:i/>
          <w:color w:val="000000" w:themeColor="text1"/>
          <w:sz w:val="20"/>
          <w:szCs w:val="20"/>
        </w:rPr>
        <w:t>uno de los extremos sobre los que versa la publicidad de las entidades bancarias</w:t>
      </w:r>
      <w:r w:rsidRPr="00554476">
        <w:rPr>
          <w:rFonts w:ascii="Arial" w:eastAsia="Arial Narrow" w:hAnsi="Arial" w:cs="Arial"/>
          <w:color w:val="000000" w:themeColor="text1"/>
          <w:sz w:val="20"/>
          <w:szCs w:val="20"/>
        </w:rPr>
        <w:t>”.</w:t>
      </w:r>
    </w:p>
    <w:p w14:paraId="0B779825" w14:textId="77777777" w:rsidR="00B62948" w:rsidRPr="00554476" w:rsidRDefault="00B62948" w:rsidP="001618DF">
      <w:pPr>
        <w:pStyle w:val="Prrafodelista"/>
        <w:numPr>
          <w:ilvl w:val="0"/>
          <w:numId w:val="19"/>
        </w:num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Ha de pagarse “</w:t>
      </w:r>
      <w:r w:rsidRPr="00554476">
        <w:rPr>
          <w:rFonts w:ascii="Arial" w:eastAsia="Arial Narrow" w:hAnsi="Arial" w:cs="Arial"/>
          <w:i/>
          <w:color w:val="000000" w:themeColor="text1"/>
          <w:sz w:val="20"/>
          <w:szCs w:val="20"/>
        </w:rPr>
        <w:t>en el momento inicial del préstamo</w:t>
      </w:r>
      <w:r w:rsidRPr="00554476">
        <w:rPr>
          <w:rFonts w:ascii="Arial" w:eastAsia="Arial Narrow" w:hAnsi="Arial" w:cs="Arial"/>
          <w:color w:val="000000" w:themeColor="text1"/>
          <w:sz w:val="20"/>
          <w:szCs w:val="20"/>
        </w:rPr>
        <w:t>”, de modo que el consumidor medio le presta especial atención al contratar.</w:t>
      </w:r>
    </w:p>
    <w:p w14:paraId="061470DA" w14:textId="77777777" w:rsidR="00B62948" w:rsidRPr="00554476" w:rsidRDefault="00B62948" w:rsidP="001618DF">
      <w:pPr>
        <w:pStyle w:val="Prrafodelista"/>
        <w:numPr>
          <w:ilvl w:val="0"/>
          <w:numId w:val="19"/>
        </w:num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Su “</w:t>
      </w:r>
      <w:r w:rsidRPr="00554476">
        <w:rPr>
          <w:rFonts w:ascii="Arial" w:eastAsia="Arial Narrow" w:hAnsi="Arial" w:cs="Arial"/>
          <w:i/>
          <w:color w:val="000000" w:themeColor="text1"/>
          <w:sz w:val="20"/>
          <w:szCs w:val="20"/>
        </w:rPr>
        <w:t>redacción, ubicación y estructura</w:t>
      </w:r>
      <w:r w:rsidRPr="00554476">
        <w:rPr>
          <w:rFonts w:ascii="Arial" w:eastAsia="Arial Narrow" w:hAnsi="Arial" w:cs="Arial"/>
          <w:color w:val="000000" w:themeColor="text1"/>
          <w:sz w:val="20"/>
          <w:szCs w:val="20"/>
        </w:rPr>
        <w:t>” permiten apreciar que “</w:t>
      </w:r>
      <w:r w:rsidRPr="00554476">
        <w:rPr>
          <w:rFonts w:ascii="Arial" w:eastAsia="Arial Narrow" w:hAnsi="Arial" w:cs="Arial"/>
          <w:i/>
          <w:color w:val="000000" w:themeColor="text1"/>
          <w:sz w:val="20"/>
          <w:szCs w:val="20"/>
        </w:rPr>
        <w:t>constituye un elemento esencial del contrato</w:t>
      </w:r>
      <w:r w:rsidRPr="00554476">
        <w:rPr>
          <w:rFonts w:ascii="Arial" w:eastAsia="Arial Narrow" w:hAnsi="Arial" w:cs="Arial"/>
          <w:color w:val="000000" w:themeColor="text1"/>
          <w:sz w:val="20"/>
          <w:szCs w:val="20"/>
        </w:rPr>
        <w:t>”.</w:t>
      </w:r>
    </w:p>
    <w:p w14:paraId="04553039" w14:textId="77777777" w:rsidR="002D63F5" w:rsidRDefault="002D63F5" w:rsidP="00554476">
      <w:pPr>
        <w:spacing w:after="0" w:line="360" w:lineRule="auto"/>
        <w:jc w:val="both"/>
        <w:rPr>
          <w:rFonts w:ascii="Arial" w:eastAsia="Arial Narrow" w:hAnsi="Arial" w:cs="Arial"/>
          <w:color w:val="000000" w:themeColor="text1"/>
          <w:sz w:val="20"/>
          <w:szCs w:val="20"/>
        </w:rPr>
      </w:pPr>
    </w:p>
    <w:p w14:paraId="593A1184" w14:textId="440B6602" w:rsidR="00B62948" w:rsidRPr="00554476" w:rsidRDefault="00B62948" w:rsidP="00554476">
      <w:p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 xml:space="preserve">Pues bien, </w:t>
      </w:r>
      <w:r w:rsidRPr="00554476">
        <w:rPr>
          <w:rFonts w:ascii="Arial" w:eastAsia="Arial Narrow" w:hAnsi="Arial" w:cs="Arial"/>
          <w:b/>
          <w:color w:val="000000" w:themeColor="text1"/>
          <w:sz w:val="20"/>
          <w:szCs w:val="20"/>
        </w:rPr>
        <w:t>estos extremos son coincidentes con los criterios relevantes apuntados por la STJUE de 16 de julio de 2020 al enmarcarse dentro de la publicidad, la información ofrecida por el prestamista y el nivel de atención que puede esperarse de un consumidor medio.</w:t>
      </w:r>
      <w:r w:rsidRPr="00554476">
        <w:rPr>
          <w:rFonts w:ascii="Arial" w:eastAsia="Arial Narrow" w:hAnsi="Arial" w:cs="Arial"/>
          <w:color w:val="000000" w:themeColor="text1"/>
          <w:sz w:val="20"/>
          <w:szCs w:val="20"/>
        </w:rPr>
        <w:t xml:space="preserve"> No podía ser de otro modo, dado que el Tribunal Supremo tuvo en cuenta la jurisprudencia del TJUE a la hora de confirmar el carácter transparente de la cláusula de comisión de apertura.</w:t>
      </w:r>
    </w:p>
    <w:p w14:paraId="23BEE93E" w14:textId="77777777" w:rsidR="00B62948" w:rsidRPr="00554476" w:rsidRDefault="00B62948" w:rsidP="00554476">
      <w:pPr>
        <w:spacing w:after="0" w:line="360" w:lineRule="auto"/>
        <w:jc w:val="both"/>
        <w:rPr>
          <w:rFonts w:ascii="Arial" w:eastAsia="Arial Narrow" w:hAnsi="Arial" w:cs="Arial"/>
          <w:color w:val="000000" w:themeColor="text1"/>
          <w:sz w:val="20"/>
          <w:szCs w:val="20"/>
        </w:rPr>
      </w:pPr>
    </w:p>
    <w:p w14:paraId="6E06C5C3"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La STJUE de 16 de julio de 2020 también menciona que corresponderá al órgano jurisdiccional nacional determinar si la entidad financiera ha comunicado al consumidor los elementos suficientes para que este adquiera conocimiento del contenido y del funcionamiento de la cláusula que le impone el pago de una comisión de apertura, de modo que tenga “</w:t>
      </w:r>
      <w:r w:rsidRPr="00554476">
        <w:rPr>
          <w:rFonts w:ascii="Arial" w:hAnsi="Arial" w:cs="Arial"/>
          <w:i/>
          <w:color w:val="000000" w:themeColor="text1"/>
          <w:sz w:val="20"/>
          <w:szCs w:val="20"/>
        </w:rPr>
        <w:t xml:space="preserve">conocimiento </w:t>
      </w:r>
      <w:r w:rsidRPr="00554476">
        <w:rPr>
          <w:rFonts w:ascii="Arial" w:hAnsi="Arial" w:cs="Arial"/>
          <w:i/>
          <w:color w:val="000000" w:themeColor="text1"/>
          <w:sz w:val="20"/>
          <w:szCs w:val="20"/>
        </w:rPr>
        <w:lastRenderedPageBreak/>
        <w:t>de los motivos que justifican la retribución correspondiente a esta comisión</w:t>
      </w:r>
      <w:r w:rsidRPr="00554476">
        <w:rPr>
          <w:rFonts w:ascii="Arial" w:hAnsi="Arial" w:cs="Arial"/>
          <w:color w:val="000000" w:themeColor="text1"/>
          <w:sz w:val="20"/>
          <w:szCs w:val="20"/>
        </w:rPr>
        <w:t>” (apdo. 70). Este pronunciamiento no es novedoso, ya que estaba contemplado en las Sentencias del TJUE de 26 de febrero de 2015 (</w:t>
      </w:r>
      <w:proofErr w:type="spellStart"/>
      <w:r w:rsidRPr="00554476">
        <w:rPr>
          <w:rFonts w:ascii="Arial" w:hAnsi="Arial" w:cs="Arial"/>
          <w:color w:val="000000" w:themeColor="text1"/>
          <w:sz w:val="20"/>
          <w:szCs w:val="20"/>
        </w:rPr>
        <w:t>Matei</w:t>
      </w:r>
      <w:proofErr w:type="spellEnd"/>
      <w:r w:rsidRPr="00554476">
        <w:rPr>
          <w:rFonts w:ascii="Arial" w:hAnsi="Arial" w:cs="Arial"/>
          <w:color w:val="000000" w:themeColor="text1"/>
          <w:sz w:val="20"/>
          <w:szCs w:val="20"/>
        </w:rPr>
        <w:t xml:space="preserve">, C-143/12, apdo. 77) y de 3 de octubre de 2019 (Kiss, C-621/17, </w:t>
      </w:r>
      <w:proofErr w:type="spellStart"/>
      <w:r w:rsidRPr="00554476">
        <w:rPr>
          <w:rFonts w:ascii="Arial" w:hAnsi="Arial" w:cs="Arial"/>
          <w:color w:val="000000" w:themeColor="text1"/>
          <w:sz w:val="20"/>
          <w:szCs w:val="20"/>
        </w:rPr>
        <w:t>apdos</w:t>
      </w:r>
      <w:proofErr w:type="spellEnd"/>
      <w:r w:rsidRPr="00554476">
        <w:rPr>
          <w:rFonts w:ascii="Arial" w:hAnsi="Arial" w:cs="Arial"/>
          <w:color w:val="000000" w:themeColor="text1"/>
          <w:sz w:val="20"/>
          <w:szCs w:val="20"/>
        </w:rPr>
        <w:t xml:space="preserve">. 40 y 41). </w:t>
      </w:r>
    </w:p>
    <w:p w14:paraId="14DDCCAB" w14:textId="77777777" w:rsidR="00B62948" w:rsidRPr="00554476" w:rsidRDefault="00B62948" w:rsidP="00554476">
      <w:pPr>
        <w:spacing w:after="0" w:line="360" w:lineRule="auto"/>
        <w:jc w:val="both"/>
        <w:rPr>
          <w:rFonts w:ascii="Arial" w:hAnsi="Arial" w:cs="Arial"/>
          <w:color w:val="000000" w:themeColor="text1"/>
          <w:sz w:val="20"/>
          <w:szCs w:val="20"/>
        </w:rPr>
      </w:pPr>
    </w:p>
    <w:p w14:paraId="1C01754B" w14:textId="5152181D" w:rsidR="00B62948"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Esta consideración no altera la conclusión sobre la transparencia de la cláusula de comisión de apertura por dos razones que se exponen a continuación:</w:t>
      </w:r>
    </w:p>
    <w:p w14:paraId="5573E9B3" w14:textId="77777777" w:rsidR="00612776" w:rsidRPr="00554476" w:rsidRDefault="00612776" w:rsidP="00554476">
      <w:pPr>
        <w:spacing w:after="0" w:line="360" w:lineRule="auto"/>
        <w:jc w:val="both"/>
        <w:rPr>
          <w:rFonts w:ascii="Arial" w:hAnsi="Arial" w:cs="Arial"/>
          <w:color w:val="000000" w:themeColor="text1"/>
          <w:sz w:val="20"/>
          <w:szCs w:val="20"/>
        </w:rPr>
      </w:pPr>
    </w:p>
    <w:p w14:paraId="7EFD886C" w14:textId="4F7F311E" w:rsidR="00B62948"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Primero, porque la doctrina de la que parte la STJUE de 16 de julio de 2020 en el ámbito del juicio de transparencia de la cláusula de la comisión de apertura ya estaba vigente al dictarse la STS 44/2019, por lo que el Tribunal Supremo tuvo que adecuarse necesariamente a los postulados del TJUE al declarar su carácter transparente. Y así lo hizo, como se viene explicando.</w:t>
      </w:r>
    </w:p>
    <w:p w14:paraId="5D8C2F54" w14:textId="77777777" w:rsidR="00612776" w:rsidRPr="00554476" w:rsidRDefault="00612776" w:rsidP="00554476">
      <w:pPr>
        <w:spacing w:after="0" w:line="360" w:lineRule="auto"/>
        <w:jc w:val="both"/>
        <w:rPr>
          <w:rFonts w:ascii="Arial" w:hAnsi="Arial" w:cs="Arial"/>
          <w:color w:val="000000" w:themeColor="text1"/>
          <w:sz w:val="20"/>
          <w:szCs w:val="20"/>
        </w:rPr>
      </w:pPr>
    </w:p>
    <w:p w14:paraId="5F6790B1" w14:textId="776468E5" w:rsidR="00B62948"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Y segundo, porque el TJUE, a la hora de analizar una cláusula de comisión de desembolso, concluyó que las exigencias de transparencia no conllevan que la estipulación deba precisar todos los servicios proporcionados como contrapartida de los importes correspondientes, sino que será suficiente con que “</w:t>
      </w:r>
      <w:r w:rsidRPr="00554476">
        <w:rPr>
          <w:rFonts w:ascii="Arial" w:hAnsi="Arial" w:cs="Arial"/>
          <w:i/>
          <w:color w:val="000000" w:themeColor="text1"/>
          <w:sz w:val="20"/>
          <w:szCs w:val="20"/>
        </w:rPr>
        <w:t>la naturaleza de los servicios efectivamente proporcionados</w:t>
      </w:r>
      <w:r w:rsidRPr="00554476">
        <w:rPr>
          <w:rFonts w:ascii="Arial" w:hAnsi="Arial" w:cs="Arial"/>
          <w:color w:val="000000" w:themeColor="text1"/>
          <w:sz w:val="20"/>
          <w:szCs w:val="20"/>
        </w:rPr>
        <w:t xml:space="preserve"> [que no la concreta especificación de los servicios realizados] </w:t>
      </w:r>
      <w:r w:rsidRPr="00554476">
        <w:rPr>
          <w:rFonts w:ascii="Arial" w:hAnsi="Arial" w:cs="Arial"/>
          <w:i/>
          <w:color w:val="000000" w:themeColor="text1"/>
          <w:sz w:val="20"/>
          <w:szCs w:val="20"/>
        </w:rPr>
        <w:t>pueda razonablemente entenderse o deducirse del contrato en su conjunto</w:t>
      </w:r>
      <w:r w:rsidRPr="00554476">
        <w:rPr>
          <w:rFonts w:ascii="Arial" w:hAnsi="Arial" w:cs="Arial"/>
          <w:color w:val="000000" w:themeColor="text1"/>
          <w:sz w:val="20"/>
          <w:szCs w:val="20"/>
        </w:rPr>
        <w:t xml:space="preserve">” (Sentencia de 3 de octubre de 2019, Kiss, C-621/17, apdo. 43). </w:t>
      </w:r>
    </w:p>
    <w:p w14:paraId="62192169" w14:textId="77777777" w:rsidR="00A34478" w:rsidRPr="00554476" w:rsidRDefault="00A34478" w:rsidP="00554476">
      <w:pPr>
        <w:spacing w:after="0" w:line="360" w:lineRule="auto"/>
        <w:jc w:val="both"/>
        <w:rPr>
          <w:rFonts w:ascii="Arial" w:hAnsi="Arial" w:cs="Arial"/>
          <w:color w:val="000000" w:themeColor="text1"/>
          <w:sz w:val="20"/>
          <w:szCs w:val="20"/>
        </w:rPr>
      </w:pPr>
    </w:p>
    <w:p w14:paraId="2326C113" w14:textId="646C9F8F" w:rsidR="00B62948"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Por tanto, </w:t>
      </w:r>
      <w:r w:rsidRPr="00554476">
        <w:rPr>
          <w:rFonts w:ascii="Arial" w:hAnsi="Arial" w:cs="Arial"/>
          <w:b/>
          <w:color w:val="000000" w:themeColor="text1"/>
          <w:sz w:val="20"/>
          <w:szCs w:val="20"/>
        </w:rPr>
        <w:t>el TJUE concluye que no es exigible especificar la clase de servicios llevados a cabo en cada caso concreto que justifican la remuneración consistente en la comisión. Por el contrario, los elementos relevantes para la transparencia de una estipulación de esas características son la determinación con precisión del importe de los gastos de gestión, su método de cálculo y el momento en que deben abonarse</w:t>
      </w:r>
      <w:r w:rsidRPr="00554476">
        <w:rPr>
          <w:rFonts w:ascii="Arial" w:hAnsi="Arial" w:cs="Arial"/>
          <w:color w:val="000000" w:themeColor="text1"/>
          <w:sz w:val="20"/>
          <w:szCs w:val="20"/>
        </w:rPr>
        <w:t xml:space="preserve">. </w:t>
      </w:r>
    </w:p>
    <w:p w14:paraId="36320D7D" w14:textId="77777777" w:rsidR="00612776" w:rsidRPr="00554476" w:rsidRDefault="00612776" w:rsidP="00554476">
      <w:pPr>
        <w:spacing w:after="0" w:line="360" w:lineRule="auto"/>
        <w:jc w:val="both"/>
        <w:rPr>
          <w:rFonts w:ascii="Arial" w:hAnsi="Arial" w:cs="Arial"/>
          <w:color w:val="000000" w:themeColor="text1"/>
          <w:sz w:val="20"/>
          <w:szCs w:val="20"/>
        </w:rPr>
      </w:pPr>
    </w:p>
    <w:p w14:paraId="20C9C986" w14:textId="726DF3AE" w:rsidR="00B62948" w:rsidRDefault="00B62948" w:rsidP="00554476">
      <w:pPr>
        <w:spacing w:after="0" w:line="360" w:lineRule="auto"/>
        <w:jc w:val="both"/>
        <w:rPr>
          <w:rFonts w:ascii="Arial" w:eastAsia="Calibri" w:hAnsi="Arial" w:cs="Arial"/>
          <w:i/>
          <w:color w:val="000000" w:themeColor="text1"/>
          <w:sz w:val="20"/>
          <w:szCs w:val="20"/>
        </w:rPr>
      </w:pPr>
      <w:r w:rsidRPr="00554476">
        <w:rPr>
          <w:rFonts w:ascii="Arial" w:eastAsia="Calibri" w:hAnsi="Arial" w:cs="Arial"/>
          <w:color w:val="000000" w:themeColor="text1"/>
          <w:sz w:val="20"/>
          <w:szCs w:val="20"/>
        </w:rPr>
        <w:t xml:space="preserve">Con esto consideramos incluso la aplicación de la previsión normativa prevista en el artículo 281.4 de la Ley de Enjuiciamiento Civil, según el cual </w:t>
      </w:r>
      <w:r w:rsidRPr="00554476">
        <w:rPr>
          <w:rFonts w:ascii="Arial" w:eastAsia="Calibri" w:hAnsi="Arial" w:cs="Arial"/>
          <w:i/>
          <w:color w:val="000000" w:themeColor="text1"/>
          <w:sz w:val="20"/>
          <w:szCs w:val="20"/>
        </w:rPr>
        <w:t>“No será necesario probar los hechos que gocen de notoriedad absoluta y general.”</w:t>
      </w:r>
    </w:p>
    <w:p w14:paraId="13A2473F" w14:textId="15CEAE47" w:rsidR="00A34478" w:rsidRPr="00554476" w:rsidRDefault="00A34478" w:rsidP="00554476">
      <w:pPr>
        <w:spacing w:after="0" w:line="360" w:lineRule="auto"/>
        <w:jc w:val="both"/>
        <w:rPr>
          <w:rFonts w:ascii="Arial" w:eastAsia="Calibri" w:hAnsi="Arial" w:cs="Arial"/>
          <w:color w:val="000000" w:themeColor="text1"/>
          <w:sz w:val="20"/>
          <w:szCs w:val="20"/>
        </w:rPr>
      </w:pPr>
    </w:p>
    <w:p w14:paraId="06959A22" w14:textId="77777777" w:rsidR="00B62948" w:rsidRPr="00554476" w:rsidRDefault="00B62948" w:rsidP="00554476">
      <w:pPr>
        <w:spacing w:after="0" w:line="360" w:lineRule="auto"/>
        <w:jc w:val="both"/>
        <w:rPr>
          <w:rFonts w:ascii="Arial" w:eastAsia="Calibri" w:hAnsi="Arial" w:cs="Arial"/>
          <w:color w:val="000000" w:themeColor="text1"/>
          <w:sz w:val="20"/>
          <w:szCs w:val="20"/>
        </w:rPr>
      </w:pPr>
      <w:r w:rsidRPr="00554476">
        <w:rPr>
          <w:rFonts w:ascii="Arial" w:eastAsia="Calibri" w:hAnsi="Arial" w:cs="Arial"/>
          <w:color w:val="000000" w:themeColor="text1"/>
          <w:sz w:val="20"/>
          <w:szCs w:val="20"/>
        </w:rPr>
        <w:t xml:space="preserve">En definitiva, </w:t>
      </w:r>
      <w:r w:rsidRPr="00554476">
        <w:rPr>
          <w:rFonts w:ascii="Arial" w:eastAsia="Calibri" w:hAnsi="Arial" w:cs="Arial"/>
          <w:b/>
          <w:color w:val="000000" w:themeColor="text1"/>
          <w:sz w:val="20"/>
          <w:szCs w:val="20"/>
        </w:rPr>
        <w:t>la conclusión de la STS 44/2019 permanece incólume: la cláusula de comisión de apertura es plenamente transparente</w:t>
      </w:r>
      <w:r w:rsidRPr="00554476">
        <w:rPr>
          <w:rFonts w:ascii="Arial" w:eastAsia="Calibri" w:hAnsi="Arial" w:cs="Arial"/>
          <w:color w:val="000000" w:themeColor="text1"/>
          <w:sz w:val="20"/>
          <w:szCs w:val="20"/>
        </w:rPr>
        <w:t>. Ello determina que no sea preciso efectuar su control de contenido en los términos de los arts. 82 y ss. TRLGDCU, en la medida en que las cláusulas definidoras del objeto principal del contrato (como es el caso de la de la comisión de apertura) son válidas si son transparentes.</w:t>
      </w:r>
    </w:p>
    <w:p w14:paraId="3446B9A2"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184C46EF" w14:textId="6340A012" w:rsidR="00B62948" w:rsidRDefault="00B62948" w:rsidP="00554476">
      <w:pPr>
        <w:spacing w:after="0" w:line="360" w:lineRule="auto"/>
        <w:jc w:val="center"/>
        <w:rPr>
          <w:rFonts w:ascii="Arial" w:eastAsia="Calibri" w:hAnsi="Arial" w:cs="Arial"/>
          <w:b/>
          <w:color w:val="000000" w:themeColor="text1"/>
          <w:sz w:val="20"/>
          <w:szCs w:val="20"/>
        </w:rPr>
      </w:pPr>
      <w:r w:rsidRPr="00554476">
        <w:rPr>
          <w:rFonts w:ascii="Arial" w:eastAsia="Calibri" w:hAnsi="Arial" w:cs="Arial"/>
          <w:b/>
          <w:color w:val="000000" w:themeColor="text1"/>
          <w:sz w:val="20"/>
          <w:szCs w:val="20"/>
        </w:rPr>
        <w:t>III</w:t>
      </w:r>
    </w:p>
    <w:p w14:paraId="4149C5B4" w14:textId="77777777" w:rsidR="002D63F5" w:rsidRPr="00554476" w:rsidRDefault="002D63F5" w:rsidP="00554476">
      <w:pPr>
        <w:spacing w:after="0" w:line="360" w:lineRule="auto"/>
        <w:jc w:val="center"/>
        <w:rPr>
          <w:rFonts w:ascii="Arial" w:eastAsia="Calibri" w:hAnsi="Arial" w:cs="Arial"/>
          <w:b/>
          <w:color w:val="000000" w:themeColor="text1"/>
          <w:sz w:val="20"/>
          <w:szCs w:val="20"/>
        </w:rPr>
      </w:pPr>
    </w:p>
    <w:p w14:paraId="309B0B48" w14:textId="3718CD1D" w:rsidR="002D63F5" w:rsidRPr="00554476" w:rsidRDefault="00B62948" w:rsidP="00554476">
      <w:p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lastRenderedPageBreak/>
        <w:t xml:space="preserve">Para el hipotético caso de que la cláusula no fuera considerada transparente, habría de examinarse en todo caso si puede reputarse abusiva, ya que </w:t>
      </w:r>
      <w:r w:rsidRPr="00554476">
        <w:rPr>
          <w:rFonts w:ascii="Arial" w:eastAsia="Arial Narrow" w:hAnsi="Arial" w:cs="Arial"/>
          <w:color w:val="000000" w:themeColor="text1"/>
          <w:sz w:val="20"/>
          <w:szCs w:val="20"/>
          <w:u w:val="single"/>
        </w:rPr>
        <w:t xml:space="preserve">la falta de transparencia de una cláusula que define el objeto principal o un elemento esencial del contrato no comporta directamente su </w:t>
      </w:r>
      <w:proofErr w:type="spellStart"/>
      <w:r w:rsidRPr="00554476">
        <w:rPr>
          <w:rFonts w:ascii="Arial" w:eastAsia="Arial Narrow" w:hAnsi="Arial" w:cs="Arial"/>
          <w:color w:val="000000" w:themeColor="text1"/>
          <w:sz w:val="20"/>
          <w:szCs w:val="20"/>
          <w:u w:val="single"/>
        </w:rPr>
        <w:t>abusividad</w:t>
      </w:r>
      <w:proofErr w:type="spellEnd"/>
      <w:r w:rsidRPr="00554476">
        <w:rPr>
          <w:rFonts w:ascii="Arial" w:eastAsia="Arial Narrow" w:hAnsi="Arial" w:cs="Arial"/>
          <w:color w:val="000000" w:themeColor="text1"/>
          <w:sz w:val="20"/>
          <w:szCs w:val="20"/>
          <w:u w:val="single"/>
        </w:rPr>
        <w:t xml:space="preserve">, sino que abre la puerta al control de </w:t>
      </w:r>
      <w:proofErr w:type="spellStart"/>
      <w:r w:rsidRPr="00554476">
        <w:rPr>
          <w:rFonts w:ascii="Arial" w:eastAsia="Arial Narrow" w:hAnsi="Arial" w:cs="Arial"/>
          <w:color w:val="000000" w:themeColor="text1"/>
          <w:sz w:val="20"/>
          <w:szCs w:val="20"/>
          <w:u w:val="single"/>
        </w:rPr>
        <w:t>abusividad</w:t>
      </w:r>
      <w:proofErr w:type="spellEnd"/>
      <w:r w:rsidRPr="00554476">
        <w:rPr>
          <w:rFonts w:ascii="Arial" w:eastAsia="Arial Narrow" w:hAnsi="Arial" w:cs="Arial"/>
          <w:color w:val="000000" w:themeColor="text1"/>
          <w:sz w:val="20"/>
          <w:szCs w:val="20"/>
          <w:u w:val="single"/>
        </w:rPr>
        <w:t xml:space="preserve"> de esa estipulación en los términos de los arts. 3.1 de la Directiva 93/13 y 82 TRLGDCU</w:t>
      </w:r>
      <w:r w:rsidRPr="00554476">
        <w:rPr>
          <w:rFonts w:ascii="Arial" w:eastAsia="Arial Narrow" w:hAnsi="Arial" w:cs="Arial"/>
          <w:color w:val="000000" w:themeColor="text1"/>
          <w:sz w:val="20"/>
          <w:szCs w:val="20"/>
        </w:rPr>
        <w:t xml:space="preserve"> (Sentencias del TJUE Sentencias de 30 de abril de 2014, </w:t>
      </w:r>
      <w:proofErr w:type="spellStart"/>
      <w:r w:rsidRPr="00554476">
        <w:rPr>
          <w:rFonts w:ascii="Arial" w:eastAsia="Arial Narrow" w:hAnsi="Arial" w:cs="Arial"/>
          <w:color w:val="000000" w:themeColor="text1"/>
          <w:sz w:val="20"/>
          <w:szCs w:val="20"/>
        </w:rPr>
        <w:t>Kásler</w:t>
      </w:r>
      <w:proofErr w:type="spellEnd"/>
      <w:r w:rsidRPr="00554476">
        <w:rPr>
          <w:rFonts w:ascii="Arial" w:eastAsia="Arial Narrow" w:hAnsi="Arial" w:cs="Arial"/>
          <w:color w:val="000000" w:themeColor="text1"/>
          <w:sz w:val="20"/>
          <w:szCs w:val="20"/>
        </w:rPr>
        <w:t xml:space="preserve">; 26 de febrero de 2015, </w:t>
      </w:r>
      <w:proofErr w:type="spellStart"/>
      <w:r w:rsidRPr="00554476">
        <w:rPr>
          <w:rFonts w:ascii="Arial" w:eastAsia="Arial Narrow" w:hAnsi="Arial" w:cs="Arial"/>
          <w:color w:val="000000" w:themeColor="text1"/>
          <w:sz w:val="20"/>
          <w:szCs w:val="20"/>
        </w:rPr>
        <w:t>Matei</w:t>
      </w:r>
      <w:proofErr w:type="spellEnd"/>
      <w:r w:rsidRPr="00554476">
        <w:rPr>
          <w:rFonts w:ascii="Arial" w:eastAsia="Arial Narrow" w:hAnsi="Arial" w:cs="Arial"/>
          <w:color w:val="000000" w:themeColor="text1"/>
          <w:sz w:val="20"/>
          <w:szCs w:val="20"/>
        </w:rPr>
        <w:t xml:space="preserve">; 26 de enero de 2017, Banco Primus; 20 de septiembre de 2017, </w:t>
      </w:r>
      <w:proofErr w:type="spellStart"/>
      <w:r w:rsidRPr="00554476">
        <w:rPr>
          <w:rFonts w:ascii="Arial" w:eastAsia="Arial Narrow" w:hAnsi="Arial" w:cs="Arial"/>
          <w:color w:val="000000" w:themeColor="text1"/>
          <w:sz w:val="20"/>
          <w:szCs w:val="20"/>
        </w:rPr>
        <w:t>Andriciuc</w:t>
      </w:r>
      <w:proofErr w:type="spellEnd"/>
      <w:r w:rsidRPr="00554476">
        <w:rPr>
          <w:rFonts w:ascii="Arial" w:eastAsia="Arial Narrow" w:hAnsi="Arial" w:cs="Arial"/>
          <w:color w:val="000000" w:themeColor="text1"/>
          <w:sz w:val="20"/>
          <w:szCs w:val="20"/>
        </w:rPr>
        <w:t xml:space="preserve">; 14 de marzo de 2019, </w:t>
      </w:r>
      <w:proofErr w:type="spellStart"/>
      <w:r w:rsidRPr="00554476">
        <w:rPr>
          <w:rFonts w:ascii="Arial" w:eastAsia="Arial Narrow" w:hAnsi="Arial" w:cs="Arial"/>
          <w:color w:val="000000" w:themeColor="text1"/>
          <w:sz w:val="20"/>
          <w:szCs w:val="20"/>
        </w:rPr>
        <w:t>Dunai</w:t>
      </w:r>
      <w:proofErr w:type="spellEnd"/>
      <w:r w:rsidRPr="00554476">
        <w:rPr>
          <w:rFonts w:ascii="Arial" w:eastAsia="Arial Narrow" w:hAnsi="Arial" w:cs="Arial"/>
          <w:color w:val="000000" w:themeColor="text1"/>
          <w:sz w:val="20"/>
          <w:szCs w:val="20"/>
        </w:rPr>
        <w:t xml:space="preserve">; y 5 de junio de 2019, GT; Sentencias 538/2019, de 11 de octubre y 121/2020, de 24 de febrero, del Tribunal Supremo). Con toda claridad lo ha confirmado el </w:t>
      </w:r>
      <w:r w:rsidRPr="00554476">
        <w:rPr>
          <w:rFonts w:ascii="Arial" w:eastAsia="Arial Narrow" w:hAnsi="Arial" w:cs="Arial"/>
          <w:b/>
          <w:color w:val="000000" w:themeColor="text1"/>
          <w:sz w:val="20"/>
          <w:szCs w:val="20"/>
          <w:u w:val="single"/>
        </w:rPr>
        <w:t>Tribunal Supremo, con cita de la doctrina del TJUE, en la reciente Sentencia núm. 408/2020, de 7 de julio</w:t>
      </w:r>
      <w:r w:rsidRPr="00554476">
        <w:rPr>
          <w:rFonts w:ascii="Arial" w:eastAsia="Arial Narrow" w:hAnsi="Arial" w:cs="Arial"/>
          <w:color w:val="000000" w:themeColor="text1"/>
          <w:sz w:val="20"/>
          <w:szCs w:val="20"/>
        </w:rPr>
        <w:t>: “</w:t>
      </w:r>
      <w:r w:rsidRPr="00554476">
        <w:rPr>
          <w:rFonts w:ascii="Arial" w:eastAsia="Arial Narrow" w:hAnsi="Arial" w:cs="Arial"/>
          <w:i/>
          <w:color w:val="000000" w:themeColor="text1"/>
          <w:sz w:val="20"/>
          <w:szCs w:val="20"/>
        </w:rPr>
        <w:t xml:space="preserve">la parte demandante confunde transparencia y </w:t>
      </w:r>
      <w:proofErr w:type="spellStart"/>
      <w:r w:rsidRPr="00554476">
        <w:rPr>
          <w:rFonts w:ascii="Arial" w:eastAsia="Arial Narrow" w:hAnsi="Arial" w:cs="Arial"/>
          <w:i/>
          <w:color w:val="000000" w:themeColor="text1"/>
          <w:sz w:val="20"/>
          <w:szCs w:val="20"/>
        </w:rPr>
        <w:t>abusividad</w:t>
      </w:r>
      <w:proofErr w:type="spellEnd"/>
      <w:r w:rsidRPr="00554476">
        <w:rPr>
          <w:rFonts w:ascii="Arial" w:eastAsia="Arial Narrow" w:hAnsi="Arial" w:cs="Arial"/>
          <w:i/>
          <w:color w:val="000000" w:themeColor="text1"/>
          <w:sz w:val="20"/>
          <w:szCs w:val="20"/>
        </w:rPr>
        <w:t xml:space="preserve">, pues </w:t>
      </w:r>
      <w:r w:rsidRPr="00554476">
        <w:rPr>
          <w:rFonts w:ascii="Arial" w:eastAsia="Arial Narrow" w:hAnsi="Arial" w:cs="Arial"/>
          <w:b/>
          <w:i/>
          <w:color w:val="000000" w:themeColor="text1"/>
          <w:sz w:val="20"/>
          <w:szCs w:val="20"/>
        </w:rPr>
        <w:t xml:space="preserve">la falta de transparencia es la antesala del control de </w:t>
      </w:r>
      <w:proofErr w:type="spellStart"/>
      <w:r w:rsidRPr="00554476">
        <w:rPr>
          <w:rFonts w:ascii="Arial" w:eastAsia="Arial Narrow" w:hAnsi="Arial" w:cs="Arial"/>
          <w:b/>
          <w:i/>
          <w:color w:val="000000" w:themeColor="text1"/>
          <w:sz w:val="20"/>
          <w:szCs w:val="20"/>
        </w:rPr>
        <w:t>abusividad</w:t>
      </w:r>
      <w:proofErr w:type="spellEnd"/>
      <w:r w:rsidRPr="00554476">
        <w:rPr>
          <w:rFonts w:ascii="Arial" w:eastAsia="Arial Narrow" w:hAnsi="Arial" w:cs="Arial"/>
          <w:b/>
          <w:i/>
          <w:color w:val="000000" w:themeColor="text1"/>
          <w:sz w:val="20"/>
          <w:szCs w:val="20"/>
        </w:rPr>
        <w:t xml:space="preserve"> respecto de los elementos esenciales del contrato</w:t>
      </w:r>
      <w:r w:rsidRPr="00554476">
        <w:rPr>
          <w:rFonts w:ascii="Arial" w:eastAsia="Arial Narrow" w:hAnsi="Arial" w:cs="Arial"/>
          <w:i/>
          <w:color w:val="000000" w:themeColor="text1"/>
          <w:sz w:val="20"/>
          <w:szCs w:val="20"/>
        </w:rPr>
        <w:t xml:space="preserve"> -precio y prestación- </w:t>
      </w:r>
      <w:r w:rsidRPr="00554476">
        <w:rPr>
          <w:rFonts w:ascii="Arial" w:eastAsia="Arial Narrow" w:hAnsi="Arial" w:cs="Arial"/>
          <w:color w:val="000000" w:themeColor="text1"/>
          <w:sz w:val="20"/>
          <w:szCs w:val="20"/>
        </w:rPr>
        <w:t>(...) [e]</w:t>
      </w:r>
      <w:r w:rsidRPr="00554476">
        <w:rPr>
          <w:rFonts w:ascii="Arial" w:eastAsia="Arial Narrow" w:hAnsi="Arial" w:cs="Arial"/>
          <w:i/>
          <w:color w:val="000000" w:themeColor="text1"/>
          <w:sz w:val="20"/>
          <w:szCs w:val="20"/>
        </w:rPr>
        <w:t xml:space="preserve">s decir, en tales casos, la declaración de falta de transparencia sería condición necesaria, pero no suficiente, para la apreciación de la </w:t>
      </w:r>
      <w:proofErr w:type="spellStart"/>
      <w:r w:rsidRPr="00554476">
        <w:rPr>
          <w:rFonts w:ascii="Arial" w:eastAsia="Arial Narrow" w:hAnsi="Arial" w:cs="Arial"/>
          <w:i/>
          <w:color w:val="000000" w:themeColor="text1"/>
          <w:sz w:val="20"/>
          <w:szCs w:val="20"/>
        </w:rPr>
        <w:t>abusividad</w:t>
      </w:r>
      <w:proofErr w:type="spellEnd"/>
      <w:r w:rsidRPr="00554476">
        <w:rPr>
          <w:rFonts w:ascii="Arial" w:eastAsia="Arial Narrow" w:hAnsi="Arial" w:cs="Arial"/>
          <w:color w:val="000000" w:themeColor="text1"/>
          <w:sz w:val="20"/>
          <w:szCs w:val="20"/>
        </w:rPr>
        <w:t>”.</w:t>
      </w:r>
    </w:p>
    <w:p w14:paraId="4CE70563" w14:textId="77777777" w:rsidR="00B62948" w:rsidRPr="00554476" w:rsidRDefault="00B62948" w:rsidP="00554476">
      <w:pPr>
        <w:spacing w:after="0" w:line="360" w:lineRule="auto"/>
        <w:jc w:val="both"/>
        <w:rPr>
          <w:rFonts w:ascii="Arial" w:eastAsia="Arial Narrow" w:hAnsi="Arial" w:cs="Arial"/>
          <w:color w:val="000000" w:themeColor="text1"/>
          <w:sz w:val="20"/>
          <w:szCs w:val="20"/>
        </w:rPr>
      </w:pPr>
      <w:r w:rsidRPr="00554476">
        <w:rPr>
          <w:rFonts w:ascii="Arial" w:eastAsia="Arial Narrow" w:hAnsi="Arial" w:cs="Arial"/>
          <w:color w:val="000000" w:themeColor="text1"/>
          <w:sz w:val="20"/>
          <w:szCs w:val="20"/>
        </w:rPr>
        <w:t xml:space="preserve">En cuanto a este control de </w:t>
      </w:r>
      <w:proofErr w:type="spellStart"/>
      <w:r w:rsidRPr="00554476">
        <w:rPr>
          <w:rFonts w:ascii="Arial" w:eastAsia="Arial Narrow" w:hAnsi="Arial" w:cs="Arial"/>
          <w:color w:val="000000" w:themeColor="text1"/>
          <w:sz w:val="20"/>
          <w:szCs w:val="20"/>
        </w:rPr>
        <w:t>abusividad</w:t>
      </w:r>
      <w:proofErr w:type="spellEnd"/>
      <w:r w:rsidRPr="00554476">
        <w:rPr>
          <w:rFonts w:ascii="Arial" w:eastAsia="Arial Narrow" w:hAnsi="Arial" w:cs="Arial"/>
          <w:color w:val="000000" w:themeColor="text1"/>
          <w:sz w:val="20"/>
          <w:szCs w:val="20"/>
        </w:rPr>
        <w:t xml:space="preserve"> o de contenido, la </w:t>
      </w:r>
      <w:r w:rsidRPr="00554476">
        <w:rPr>
          <w:rFonts w:ascii="Arial" w:eastAsia="Arial Narrow" w:hAnsi="Arial" w:cs="Arial"/>
          <w:color w:val="000000" w:themeColor="text1"/>
          <w:sz w:val="20"/>
          <w:szCs w:val="20"/>
          <w:u w:val="single"/>
        </w:rPr>
        <w:t xml:space="preserve">STJUE de 16 de julio de 2020 </w:t>
      </w:r>
      <w:r w:rsidRPr="00554476">
        <w:rPr>
          <w:rFonts w:ascii="Arial" w:eastAsia="Arial Narrow" w:hAnsi="Arial" w:cs="Arial"/>
          <w:color w:val="000000" w:themeColor="text1"/>
          <w:sz w:val="20"/>
          <w:szCs w:val="20"/>
        </w:rPr>
        <w:t>ha establecido las siguientes pautas:</w:t>
      </w:r>
    </w:p>
    <w:p w14:paraId="55C6781C" w14:textId="77777777" w:rsidR="00B62948" w:rsidRPr="00554476" w:rsidRDefault="00B62948" w:rsidP="00554476">
      <w:pPr>
        <w:spacing w:after="0" w:line="360" w:lineRule="auto"/>
        <w:jc w:val="both"/>
        <w:rPr>
          <w:rFonts w:ascii="Arial" w:eastAsia="Arial Narrow" w:hAnsi="Arial" w:cs="Arial"/>
          <w:color w:val="000000" w:themeColor="text1"/>
          <w:sz w:val="20"/>
          <w:szCs w:val="20"/>
        </w:rPr>
      </w:pPr>
    </w:p>
    <w:p w14:paraId="39FABF83" w14:textId="3443673A" w:rsidR="00B62948" w:rsidRDefault="00612776" w:rsidP="00554476">
      <w:pPr>
        <w:spacing w:after="0" w:line="360" w:lineRule="auto"/>
        <w:jc w:val="both"/>
        <w:rPr>
          <w:rFonts w:ascii="Arial" w:hAnsi="Arial" w:cs="Arial"/>
          <w:color w:val="000000" w:themeColor="text1"/>
          <w:sz w:val="20"/>
          <w:szCs w:val="20"/>
        </w:rPr>
      </w:pPr>
      <w:r>
        <w:rPr>
          <w:rFonts w:ascii="Arial" w:hAnsi="Arial" w:cs="Arial"/>
          <w:color w:val="000000" w:themeColor="text1"/>
          <w:sz w:val="20"/>
          <w:szCs w:val="20"/>
        </w:rPr>
        <w:t xml:space="preserve">En primer lugar, </w:t>
      </w:r>
      <w:r w:rsidR="00B62948" w:rsidRPr="00554476">
        <w:rPr>
          <w:rFonts w:ascii="Arial" w:hAnsi="Arial" w:cs="Arial"/>
          <w:color w:val="000000" w:themeColor="text1"/>
          <w:sz w:val="20"/>
          <w:szCs w:val="20"/>
        </w:rPr>
        <w:t xml:space="preserve">interesa destacar que la referida sentencia sigue la línea de la STS 44/2019 al rechazar el examen de la proporcionalidad entre el importe de la comisión de apertura y el coste de la realización de las actuaciones que justifican su retribución, en la medida en que la apreciación del carácter abusivo no puede residir en la adecuación entre el importe de la contrapartida o del precio y el servicio prestado a cambio por el prestamista, tal y como impone el art. 4.2 de la Directiva 93/13. </w:t>
      </w:r>
    </w:p>
    <w:p w14:paraId="365B8EE4" w14:textId="77777777" w:rsidR="002D63F5" w:rsidRPr="00554476" w:rsidRDefault="002D63F5" w:rsidP="00554476">
      <w:pPr>
        <w:spacing w:after="0" w:line="360" w:lineRule="auto"/>
        <w:jc w:val="both"/>
        <w:rPr>
          <w:rFonts w:ascii="Arial" w:hAnsi="Arial" w:cs="Arial"/>
          <w:color w:val="000000" w:themeColor="text1"/>
          <w:sz w:val="20"/>
          <w:szCs w:val="20"/>
        </w:rPr>
      </w:pPr>
    </w:p>
    <w:p w14:paraId="6391C94C"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En efecto, y como se ha dicho, el Tribunal Supremo ya dictaminó en aquella Sentencia 44/2019 que “</w:t>
      </w:r>
      <w:r w:rsidRPr="00554476">
        <w:rPr>
          <w:rFonts w:ascii="Arial" w:hAnsi="Arial" w:cs="Arial"/>
          <w:i/>
          <w:color w:val="000000" w:themeColor="text1"/>
          <w:sz w:val="20"/>
          <w:szCs w:val="20"/>
        </w:rPr>
        <w:t>no es tampoco aceptable el argumento relativo a la falta de prueba de la proporcionalidad entre el importe de la comisión de apertura y el coste que para la entidad financiera supone la realización de las actuaciones iniciales de la concesión del préstamo</w:t>
      </w:r>
      <w:r w:rsidRPr="00554476">
        <w:rPr>
          <w:rFonts w:ascii="Arial" w:hAnsi="Arial" w:cs="Arial"/>
          <w:color w:val="000000" w:themeColor="text1"/>
          <w:sz w:val="20"/>
          <w:szCs w:val="20"/>
        </w:rPr>
        <w:t>”, lo que supone “</w:t>
      </w:r>
      <w:r w:rsidRPr="00554476">
        <w:rPr>
          <w:rFonts w:ascii="Arial" w:hAnsi="Arial" w:cs="Arial"/>
          <w:i/>
          <w:color w:val="000000" w:themeColor="text1"/>
          <w:sz w:val="20"/>
          <w:szCs w:val="20"/>
        </w:rPr>
        <w:t>un control de precios excluido por el art. 4.2 de la Directiva 93/13</w:t>
      </w:r>
      <w:r w:rsidRPr="00554476">
        <w:rPr>
          <w:rFonts w:ascii="Arial" w:hAnsi="Arial" w:cs="Arial"/>
          <w:color w:val="000000" w:themeColor="text1"/>
          <w:sz w:val="20"/>
          <w:szCs w:val="20"/>
        </w:rPr>
        <w:t>”.</w:t>
      </w:r>
    </w:p>
    <w:p w14:paraId="6AE4581A" w14:textId="77777777" w:rsidR="00B62948" w:rsidRPr="00554476" w:rsidRDefault="00B62948" w:rsidP="00554476">
      <w:pPr>
        <w:spacing w:after="0" w:line="360" w:lineRule="auto"/>
        <w:jc w:val="both"/>
        <w:rPr>
          <w:rFonts w:ascii="Arial" w:hAnsi="Arial" w:cs="Arial"/>
          <w:color w:val="000000" w:themeColor="text1"/>
          <w:sz w:val="20"/>
          <w:szCs w:val="20"/>
        </w:rPr>
      </w:pPr>
    </w:p>
    <w:p w14:paraId="5514C213"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Por tanto, </w:t>
      </w:r>
      <w:r w:rsidRPr="00554476">
        <w:rPr>
          <w:rFonts w:ascii="Arial" w:hAnsi="Arial" w:cs="Arial"/>
          <w:b/>
          <w:color w:val="000000" w:themeColor="text1"/>
          <w:sz w:val="20"/>
          <w:szCs w:val="20"/>
        </w:rPr>
        <w:t xml:space="preserve">la cláusula de comisión de apertura </w:t>
      </w:r>
      <w:r w:rsidRPr="00554476">
        <w:rPr>
          <w:rFonts w:ascii="Arial" w:hAnsi="Arial" w:cs="Arial"/>
          <w:b/>
          <w:color w:val="000000" w:themeColor="text1"/>
          <w:sz w:val="20"/>
          <w:szCs w:val="20"/>
          <w:u w:val="single"/>
        </w:rPr>
        <w:t>no</w:t>
      </w:r>
      <w:r w:rsidRPr="00554476">
        <w:rPr>
          <w:rFonts w:ascii="Arial" w:hAnsi="Arial" w:cs="Arial"/>
          <w:b/>
          <w:color w:val="000000" w:themeColor="text1"/>
          <w:sz w:val="20"/>
          <w:szCs w:val="20"/>
        </w:rPr>
        <w:t xml:space="preserve"> puede apreciarse abusiva porque el importe de la comisión se considere elevado o desproporcionado en relación con los servicios que retribuye</w:t>
      </w:r>
      <w:r w:rsidRPr="00554476">
        <w:rPr>
          <w:rFonts w:ascii="Arial" w:hAnsi="Arial" w:cs="Arial"/>
          <w:color w:val="000000" w:themeColor="text1"/>
          <w:sz w:val="20"/>
          <w:szCs w:val="20"/>
        </w:rPr>
        <w:t xml:space="preserve">. Como se desprende de la STJUE de 16 de julio de 2020, esta exclusión opera con independencia de que se considere o no que la cláusula de comisión de apertura forma parte del objeto principal del contrato. </w:t>
      </w:r>
    </w:p>
    <w:p w14:paraId="18662AA5"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227ECA52"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En segundo lugar, el TJUE sitúa el criterio relevante de </w:t>
      </w:r>
      <w:proofErr w:type="spellStart"/>
      <w:r w:rsidRPr="00554476">
        <w:rPr>
          <w:rFonts w:ascii="Arial" w:hAnsi="Arial" w:cs="Arial"/>
          <w:color w:val="000000" w:themeColor="text1"/>
          <w:sz w:val="20"/>
          <w:szCs w:val="20"/>
        </w:rPr>
        <w:t>abusividad</w:t>
      </w:r>
      <w:proofErr w:type="spellEnd"/>
      <w:r w:rsidRPr="00554476">
        <w:rPr>
          <w:rFonts w:ascii="Arial" w:hAnsi="Arial" w:cs="Arial"/>
          <w:color w:val="000000" w:themeColor="text1"/>
          <w:sz w:val="20"/>
          <w:szCs w:val="20"/>
        </w:rPr>
        <w:t xml:space="preserve">, con base en la Ley 2/2009, en la demostración de que la comisión responde a servicios efectivamente prestados. De este modo, el TJUE se refiere a la regla general aplicable a las comisiones y gastos consistente en </w:t>
      </w:r>
      <w:r w:rsidRPr="00554476">
        <w:rPr>
          <w:rFonts w:ascii="Arial" w:hAnsi="Arial" w:cs="Arial"/>
          <w:color w:val="000000" w:themeColor="text1"/>
          <w:sz w:val="20"/>
          <w:szCs w:val="20"/>
        </w:rPr>
        <w:lastRenderedPageBreak/>
        <w:t xml:space="preserve">que deben responder a servicios efectivamente prestados o gastos habidos (art. 5.1 de la Ley 2/2009). </w:t>
      </w:r>
    </w:p>
    <w:p w14:paraId="75245F1D" w14:textId="77777777" w:rsidR="00B62948" w:rsidRPr="00554476" w:rsidRDefault="00B62948" w:rsidP="00554476">
      <w:pPr>
        <w:spacing w:after="0" w:line="360" w:lineRule="auto"/>
        <w:jc w:val="both"/>
        <w:rPr>
          <w:rFonts w:ascii="Arial" w:hAnsi="Arial" w:cs="Arial"/>
          <w:color w:val="000000" w:themeColor="text1"/>
          <w:sz w:val="20"/>
          <w:szCs w:val="20"/>
        </w:rPr>
      </w:pPr>
    </w:p>
    <w:p w14:paraId="0F61C5A3"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Ahora bien, ese mismo precepto contemplaba </w:t>
      </w:r>
      <w:r w:rsidRPr="00554476">
        <w:rPr>
          <w:rFonts w:ascii="Arial" w:hAnsi="Arial" w:cs="Arial"/>
          <w:b/>
          <w:color w:val="000000" w:themeColor="text1"/>
          <w:sz w:val="20"/>
          <w:szCs w:val="20"/>
        </w:rPr>
        <w:t>una previsión específica sobre la comisión de apertura, en la que, como se ha visto, se define como la que engloba los gastos de estudio, de concesión o tramitación del préstamo o crédito hipotecario u otros similares inherentes a la actividad de la empresa ocasionada por la concesión del préstamo o crédito</w:t>
      </w:r>
      <w:r w:rsidRPr="00554476">
        <w:rPr>
          <w:rFonts w:ascii="Arial" w:hAnsi="Arial" w:cs="Arial"/>
          <w:color w:val="000000" w:themeColor="text1"/>
          <w:sz w:val="20"/>
          <w:szCs w:val="20"/>
        </w:rPr>
        <w:t xml:space="preserve"> (antiguo art. 5.2 b) de la Ley 2/2009; actualmente art. 14.4 de la Ley 5/2019).</w:t>
      </w:r>
    </w:p>
    <w:p w14:paraId="34E7B97C" w14:textId="77777777" w:rsidR="00B62948" w:rsidRPr="00554476" w:rsidRDefault="00B62948" w:rsidP="00554476">
      <w:pPr>
        <w:spacing w:after="0" w:line="360" w:lineRule="auto"/>
        <w:jc w:val="both"/>
        <w:rPr>
          <w:rFonts w:ascii="Arial" w:hAnsi="Arial" w:cs="Arial"/>
          <w:color w:val="000000" w:themeColor="text1"/>
          <w:sz w:val="20"/>
          <w:szCs w:val="20"/>
        </w:rPr>
      </w:pPr>
    </w:p>
    <w:p w14:paraId="38C39786"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 xml:space="preserve">Por tanto, la propia norma confirma la realidad de las actuaciones previas a toda concesión de préstamo que son objeto de remuneración por medio de la comisión de apertura. </w:t>
      </w:r>
    </w:p>
    <w:p w14:paraId="4298C27A" w14:textId="77777777" w:rsidR="00B62948" w:rsidRPr="00554476" w:rsidRDefault="00B62948" w:rsidP="00554476">
      <w:pPr>
        <w:spacing w:after="0" w:line="360" w:lineRule="auto"/>
        <w:jc w:val="both"/>
        <w:rPr>
          <w:rFonts w:ascii="Arial" w:hAnsi="Arial" w:cs="Arial"/>
          <w:color w:val="000000" w:themeColor="text1"/>
          <w:sz w:val="20"/>
          <w:szCs w:val="20"/>
        </w:rPr>
      </w:pPr>
    </w:p>
    <w:p w14:paraId="79699124"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Por ese motivo, la STS 44/2019 consideró acreditada la efectiva realización de las actividades previas a la concesión del préstamo, que son distintas del servicio que supone la disposición del dinero y que, a su vez, justifican que la normativa bancaria contemple la posibilidad de establecer la comisión de apertura.</w:t>
      </w:r>
    </w:p>
    <w:p w14:paraId="61F21593" w14:textId="77777777" w:rsidR="00B62948" w:rsidRPr="00554476" w:rsidRDefault="00B62948" w:rsidP="00554476">
      <w:pPr>
        <w:spacing w:after="0" w:line="360" w:lineRule="auto"/>
        <w:jc w:val="both"/>
        <w:rPr>
          <w:rFonts w:ascii="Arial" w:hAnsi="Arial" w:cs="Arial"/>
          <w:color w:val="000000" w:themeColor="text1"/>
          <w:sz w:val="20"/>
          <w:szCs w:val="20"/>
        </w:rPr>
      </w:pPr>
    </w:p>
    <w:p w14:paraId="1F32A037" w14:textId="77777777" w:rsidR="00B62948" w:rsidRPr="00554476" w:rsidRDefault="00B62948" w:rsidP="00554476">
      <w:pPr>
        <w:spacing w:after="0" w:line="360" w:lineRule="auto"/>
        <w:jc w:val="both"/>
        <w:rPr>
          <w:rFonts w:ascii="Arial" w:hAnsi="Arial" w:cs="Arial"/>
          <w:color w:val="000000" w:themeColor="text1"/>
          <w:sz w:val="20"/>
          <w:szCs w:val="20"/>
        </w:rPr>
      </w:pPr>
      <w:r w:rsidRPr="00554476">
        <w:rPr>
          <w:rFonts w:ascii="Arial" w:hAnsi="Arial" w:cs="Arial"/>
          <w:color w:val="000000" w:themeColor="text1"/>
          <w:sz w:val="20"/>
          <w:szCs w:val="20"/>
        </w:rPr>
        <w:t>De este modo, la STS 44/2019 no dispensó de la prueba de esas actuaciones, sino que, al contrario, las consideró acreditadas porque el legislador asume su realidad y efectiva realización (precisamente en la misma norma citada por el TJUE) y derivan de la misma concesión del préstamo en aplicación de ese régimen legal o, dicho en términos del Tribunal Supremo, son actuaciones “</w:t>
      </w:r>
      <w:r w:rsidRPr="00554476">
        <w:rPr>
          <w:rFonts w:ascii="Arial" w:hAnsi="Arial" w:cs="Arial"/>
          <w:i/>
          <w:color w:val="000000" w:themeColor="text1"/>
          <w:sz w:val="20"/>
          <w:szCs w:val="20"/>
        </w:rPr>
        <w:t>imprescindibles para la concesión del préstamo</w:t>
      </w:r>
      <w:r w:rsidRPr="00554476">
        <w:rPr>
          <w:rFonts w:ascii="Arial" w:hAnsi="Arial" w:cs="Arial"/>
          <w:color w:val="000000" w:themeColor="text1"/>
          <w:sz w:val="20"/>
          <w:szCs w:val="20"/>
        </w:rPr>
        <w:t>”.</w:t>
      </w:r>
    </w:p>
    <w:p w14:paraId="74392276" w14:textId="77777777" w:rsidR="00B62948" w:rsidRPr="00554476" w:rsidRDefault="00B62948" w:rsidP="00554476">
      <w:pPr>
        <w:spacing w:after="0" w:line="360" w:lineRule="auto"/>
        <w:jc w:val="both"/>
        <w:rPr>
          <w:rFonts w:ascii="Arial" w:hAnsi="Arial" w:cs="Arial"/>
          <w:color w:val="000000" w:themeColor="text1"/>
          <w:sz w:val="20"/>
          <w:szCs w:val="20"/>
        </w:rPr>
      </w:pPr>
    </w:p>
    <w:p w14:paraId="4EEC09D1" w14:textId="77777777" w:rsidR="00B62948" w:rsidRPr="00554476" w:rsidRDefault="00B62948" w:rsidP="00554476">
      <w:pPr>
        <w:spacing w:after="0" w:line="360" w:lineRule="auto"/>
        <w:jc w:val="both"/>
        <w:rPr>
          <w:rFonts w:ascii="Arial" w:eastAsia="Calibri" w:hAnsi="Arial" w:cs="Arial"/>
          <w:b/>
          <w:color w:val="000000" w:themeColor="text1"/>
          <w:sz w:val="20"/>
          <w:szCs w:val="20"/>
        </w:rPr>
      </w:pPr>
      <w:r w:rsidRPr="00554476">
        <w:rPr>
          <w:rFonts w:ascii="Arial" w:eastAsia="Calibri" w:hAnsi="Arial" w:cs="Arial"/>
          <w:color w:val="000000" w:themeColor="text1"/>
          <w:sz w:val="20"/>
          <w:szCs w:val="20"/>
        </w:rPr>
        <w:t xml:space="preserve">Así pues, </w:t>
      </w:r>
      <w:r w:rsidRPr="00554476">
        <w:rPr>
          <w:rFonts w:ascii="Arial" w:eastAsia="Calibri" w:hAnsi="Arial" w:cs="Arial"/>
          <w:b/>
          <w:color w:val="000000" w:themeColor="text1"/>
          <w:sz w:val="20"/>
          <w:szCs w:val="20"/>
        </w:rPr>
        <w:t>esta última conclusión tampoco se ve alterada por la STJUE de 16 de julio de 2020, en la medida en que sus postulados solo impiden eximir al profesional de la prueba de la realidad de las actuaciones realizadas, sin que ello impida que esa prueba resida en el carácter consustancial de esas actividades previas a la concesión de todo préstamo y, en particular, en la configuración legal de la comisión de apertura que asume la realización de esas actuaciones.</w:t>
      </w:r>
    </w:p>
    <w:p w14:paraId="504187FE"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7D0AF8C8" w14:textId="77777777" w:rsidR="00B62948" w:rsidRPr="00554476" w:rsidRDefault="00B62948" w:rsidP="00554476">
      <w:pPr>
        <w:spacing w:after="0" w:line="360" w:lineRule="auto"/>
        <w:jc w:val="center"/>
        <w:rPr>
          <w:rFonts w:ascii="Arial" w:eastAsia="Calibri" w:hAnsi="Arial" w:cs="Arial"/>
          <w:b/>
          <w:bCs/>
          <w:color w:val="000000" w:themeColor="text1"/>
          <w:sz w:val="20"/>
          <w:szCs w:val="20"/>
        </w:rPr>
      </w:pPr>
      <w:r w:rsidRPr="00554476">
        <w:rPr>
          <w:rFonts w:ascii="Arial" w:eastAsia="Calibri" w:hAnsi="Arial" w:cs="Arial"/>
          <w:b/>
          <w:bCs/>
          <w:color w:val="000000" w:themeColor="text1"/>
          <w:sz w:val="20"/>
          <w:szCs w:val="20"/>
        </w:rPr>
        <w:t>IV</w:t>
      </w:r>
    </w:p>
    <w:p w14:paraId="28F704DF"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2782AE5D" w14:textId="77777777" w:rsidR="00B62948" w:rsidRPr="00554476" w:rsidRDefault="00B62948" w:rsidP="00554476">
      <w:pPr>
        <w:spacing w:after="0" w:line="360" w:lineRule="auto"/>
        <w:jc w:val="both"/>
        <w:rPr>
          <w:rFonts w:ascii="Arial" w:eastAsia="Calibri" w:hAnsi="Arial" w:cs="Arial"/>
          <w:color w:val="000000" w:themeColor="text1"/>
          <w:sz w:val="20"/>
          <w:szCs w:val="20"/>
          <w:lang w:val="es-ES_tradnl"/>
        </w:rPr>
      </w:pPr>
      <w:r w:rsidRPr="00554476">
        <w:rPr>
          <w:rFonts w:ascii="Arial" w:eastAsia="Calibri" w:hAnsi="Arial" w:cs="Arial"/>
          <w:color w:val="000000" w:themeColor="text1"/>
          <w:sz w:val="20"/>
          <w:szCs w:val="20"/>
          <w:lang w:val="es-ES_tradnl"/>
        </w:rPr>
        <w:t xml:space="preserve">Afirmar que la comisión de apertura es, como tal, y obviando su magnitud, abusiva, equivale a afirmar que la normativa que incorpora la posibilidad de cobrar dicha comisión, y que es reiterada desde hace casi 30 años, está dando carta de naturaleza a la existencia de una cláusula abusiva en la contratación bancaria. </w:t>
      </w:r>
    </w:p>
    <w:p w14:paraId="5B67E6F9"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3C14B958" w14:textId="77777777" w:rsidR="00B62948" w:rsidRPr="00554476" w:rsidRDefault="00B62948" w:rsidP="00554476">
      <w:pPr>
        <w:spacing w:after="0" w:line="360" w:lineRule="auto"/>
        <w:jc w:val="both"/>
        <w:rPr>
          <w:rFonts w:ascii="Arial" w:eastAsia="Calibri" w:hAnsi="Arial" w:cs="Arial"/>
          <w:color w:val="000000" w:themeColor="text1"/>
          <w:sz w:val="20"/>
          <w:szCs w:val="20"/>
          <w:lang w:val="es-ES_tradnl"/>
        </w:rPr>
      </w:pPr>
      <w:r w:rsidRPr="00554476">
        <w:rPr>
          <w:rFonts w:ascii="Arial" w:eastAsia="Calibri" w:hAnsi="Arial" w:cs="Arial"/>
          <w:color w:val="000000" w:themeColor="text1"/>
          <w:sz w:val="20"/>
          <w:szCs w:val="20"/>
          <w:lang w:val="es-ES_tradnl"/>
        </w:rPr>
        <w:t xml:space="preserve">Tal posibilidad es imposible, no sólo porque sería contrario a toda lógica, sino porque la propia normativa reguladora de las cláusulas abusivas lo impide, y así lo han venido a corroborar, </w:t>
      </w:r>
      <w:r w:rsidRPr="00554476">
        <w:rPr>
          <w:rFonts w:ascii="Arial" w:eastAsia="Calibri" w:hAnsi="Arial" w:cs="Arial"/>
          <w:color w:val="000000" w:themeColor="text1"/>
          <w:sz w:val="20"/>
          <w:szCs w:val="20"/>
          <w:lang w:val="es-ES_tradnl"/>
        </w:rPr>
        <w:lastRenderedPageBreak/>
        <w:t>también, tanto nuestro Tribunal Supremo como el Tribunal Superior de Justicia de la Unión Europea en las sentencias anteriormente analizadas.</w:t>
      </w:r>
    </w:p>
    <w:p w14:paraId="02174B7A"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52B72704" w14:textId="77777777" w:rsidR="00B62948" w:rsidRPr="00554476" w:rsidRDefault="00B62948" w:rsidP="00554476">
      <w:pPr>
        <w:spacing w:after="0" w:line="360" w:lineRule="auto"/>
        <w:jc w:val="both"/>
        <w:rPr>
          <w:rFonts w:ascii="Arial" w:eastAsia="Calibri" w:hAnsi="Arial" w:cs="Arial"/>
          <w:color w:val="000000" w:themeColor="text1"/>
          <w:sz w:val="20"/>
          <w:szCs w:val="20"/>
          <w:lang w:val="es-ES_tradnl"/>
        </w:rPr>
      </w:pPr>
      <w:r w:rsidRPr="00554476">
        <w:rPr>
          <w:rFonts w:ascii="Arial" w:eastAsia="Calibri" w:hAnsi="Arial" w:cs="Arial"/>
          <w:color w:val="000000" w:themeColor="text1"/>
          <w:sz w:val="20"/>
          <w:szCs w:val="20"/>
          <w:lang w:val="es-ES_tradnl"/>
        </w:rPr>
        <w:t xml:space="preserve">En efecto, el art. 1.2 de la Directiva 93/13/CEE del Consejo, de 5 de abril, sobre las cláusulas abusivas en los contratos celebrados con consumidores (en adelante, la </w:t>
      </w:r>
      <w:r w:rsidRPr="00554476">
        <w:rPr>
          <w:rFonts w:ascii="Arial" w:eastAsia="Calibri" w:hAnsi="Arial" w:cs="Arial"/>
          <w:b/>
          <w:color w:val="000000" w:themeColor="text1"/>
          <w:sz w:val="20"/>
          <w:szCs w:val="20"/>
          <w:lang w:val="es-ES_tradnl"/>
        </w:rPr>
        <w:t>“Directiva 93/13”</w:t>
      </w:r>
      <w:r w:rsidRPr="00554476">
        <w:rPr>
          <w:rFonts w:ascii="Arial" w:eastAsia="Calibri" w:hAnsi="Arial" w:cs="Arial"/>
          <w:color w:val="000000" w:themeColor="text1"/>
          <w:sz w:val="20"/>
          <w:szCs w:val="20"/>
          <w:lang w:val="es-ES_tradnl"/>
        </w:rPr>
        <w:t xml:space="preserve">) </w:t>
      </w:r>
      <w:r w:rsidRPr="00554476">
        <w:rPr>
          <w:rFonts w:ascii="Arial" w:eastAsia="Calibri" w:hAnsi="Arial" w:cs="Arial"/>
          <w:b/>
          <w:color w:val="000000" w:themeColor="text1"/>
          <w:sz w:val="20"/>
          <w:szCs w:val="20"/>
          <w:lang w:val="es-ES_tradnl"/>
        </w:rPr>
        <w:t>considera que un derecho previsto en una disposición legal o reglamentaria no puede caer en tamaña contradicción</w:t>
      </w:r>
      <w:r w:rsidRPr="00554476">
        <w:rPr>
          <w:rFonts w:ascii="Arial" w:eastAsia="Calibri" w:hAnsi="Arial" w:cs="Arial"/>
          <w:color w:val="000000" w:themeColor="text1"/>
          <w:sz w:val="20"/>
          <w:szCs w:val="20"/>
          <w:lang w:val="es-ES_tradnl"/>
        </w:rPr>
        <w:t>, porque, como dice en sus Considerandos:</w:t>
      </w:r>
    </w:p>
    <w:p w14:paraId="576097ED" w14:textId="77777777" w:rsidR="00B62948" w:rsidRPr="00554476" w:rsidRDefault="00B62948" w:rsidP="00554476">
      <w:pPr>
        <w:spacing w:after="0" w:line="360" w:lineRule="auto"/>
        <w:jc w:val="both"/>
        <w:rPr>
          <w:rFonts w:ascii="Arial" w:eastAsia="Calibri" w:hAnsi="Arial" w:cs="Arial"/>
          <w:color w:val="000000" w:themeColor="text1"/>
          <w:sz w:val="20"/>
          <w:szCs w:val="20"/>
        </w:rPr>
      </w:pPr>
    </w:p>
    <w:p w14:paraId="2FB136EA"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“se supone que las disposiciones legales o reglamentarias de los Estados miembros por las que se fijan, directa o indirectamente, las cláusulas de los contratos celebrados con los consumidores no contienen cláusulas abusivas; que por consiguiente, no resulta necesario someter a las disposiciones de la presente Directiva las cláusulas que reflejan las disposiciones legales o reglamentarias imperativas”</w:t>
      </w:r>
    </w:p>
    <w:p w14:paraId="3C94845A" w14:textId="77777777" w:rsidR="00B62948" w:rsidRPr="00554476" w:rsidRDefault="00B62948" w:rsidP="00554476">
      <w:pPr>
        <w:spacing w:after="0" w:line="360" w:lineRule="auto"/>
        <w:jc w:val="both"/>
        <w:rPr>
          <w:rFonts w:ascii="Arial" w:eastAsia="Calibri" w:hAnsi="Arial" w:cs="Arial"/>
          <w:b/>
          <w:sz w:val="20"/>
          <w:szCs w:val="20"/>
        </w:rPr>
      </w:pPr>
    </w:p>
    <w:p w14:paraId="28A64644" w14:textId="77777777" w:rsidR="00B62948" w:rsidRPr="00554476" w:rsidRDefault="00B62948" w:rsidP="00554476">
      <w:pPr>
        <w:spacing w:after="0" w:line="360" w:lineRule="auto"/>
        <w:jc w:val="both"/>
        <w:rPr>
          <w:rFonts w:ascii="Arial" w:eastAsia="Calibri" w:hAnsi="Arial" w:cs="Arial"/>
          <w:b/>
          <w:sz w:val="20"/>
          <w:szCs w:val="20"/>
          <w:lang w:val="es-ES_tradnl"/>
        </w:rPr>
      </w:pPr>
      <w:r w:rsidRPr="00554476">
        <w:rPr>
          <w:rFonts w:ascii="Arial" w:eastAsia="Calibri" w:hAnsi="Arial" w:cs="Arial"/>
          <w:sz w:val="20"/>
          <w:szCs w:val="20"/>
          <w:lang w:val="es-ES_tradnl"/>
        </w:rPr>
        <w:t xml:space="preserve">En idéntico sentido, el artículo 4 de la LCGC, en su párrafo segundo, establece que: </w:t>
      </w:r>
    </w:p>
    <w:p w14:paraId="0DE262D1" w14:textId="77777777" w:rsidR="00B62948" w:rsidRPr="00554476" w:rsidRDefault="00B62948" w:rsidP="00554476">
      <w:pPr>
        <w:spacing w:after="0" w:line="360" w:lineRule="auto"/>
        <w:jc w:val="both"/>
        <w:rPr>
          <w:rFonts w:ascii="Arial" w:eastAsia="Calibri" w:hAnsi="Arial" w:cs="Arial"/>
          <w:b/>
          <w:sz w:val="20"/>
          <w:szCs w:val="20"/>
        </w:rPr>
      </w:pPr>
    </w:p>
    <w:p w14:paraId="40F5A3AC" w14:textId="77777777" w:rsidR="00B62948" w:rsidRPr="00554476" w:rsidRDefault="00B62948" w:rsidP="00554476">
      <w:pPr>
        <w:spacing w:after="0" w:line="360" w:lineRule="auto"/>
        <w:ind w:left="567"/>
        <w:jc w:val="both"/>
        <w:rPr>
          <w:rFonts w:ascii="Arial" w:eastAsia="Calibri" w:hAnsi="Arial" w:cs="Arial"/>
          <w:b/>
          <w:i/>
          <w:sz w:val="20"/>
          <w:szCs w:val="20"/>
        </w:rPr>
      </w:pPr>
      <w:r w:rsidRPr="00554476">
        <w:rPr>
          <w:rFonts w:ascii="Arial" w:eastAsia="Calibri" w:hAnsi="Arial" w:cs="Arial"/>
          <w:i/>
          <w:sz w:val="20"/>
          <w:szCs w:val="20"/>
        </w:rPr>
        <w:t xml:space="preserve">“Tampoco será de aplicación esta Ley a las condiciones generales que reflejen las disposiciones o los principios de los Convenios internacionales en que el Reino de España sea parte, </w:t>
      </w:r>
      <w:r w:rsidRPr="00554476">
        <w:rPr>
          <w:rFonts w:ascii="Arial" w:eastAsia="Calibri" w:hAnsi="Arial" w:cs="Arial"/>
          <w:b/>
          <w:i/>
          <w:sz w:val="20"/>
          <w:szCs w:val="20"/>
        </w:rPr>
        <w:t>ni las que vengan reguladas específicamente por una disposición legal o administrativa de carácter general y que sean de aplicación obligatoria para los contratante</w:t>
      </w:r>
      <w:r w:rsidRPr="00554476">
        <w:rPr>
          <w:rFonts w:ascii="Arial" w:eastAsia="Calibri" w:hAnsi="Arial" w:cs="Arial"/>
          <w:i/>
          <w:sz w:val="20"/>
          <w:szCs w:val="20"/>
        </w:rPr>
        <w:t xml:space="preserve">s.” </w:t>
      </w:r>
    </w:p>
    <w:p w14:paraId="2A94DCB8" w14:textId="77777777" w:rsidR="00B62948" w:rsidRPr="00554476" w:rsidRDefault="00B62948" w:rsidP="00554476">
      <w:pPr>
        <w:spacing w:after="0" w:line="360" w:lineRule="auto"/>
        <w:jc w:val="both"/>
        <w:rPr>
          <w:rFonts w:ascii="Arial" w:eastAsia="Calibri" w:hAnsi="Arial" w:cs="Arial"/>
          <w:b/>
          <w:sz w:val="20"/>
          <w:szCs w:val="20"/>
        </w:rPr>
      </w:pPr>
    </w:p>
    <w:p w14:paraId="2BE45384" w14:textId="77777777" w:rsidR="00B62948" w:rsidRPr="00554476" w:rsidRDefault="00B62948" w:rsidP="00554476">
      <w:pPr>
        <w:spacing w:after="0" w:line="360" w:lineRule="auto"/>
        <w:jc w:val="both"/>
        <w:rPr>
          <w:rFonts w:ascii="Arial" w:eastAsia="Calibri" w:hAnsi="Arial" w:cs="Arial"/>
          <w:b/>
          <w:sz w:val="20"/>
          <w:szCs w:val="20"/>
          <w:lang w:val="es-ES_tradnl"/>
        </w:rPr>
      </w:pPr>
      <w:r w:rsidRPr="00554476">
        <w:rPr>
          <w:rFonts w:ascii="Arial" w:eastAsia="Calibri" w:hAnsi="Arial" w:cs="Arial"/>
          <w:sz w:val="20"/>
          <w:szCs w:val="20"/>
          <w:lang w:val="es-ES_tradnl"/>
        </w:rPr>
        <w:t>La normativa bancaria descrita en los primeros epígrafes de este escrito es, toda ella, “</w:t>
      </w:r>
      <w:r w:rsidRPr="00554476">
        <w:rPr>
          <w:rFonts w:ascii="Arial" w:eastAsia="Calibri" w:hAnsi="Arial" w:cs="Arial"/>
          <w:i/>
          <w:sz w:val="20"/>
          <w:szCs w:val="20"/>
          <w:lang w:val="es-ES_tradnl"/>
        </w:rPr>
        <w:t>disposición administrativa de carácter general</w:t>
      </w:r>
      <w:r w:rsidRPr="00554476">
        <w:rPr>
          <w:rFonts w:ascii="Arial" w:eastAsia="Calibri" w:hAnsi="Arial" w:cs="Arial"/>
          <w:sz w:val="20"/>
          <w:szCs w:val="20"/>
          <w:lang w:val="es-ES_tradnl"/>
        </w:rPr>
        <w:t>” o “</w:t>
      </w:r>
      <w:r w:rsidRPr="00554476">
        <w:rPr>
          <w:rFonts w:ascii="Arial" w:eastAsia="Calibri" w:hAnsi="Arial" w:cs="Arial"/>
          <w:i/>
          <w:sz w:val="20"/>
          <w:szCs w:val="20"/>
          <w:lang w:val="es-ES_tradnl"/>
        </w:rPr>
        <w:t>reglamento</w:t>
      </w:r>
      <w:r w:rsidRPr="00554476">
        <w:rPr>
          <w:rFonts w:ascii="Arial" w:eastAsia="Calibri" w:hAnsi="Arial" w:cs="Arial"/>
          <w:sz w:val="20"/>
          <w:szCs w:val="20"/>
          <w:lang w:val="es-ES_tradnl"/>
        </w:rPr>
        <w:t xml:space="preserve">” (conceptos sinónimos en nuestro Derecho Administrativo), que regula, en desarrollo o ejecución, primero de la Ley 26/1988, de 29 de julio, de Disciplina e Intervención de las Entidades de Crédito,  y más tarde de la LOSSEC, determinados requisitos relacionados con la adecuada información y protección de quienes concierten préstamos hipotecarios con entidades de crédito. </w:t>
      </w:r>
    </w:p>
    <w:p w14:paraId="7164AC2B" w14:textId="77777777" w:rsidR="00B62948" w:rsidRPr="00554476" w:rsidRDefault="00B62948" w:rsidP="00554476">
      <w:pPr>
        <w:spacing w:after="0" w:line="360" w:lineRule="auto"/>
        <w:jc w:val="both"/>
        <w:rPr>
          <w:rFonts w:ascii="Arial" w:eastAsia="Calibri" w:hAnsi="Arial" w:cs="Arial"/>
          <w:b/>
          <w:sz w:val="20"/>
          <w:szCs w:val="20"/>
        </w:rPr>
      </w:pPr>
    </w:p>
    <w:p w14:paraId="3E2DD6D2"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Como tal disposición de carácter general emitida en desarrollo de las leyes que han regulado la actividad bancaria en España, es de aplicación obligatoria a las entidades de crédito y a los consumidores que contraten con éstas préstamos con garantía hipotecaria en España.</w:t>
      </w:r>
    </w:p>
    <w:p w14:paraId="7F971106" w14:textId="77777777" w:rsidR="00B62948" w:rsidRPr="00554476" w:rsidRDefault="00B62948" w:rsidP="00554476">
      <w:pPr>
        <w:spacing w:after="0" w:line="360" w:lineRule="auto"/>
        <w:jc w:val="both"/>
        <w:rPr>
          <w:rFonts w:ascii="Arial" w:eastAsia="Calibri" w:hAnsi="Arial" w:cs="Arial"/>
          <w:sz w:val="20"/>
          <w:szCs w:val="20"/>
        </w:rPr>
      </w:pPr>
    </w:p>
    <w:p w14:paraId="6175121B"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La cláusula relativa a la comisión de apertura cuya nulidad se solicita en este proceso puede formar parte de contratos de préstamo hipotecario a los que debe aplicarse obligatoriamente la normativa bancaria porque esa misma normativa lo establece así imperativamente. </w:t>
      </w:r>
      <w:r w:rsidRPr="00554476">
        <w:rPr>
          <w:rFonts w:ascii="Arial" w:eastAsia="Calibri" w:hAnsi="Arial" w:cs="Arial"/>
          <w:b/>
          <w:sz w:val="20"/>
          <w:szCs w:val="20"/>
          <w:lang w:val="es-ES_tradnl"/>
        </w:rPr>
        <w:t>No es que dicha normativa establezca la obligación de incluir una comisión de apertura en la contratación hipotecaria; lo que establece dicha normativa de forma imperativa es el derecho, la posibilidad, la legalidad de que se pueda establecer dicha comisión.</w:t>
      </w:r>
      <w:r w:rsidRPr="00554476">
        <w:rPr>
          <w:rFonts w:ascii="Arial" w:eastAsia="Calibri" w:hAnsi="Arial" w:cs="Arial"/>
          <w:sz w:val="20"/>
          <w:szCs w:val="20"/>
          <w:lang w:val="es-ES_tradnl"/>
        </w:rPr>
        <w:t xml:space="preserve"> </w:t>
      </w:r>
    </w:p>
    <w:p w14:paraId="63448A9F" w14:textId="77777777" w:rsidR="00B62948" w:rsidRPr="00554476" w:rsidRDefault="00B62948" w:rsidP="00554476">
      <w:pPr>
        <w:spacing w:after="0" w:line="360" w:lineRule="auto"/>
        <w:jc w:val="both"/>
        <w:rPr>
          <w:rFonts w:ascii="Arial" w:eastAsia="Calibri" w:hAnsi="Arial" w:cs="Arial"/>
          <w:sz w:val="20"/>
          <w:szCs w:val="20"/>
        </w:rPr>
      </w:pPr>
    </w:p>
    <w:p w14:paraId="5786D66B"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lastRenderedPageBreak/>
        <w:t xml:space="preserve">Por esta razón, no se puede valorar la </w:t>
      </w:r>
      <w:proofErr w:type="spellStart"/>
      <w:r w:rsidRPr="00554476">
        <w:rPr>
          <w:rFonts w:ascii="Arial" w:eastAsia="Calibri" w:hAnsi="Arial" w:cs="Arial"/>
          <w:sz w:val="20"/>
          <w:szCs w:val="20"/>
          <w:lang w:val="es-ES_tradnl"/>
        </w:rPr>
        <w:t>abusividad</w:t>
      </w:r>
      <w:proofErr w:type="spellEnd"/>
      <w:r w:rsidRPr="00554476">
        <w:rPr>
          <w:rFonts w:ascii="Arial" w:eastAsia="Calibri" w:hAnsi="Arial" w:cs="Arial"/>
          <w:sz w:val="20"/>
          <w:szCs w:val="20"/>
          <w:lang w:val="es-ES_tradnl"/>
        </w:rPr>
        <w:t xml:space="preserve"> de dicha cláusula por su mera incorporación a un contrato, porque ello equivaldría a valorar la </w:t>
      </w:r>
      <w:proofErr w:type="spellStart"/>
      <w:r w:rsidRPr="00554476">
        <w:rPr>
          <w:rFonts w:ascii="Arial" w:eastAsia="Calibri" w:hAnsi="Arial" w:cs="Arial"/>
          <w:sz w:val="20"/>
          <w:szCs w:val="20"/>
          <w:lang w:val="es-ES_tradnl"/>
        </w:rPr>
        <w:t>abusividad</w:t>
      </w:r>
      <w:proofErr w:type="spellEnd"/>
      <w:r w:rsidRPr="00554476">
        <w:rPr>
          <w:rFonts w:ascii="Arial" w:eastAsia="Calibri" w:hAnsi="Arial" w:cs="Arial"/>
          <w:sz w:val="20"/>
          <w:szCs w:val="20"/>
          <w:lang w:val="es-ES_tradnl"/>
        </w:rPr>
        <w:t xml:space="preserve"> de normas generales que permiten su establecimiento y cobro, y ni la Directiva 93/13 ni la LCGCU ni el sentido común permiten tal contrasentido.</w:t>
      </w:r>
    </w:p>
    <w:p w14:paraId="6ADCACD9"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2EDFE2D7" w14:textId="77777777" w:rsidR="00B62948" w:rsidRPr="00554476" w:rsidRDefault="00B62948" w:rsidP="00554476">
      <w:pPr>
        <w:spacing w:after="0" w:line="360" w:lineRule="auto"/>
        <w:jc w:val="center"/>
        <w:rPr>
          <w:rFonts w:ascii="Arial" w:eastAsia="Calibri" w:hAnsi="Arial" w:cs="Arial"/>
          <w:b/>
          <w:sz w:val="20"/>
          <w:szCs w:val="20"/>
          <w:lang w:val="es-ES_tradnl"/>
        </w:rPr>
      </w:pPr>
      <w:r w:rsidRPr="00554476">
        <w:rPr>
          <w:rFonts w:ascii="Arial" w:eastAsia="Calibri" w:hAnsi="Arial" w:cs="Arial"/>
          <w:b/>
          <w:sz w:val="20"/>
          <w:szCs w:val="20"/>
          <w:lang w:val="es-ES_tradnl"/>
        </w:rPr>
        <w:t>V</w:t>
      </w:r>
    </w:p>
    <w:p w14:paraId="5E0E1C0F"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5E575000"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Para poder valorar, más allá de cualquier grado de subjetividad, la existencia o no de una serie de servicios o costes previos a la contratación de un préstamo hipotecario dignos de retribución o compensación, es preciso tener en cuenta la legislación especial, es decir, la normativa reguladora de la actividad bancaria, y en especial aquélla que se centra en las obligaciones de transparencia a las que está sujeta la actuación de las entidades financieras frente a sus clientes.</w:t>
      </w:r>
    </w:p>
    <w:p w14:paraId="56A5070F" w14:textId="77777777" w:rsidR="00B62948" w:rsidRPr="00554476" w:rsidRDefault="00B62948" w:rsidP="00554476">
      <w:pPr>
        <w:spacing w:after="0" w:line="360" w:lineRule="auto"/>
        <w:jc w:val="both"/>
        <w:rPr>
          <w:rFonts w:ascii="Arial" w:eastAsia="Calibri" w:hAnsi="Arial" w:cs="Arial"/>
          <w:sz w:val="20"/>
          <w:szCs w:val="20"/>
        </w:rPr>
      </w:pPr>
    </w:p>
    <w:p w14:paraId="140CBC58"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Señalar, de un lado, que el establecimiento de las comisiones litigiosas es conforme con lo previsto en la </w:t>
      </w:r>
      <w:r w:rsidRPr="00554476">
        <w:rPr>
          <w:rFonts w:ascii="Arial" w:eastAsia="Calibri" w:hAnsi="Arial" w:cs="Arial"/>
          <w:b/>
          <w:sz w:val="20"/>
          <w:szCs w:val="20"/>
          <w:u w:val="single"/>
        </w:rPr>
        <w:t>Orden Ministerial de 12 de diciembre de 1989</w:t>
      </w:r>
      <w:r w:rsidRPr="00554476">
        <w:rPr>
          <w:rFonts w:ascii="Arial" w:eastAsia="Calibri" w:hAnsi="Arial" w:cs="Arial"/>
          <w:sz w:val="20"/>
          <w:szCs w:val="20"/>
        </w:rPr>
        <w:t>, sobre tipos de interés y comisiones, normas de actuación, información a clientes y publicidad de las Entidades de crédito, que en su capítulo I, referido al tipo de interés, comisiones y obligaciones de información, regula las comisiones en el siguiente sentido:</w:t>
      </w:r>
    </w:p>
    <w:p w14:paraId="47A2330A" w14:textId="77777777" w:rsidR="00B62948" w:rsidRPr="00554476" w:rsidRDefault="00B62948" w:rsidP="00554476">
      <w:pPr>
        <w:spacing w:after="0" w:line="360" w:lineRule="auto"/>
        <w:jc w:val="both"/>
        <w:rPr>
          <w:rFonts w:ascii="Arial" w:eastAsia="Calibri" w:hAnsi="Arial" w:cs="Arial"/>
          <w:sz w:val="20"/>
          <w:szCs w:val="20"/>
        </w:rPr>
      </w:pPr>
    </w:p>
    <w:p w14:paraId="348CF3E1" w14:textId="77777777" w:rsidR="00B62948" w:rsidRPr="00554476" w:rsidRDefault="00B62948" w:rsidP="00554476">
      <w:pPr>
        <w:spacing w:after="0" w:line="360" w:lineRule="auto"/>
        <w:ind w:left="708"/>
        <w:jc w:val="both"/>
        <w:rPr>
          <w:rFonts w:ascii="Arial" w:eastAsia="Calibri" w:hAnsi="Arial" w:cs="Arial"/>
          <w:i/>
          <w:sz w:val="20"/>
          <w:szCs w:val="20"/>
        </w:rPr>
      </w:pPr>
      <w:r w:rsidRPr="00554476">
        <w:rPr>
          <w:rFonts w:ascii="Arial" w:eastAsia="Calibri" w:hAnsi="Arial" w:cs="Arial"/>
          <w:i/>
          <w:sz w:val="20"/>
          <w:szCs w:val="20"/>
        </w:rPr>
        <w:t>“Quinto.</w:t>
      </w:r>
    </w:p>
    <w:p w14:paraId="1E74D223" w14:textId="77777777" w:rsidR="00B62948" w:rsidRPr="00554476" w:rsidRDefault="00B62948" w:rsidP="00554476">
      <w:pPr>
        <w:spacing w:after="0" w:line="360" w:lineRule="auto"/>
        <w:ind w:left="708"/>
        <w:jc w:val="both"/>
        <w:rPr>
          <w:rFonts w:ascii="Arial" w:eastAsia="Calibri" w:hAnsi="Arial" w:cs="Arial"/>
          <w:i/>
          <w:sz w:val="20"/>
          <w:szCs w:val="20"/>
        </w:rPr>
      </w:pPr>
      <w:r w:rsidRPr="00554476">
        <w:rPr>
          <w:rFonts w:ascii="Arial" w:eastAsia="Calibri" w:hAnsi="Arial" w:cs="Arial"/>
          <w:i/>
          <w:sz w:val="20"/>
          <w:szCs w:val="20"/>
        </w:rPr>
        <w:t>Las comisiones por operaciones o servicios prestados por las Entidades de crédito serán las que éstas fijen libremente.</w:t>
      </w:r>
    </w:p>
    <w:p w14:paraId="02AE4290" w14:textId="77777777" w:rsidR="00B62948" w:rsidRPr="00554476" w:rsidRDefault="00B62948" w:rsidP="00554476">
      <w:pPr>
        <w:spacing w:after="0" w:line="360" w:lineRule="auto"/>
        <w:ind w:left="708"/>
        <w:jc w:val="both"/>
        <w:rPr>
          <w:rFonts w:ascii="Arial" w:eastAsia="Calibri" w:hAnsi="Arial" w:cs="Arial"/>
          <w:i/>
          <w:sz w:val="20"/>
          <w:szCs w:val="20"/>
        </w:rPr>
      </w:pPr>
    </w:p>
    <w:p w14:paraId="723C4A7A" w14:textId="77777777" w:rsidR="00B62948" w:rsidRPr="00554476" w:rsidRDefault="00B62948" w:rsidP="00554476">
      <w:pPr>
        <w:spacing w:after="0" w:line="360" w:lineRule="auto"/>
        <w:ind w:left="708"/>
        <w:jc w:val="both"/>
        <w:rPr>
          <w:rFonts w:ascii="Arial" w:eastAsia="Calibri" w:hAnsi="Arial" w:cs="Arial"/>
          <w:i/>
          <w:sz w:val="20"/>
          <w:szCs w:val="20"/>
        </w:rPr>
      </w:pPr>
      <w:r w:rsidRPr="00554476">
        <w:rPr>
          <w:rFonts w:ascii="Arial" w:eastAsia="Calibri" w:hAnsi="Arial" w:cs="Arial"/>
          <w:i/>
          <w:sz w:val="20"/>
          <w:szCs w:val="20"/>
        </w:rPr>
        <w:t>No obstante, las Entidades de crédito establecerán y harán públicas, previo registro en el Banco de España, unas tarifas de comisiones y gastos repercutibles con indicación de los supuestos y, en su caso, periodicidad, con que serán aplicables, no pudiendo cargar tipos o cantidades superiores a los contenidos en las mismas o conceptos no mencionados en ellas. Tales tarifas podrán excluir las comisiones derivadas de servicios financieros de carácter excepcional o singular, y, en los supuestos que el Banco de España determine, de aquellos otros en los que intervenga apreciablemente el riesgo.</w:t>
      </w:r>
    </w:p>
    <w:p w14:paraId="0E02250F" w14:textId="77777777" w:rsidR="00B62948" w:rsidRPr="00554476" w:rsidRDefault="00B62948" w:rsidP="00554476">
      <w:pPr>
        <w:spacing w:after="0" w:line="360" w:lineRule="auto"/>
        <w:ind w:left="708"/>
        <w:jc w:val="both"/>
        <w:rPr>
          <w:rFonts w:ascii="Arial" w:eastAsia="Calibri" w:hAnsi="Arial" w:cs="Arial"/>
          <w:i/>
          <w:sz w:val="20"/>
          <w:szCs w:val="20"/>
        </w:rPr>
      </w:pPr>
    </w:p>
    <w:p w14:paraId="035468E0" w14:textId="77777777" w:rsidR="00B62948" w:rsidRPr="00554476" w:rsidRDefault="00B62948" w:rsidP="00554476">
      <w:pPr>
        <w:spacing w:after="0" w:line="360" w:lineRule="auto"/>
        <w:ind w:left="708"/>
        <w:jc w:val="both"/>
        <w:rPr>
          <w:rFonts w:ascii="Arial" w:eastAsia="Calibri" w:hAnsi="Arial" w:cs="Arial"/>
          <w:i/>
          <w:sz w:val="20"/>
          <w:szCs w:val="20"/>
        </w:rPr>
      </w:pPr>
      <w:r w:rsidRPr="00554476">
        <w:rPr>
          <w:rFonts w:ascii="Arial" w:eastAsia="Calibri" w:hAnsi="Arial" w:cs="Arial"/>
          <w:i/>
          <w:sz w:val="20"/>
          <w:szCs w:val="20"/>
        </w:rPr>
        <w:t>En ningún caso podrán cargarse comisiones o gastos por servicios no aceptados o solicitados en firme por el cliente. Las comisiones o gastos repercutidos deberán responder a servicios efectivamente prestados o a gastos habidos.”</w:t>
      </w:r>
    </w:p>
    <w:p w14:paraId="5848043C" w14:textId="77777777" w:rsidR="00B62948" w:rsidRPr="00554476" w:rsidRDefault="00B62948" w:rsidP="00554476">
      <w:pPr>
        <w:spacing w:after="0" w:line="360" w:lineRule="auto"/>
        <w:jc w:val="both"/>
        <w:rPr>
          <w:rFonts w:ascii="Arial" w:eastAsia="Calibri" w:hAnsi="Arial" w:cs="Arial"/>
          <w:sz w:val="20"/>
          <w:szCs w:val="20"/>
        </w:rPr>
      </w:pPr>
    </w:p>
    <w:p w14:paraId="5DD747BE" w14:textId="77777777" w:rsidR="00B62948" w:rsidRPr="00554476" w:rsidRDefault="00B62948" w:rsidP="00554476">
      <w:pPr>
        <w:spacing w:after="0" w:line="360" w:lineRule="auto"/>
        <w:jc w:val="both"/>
        <w:rPr>
          <w:rFonts w:ascii="Arial" w:eastAsia="Calibri" w:hAnsi="Arial" w:cs="Arial"/>
          <w:b/>
          <w:sz w:val="20"/>
          <w:szCs w:val="20"/>
          <w:lang w:val="es-ES_tradnl"/>
        </w:rPr>
      </w:pPr>
      <w:r w:rsidRPr="00554476">
        <w:rPr>
          <w:rFonts w:ascii="Arial" w:eastAsia="Calibri" w:hAnsi="Arial" w:cs="Arial"/>
          <w:b/>
          <w:sz w:val="20"/>
          <w:szCs w:val="20"/>
          <w:lang w:val="es-ES_tradnl"/>
        </w:rPr>
        <w:t xml:space="preserve">La Orden de 5 de mayo de 1994 </w:t>
      </w:r>
      <w:r w:rsidRPr="00554476">
        <w:rPr>
          <w:rFonts w:ascii="Arial" w:eastAsia="Calibri" w:hAnsi="Arial" w:cs="Arial"/>
          <w:sz w:val="20"/>
          <w:szCs w:val="20"/>
          <w:lang w:val="es-ES_tradnl"/>
        </w:rPr>
        <w:t xml:space="preserve">sobre transparencia de las condiciones financieras de los préstamos hipotecarios (en adelante, la </w:t>
      </w:r>
      <w:r w:rsidRPr="00554476">
        <w:rPr>
          <w:rFonts w:ascii="Arial" w:eastAsia="Calibri" w:hAnsi="Arial" w:cs="Arial"/>
          <w:b/>
          <w:sz w:val="20"/>
          <w:szCs w:val="20"/>
          <w:lang w:val="es-ES_tradnl"/>
        </w:rPr>
        <w:t>“Orden de 1994”</w:t>
      </w:r>
      <w:r w:rsidRPr="00554476">
        <w:rPr>
          <w:rFonts w:ascii="Arial" w:eastAsia="Calibri" w:hAnsi="Arial" w:cs="Arial"/>
          <w:sz w:val="20"/>
          <w:szCs w:val="20"/>
          <w:lang w:val="es-ES_tradnl"/>
        </w:rPr>
        <w:t xml:space="preserve">) y, en concreto, su art. 1.5 </w:t>
      </w:r>
      <w:r w:rsidRPr="00554476">
        <w:rPr>
          <w:rFonts w:ascii="Arial" w:eastAsia="Calibri" w:hAnsi="Arial" w:cs="Arial"/>
          <w:b/>
          <w:sz w:val="20"/>
          <w:szCs w:val="20"/>
          <w:lang w:val="es-ES_tradnl"/>
        </w:rPr>
        <w:t>mantiene la vigencia del Principio:</w:t>
      </w:r>
    </w:p>
    <w:p w14:paraId="26E81B9E" w14:textId="77777777" w:rsidR="00B62948" w:rsidRPr="00554476" w:rsidRDefault="00B62948" w:rsidP="00554476">
      <w:pPr>
        <w:spacing w:after="0" w:line="360" w:lineRule="auto"/>
        <w:jc w:val="both"/>
        <w:rPr>
          <w:rFonts w:ascii="Arial" w:eastAsia="Calibri" w:hAnsi="Arial" w:cs="Arial"/>
          <w:b/>
          <w:sz w:val="20"/>
          <w:szCs w:val="20"/>
        </w:rPr>
      </w:pPr>
    </w:p>
    <w:p w14:paraId="31783CD7"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lastRenderedPageBreak/>
        <w:t>“En lo no previsto para los préstamos hipotecarios en la presente Orden será de aplicación lo dispuesto en la Orden de este Ministerio de 12 de diciembre de 1989, sobre tipos de interés y comisiones, normas de actuación, información a clientes y publicidad de las entidades de créditos y sus normas de desarrollo”</w:t>
      </w:r>
    </w:p>
    <w:p w14:paraId="6CC2BFAC" w14:textId="77777777" w:rsidR="00B62948" w:rsidRPr="00554476" w:rsidRDefault="00B62948" w:rsidP="00554476">
      <w:pPr>
        <w:spacing w:after="0" w:line="360" w:lineRule="auto"/>
        <w:jc w:val="both"/>
        <w:rPr>
          <w:rFonts w:ascii="Arial" w:eastAsia="Calibri" w:hAnsi="Arial" w:cs="Arial"/>
          <w:sz w:val="20"/>
          <w:szCs w:val="20"/>
        </w:rPr>
      </w:pPr>
    </w:p>
    <w:p w14:paraId="064012D6"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Con dicho Principio plenamente vigente, la misma Orden de 94 define en su Anexo II, relativo a las </w:t>
      </w:r>
      <w:r w:rsidRPr="00554476">
        <w:rPr>
          <w:rFonts w:ascii="Arial" w:eastAsia="Calibri" w:hAnsi="Arial" w:cs="Arial"/>
          <w:i/>
          <w:sz w:val="20"/>
          <w:szCs w:val="20"/>
          <w:lang w:val="es-ES_tradnl"/>
        </w:rPr>
        <w:t>“Cláusulas financieras de los contratos de préstamo hipotecario sujetos a la presente Orden”</w:t>
      </w:r>
      <w:r w:rsidRPr="00554476">
        <w:rPr>
          <w:rFonts w:ascii="Arial" w:eastAsia="Calibri" w:hAnsi="Arial" w:cs="Arial"/>
          <w:sz w:val="20"/>
          <w:szCs w:val="20"/>
          <w:lang w:val="es-ES_tradnl"/>
        </w:rPr>
        <w:t xml:space="preserve">, en su apdo. 4 dedicado a las </w:t>
      </w:r>
      <w:r w:rsidRPr="00554476">
        <w:rPr>
          <w:rFonts w:ascii="Arial" w:eastAsia="Calibri" w:hAnsi="Arial" w:cs="Arial"/>
          <w:i/>
          <w:sz w:val="20"/>
          <w:szCs w:val="20"/>
          <w:lang w:val="es-ES_tradnl"/>
        </w:rPr>
        <w:t>“Comisiones”</w:t>
      </w:r>
      <w:r w:rsidRPr="00554476">
        <w:rPr>
          <w:rFonts w:ascii="Arial" w:eastAsia="Calibri" w:hAnsi="Arial" w:cs="Arial"/>
          <w:sz w:val="20"/>
          <w:szCs w:val="20"/>
          <w:lang w:val="es-ES_tradnl"/>
        </w:rPr>
        <w:t>, la comisión de apertura de la siguiente forma:</w:t>
      </w:r>
    </w:p>
    <w:p w14:paraId="631F5E34" w14:textId="77777777" w:rsidR="00B62948" w:rsidRPr="00554476" w:rsidRDefault="00B62948" w:rsidP="00554476">
      <w:pPr>
        <w:spacing w:after="0" w:line="360" w:lineRule="auto"/>
        <w:jc w:val="both"/>
        <w:rPr>
          <w:rFonts w:ascii="Arial" w:eastAsia="Calibri" w:hAnsi="Arial" w:cs="Arial"/>
          <w:sz w:val="20"/>
          <w:szCs w:val="20"/>
        </w:rPr>
      </w:pPr>
    </w:p>
    <w:p w14:paraId="456DCF27"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“Cualesquiera gastos de estudio del préstamo, de concesión o tramitación del préstamo hipotecario, u otros similares inherentes a la actividad de la entidad prestamista ocasionada por la concesión del préstamo, deberán obligatoriamente integrarse en una única comisión, que se denominará “comisión de apertura” y se devengará por una sola vez. Su importe, así como su forma y fecha de liquidación, se especificarán en esta cláusula”</w:t>
      </w:r>
    </w:p>
    <w:p w14:paraId="20B0D1FA" w14:textId="77777777" w:rsidR="00B62948" w:rsidRPr="00554476" w:rsidRDefault="00B62948" w:rsidP="00554476">
      <w:pPr>
        <w:spacing w:after="0" w:line="360" w:lineRule="auto"/>
        <w:jc w:val="both"/>
        <w:rPr>
          <w:rFonts w:ascii="Arial" w:eastAsia="Calibri" w:hAnsi="Arial" w:cs="Arial"/>
          <w:sz w:val="20"/>
          <w:szCs w:val="20"/>
        </w:rPr>
      </w:pPr>
    </w:p>
    <w:p w14:paraId="3A74303F"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Cabe pensar que, al definir así la comisión de apertura, la Orden de 1994 lo hace porque, vigente el Principio, dicha comisión es respetuosa con el mismo, es decir, porque dicha comisión responde a la existencia de servicios o costes susceptibles de retribución o compensación.</w:t>
      </w:r>
    </w:p>
    <w:p w14:paraId="166BC538" w14:textId="77777777" w:rsidR="00B62948" w:rsidRPr="00554476" w:rsidRDefault="00B62948" w:rsidP="00554476">
      <w:pPr>
        <w:spacing w:after="0" w:line="360" w:lineRule="auto"/>
        <w:jc w:val="both"/>
        <w:rPr>
          <w:rFonts w:ascii="Arial" w:eastAsia="Calibri" w:hAnsi="Arial" w:cs="Arial"/>
          <w:sz w:val="20"/>
          <w:szCs w:val="20"/>
        </w:rPr>
      </w:pPr>
    </w:p>
    <w:p w14:paraId="3F79B123"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b/>
          <w:sz w:val="20"/>
          <w:szCs w:val="20"/>
          <w:lang w:val="es-ES_tradnl"/>
        </w:rPr>
        <w:t>La Circular 8/1990 de Banco de España</w:t>
      </w:r>
      <w:r w:rsidRPr="00554476">
        <w:rPr>
          <w:rFonts w:ascii="Arial" w:eastAsia="Calibri" w:hAnsi="Arial" w:cs="Arial"/>
          <w:sz w:val="20"/>
          <w:szCs w:val="20"/>
          <w:lang w:val="es-ES_tradnl"/>
        </w:rPr>
        <w:t xml:space="preserve"> es modificada por la Circular 5/1994 para adaptar la primera a lo dispuesto en la anteriormente referida Orden de 1994. Para ello introduce una</w:t>
      </w:r>
      <w:r w:rsidRPr="00554476">
        <w:rPr>
          <w:rFonts w:ascii="Arial" w:eastAsia="Calibri" w:hAnsi="Arial" w:cs="Arial"/>
          <w:b/>
          <w:sz w:val="20"/>
          <w:szCs w:val="20"/>
          <w:lang w:val="es-ES_tradnl"/>
        </w:rPr>
        <w:t xml:space="preserve"> </w:t>
      </w:r>
      <w:r w:rsidRPr="00554476">
        <w:rPr>
          <w:rFonts w:ascii="Arial" w:eastAsia="Calibri" w:hAnsi="Arial" w:cs="Arial"/>
          <w:sz w:val="20"/>
          <w:szCs w:val="20"/>
          <w:lang w:val="es-ES_tradnl"/>
        </w:rPr>
        <w:t xml:space="preserve">Norma Tercera, apdo. 1bis, letra b, en la Circular 5/1994 en la que </w:t>
      </w:r>
      <w:r w:rsidRPr="00554476">
        <w:rPr>
          <w:rFonts w:ascii="Arial" w:eastAsia="Calibri" w:hAnsi="Arial" w:cs="Arial"/>
          <w:b/>
          <w:sz w:val="20"/>
          <w:szCs w:val="20"/>
          <w:lang w:val="es-ES_tradnl"/>
        </w:rPr>
        <w:t>vuelve a regular la comisión de apertura:</w:t>
      </w:r>
    </w:p>
    <w:p w14:paraId="3A8D639B" w14:textId="77777777" w:rsidR="00B62948" w:rsidRPr="00554476" w:rsidRDefault="00B62948" w:rsidP="00554476">
      <w:pPr>
        <w:spacing w:after="0" w:line="360" w:lineRule="auto"/>
        <w:jc w:val="both"/>
        <w:rPr>
          <w:rFonts w:ascii="Arial" w:eastAsia="Calibri" w:hAnsi="Arial" w:cs="Arial"/>
          <w:sz w:val="20"/>
          <w:szCs w:val="20"/>
        </w:rPr>
      </w:pPr>
    </w:p>
    <w:p w14:paraId="5D330D9E"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“En los préstamos hipotecarios sobre viviendas a que se refiere el artículo 1 de la Orden de la Presidencia del Gobierno de 5 de mayo de 1994, sobre transparencia de las condiciones financieras de los préstamos hipotecarios (en lo sucesivo, Orden sobre préstamos hipotecarios), </w:t>
      </w:r>
      <w:r w:rsidRPr="00554476">
        <w:rPr>
          <w:rFonts w:ascii="Arial" w:eastAsia="Calibri" w:hAnsi="Arial" w:cs="Arial"/>
          <w:b/>
          <w:i/>
          <w:sz w:val="20"/>
          <w:szCs w:val="20"/>
        </w:rPr>
        <w:t>la comisión de apertura</w:t>
      </w:r>
      <w:r w:rsidRPr="00554476">
        <w:rPr>
          <w:rFonts w:ascii="Arial" w:eastAsia="Calibri" w:hAnsi="Arial" w:cs="Arial"/>
          <w:i/>
          <w:sz w:val="20"/>
          <w:szCs w:val="20"/>
        </w:rPr>
        <w:t xml:space="preserve">, que se devengará una sola vez, </w:t>
      </w:r>
      <w:r w:rsidRPr="00554476">
        <w:rPr>
          <w:rFonts w:ascii="Arial" w:eastAsia="Calibri" w:hAnsi="Arial" w:cs="Arial"/>
          <w:b/>
          <w:i/>
          <w:sz w:val="20"/>
          <w:szCs w:val="20"/>
        </w:rPr>
        <w:t>englobará cualesquiera gastos de estudio, de concesión o tramitación del préstamo hipotecario u otros similares inherentes a la actividad de la entidad prestamista ocasionada por la concesión del préstamo</w:t>
      </w:r>
      <w:r w:rsidRPr="00554476">
        <w:rPr>
          <w:rFonts w:ascii="Arial" w:eastAsia="Calibri" w:hAnsi="Arial" w:cs="Arial"/>
          <w:i/>
          <w:sz w:val="20"/>
          <w:szCs w:val="20"/>
        </w:rPr>
        <w:t>. En el caso de préstamos denominados en divisas, la comisión de apertura incluirá, asimismo, cualquier comisión por cambio de moneda correspondiente al desembolso inicial del préstamo.”</w:t>
      </w:r>
    </w:p>
    <w:p w14:paraId="0A9E5E36"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78910219"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A continuación, añade un párrafo que dice:</w:t>
      </w:r>
    </w:p>
    <w:p w14:paraId="6E0A7A08" w14:textId="77777777" w:rsidR="00B62948" w:rsidRPr="00554476" w:rsidRDefault="00B62948" w:rsidP="00554476">
      <w:pPr>
        <w:spacing w:after="0" w:line="360" w:lineRule="auto"/>
        <w:jc w:val="both"/>
        <w:rPr>
          <w:rFonts w:ascii="Arial" w:eastAsia="Calibri" w:hAnsi="Arial" w:cs="Arial"/>
          <w:sz w:val="20"/>
          <w:szCs w:val="20"/>
        </w:rPr>
      </w:pPr>
    </w:p>
    <w:p w14:paraId="22F875FA"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w:t>
      </w:r>
      <w:bookmarkStart w:id="6" w:name="#8"/>
      <w:bookmarkEnd w:id="6"/>
      <w:r w:rsidRPr="00554476">
        <w:rPr>
          <w:rFonts w:ascii="Arial" w:eastAsia="Calibri" w:hAnsi="Arial" w:cs="Arial"/>
          <w:i/>
          <w:sz w:val="20"/>
          <w:szCs w:val="20"/>
        </w:rPr>
        <w:t xml:space="preserve">Las restantes comisiones y gastos repercutibles a cargo del prestatario, que la entidad aplique sobre estos préstamos, deberán responder a la prestación de un servicio específico distinto de la concesión o de la administración ordinaria del préstamo.” </w:t>
      </w:r>
    </w:p>
    <w:p w14:paraId="30D2AF0B" w14:textId="77777777" w:rsidR="00B62948" w:rsidRPr="00554476" w:rsidRDefault="00B62948" w:rsidP="00554476">
      <w:pPr>
        <w:spacing w:after="0" w:line="360" w:lineRule="auto"/>
        <w:jc w:val="both"/>
        <w:rPr>
          <w:rFonts w:ascii="Arial" w:eastAsia="Calibri" w:hAnsi="Arial" w:cs="Arial"/>
          <w:sz w:val="20"/>
          <w:szCs w:val="20"/>
        </w:rPr>
      </w:pPr>
    </w:p>
    <w:p w14:paraId="1D920DD1"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De lo que cabe deducir que, si el resto de comisiones (diferentes a la anteriormente regulada, que es la de apertura) debe “</w:t>
      </w:r>
      <w:r w:rsidRPr="00554476">
        <w:rPr>
          <w:rFonts w:ascii="Arial" w:eastAsia="Calibri" w:hAnsi="Arial" w:cs="Arial"/>
          <w:i/>
          <w:sz w:val="20"/>
          <w:szCs w:val="20"/>
          <w:lang w:val="es-ES_tradnl"/>
        </w:rPr>
        <w:t>responder a la prestación de un servicio específico</w:t>
      </w:r>
      <w:r w:rsidRPr="00554476">
        <w:rPr>
          <w:rFonts w:ascii="Arial" w:eastAsia="Calibri" w:hAnsi="Arial" w:cs="Arial"/>
          <w:sz w:val="20"/>
          <w:szCs w:val="20"/>
          <w:lang w:val="es-ES_tradnl"/>
        </w:rPr>
        <w:t xml:space="preserve"> </w:t>
      </w:r>
      <w:r w:rsidRPr="00554476">
        <w:rPr>
          <w:rFonts w:ascii="Arial" w:eastAsia="Calibri" w:hAnsi="Arial" w:cs="Arial"/>
          <w:i/>
          <w:sz w:val="20"/>
          <w:szCs w:val="20"/>
          <w:lang w:val="es-ES_tradnl"/>
        </w:rPr>
        <w:t>distinto de la concesión o de la administración ordinaria del préstamo”,</w:t>
      </w:r>
      <w:r w:rsidRPr="00554476">
        <w:rPr>
          <w:rFonts w:ascii="Arial" w:eastAsia="Calibri" w:hAnsi="Arial" w:cs="Arial"/>
          <w:sz w:val="20"/>
          <w:szCs w:val="20"/>
          <w:lang w:val="es-ES_tradnl"/>
        </w:rPr>
        <w:t xml:space="preserve"> es porque tanto la concesión como la administración ordinaria del préstamo responden a la existencia de un servicio.</w:t>
      </w:r>
    </w:p>
    <w:p w14:paraId="0728D615" w14:textId="77777777" w:rsidR="00B62948" w:rsidRPr="00554476" w:rsidRDefault="00B62948" w:rsidP="00554476">
      <w:pPr>
        <w:spacing w:after="0" w:line="360" w:lineRule="auto"/>
        <w:jc w:val="both"/>
        <w:rPr>
          <w:rFonts w:ascii="Arial" w:eastAsia="Calibri" w:hAnsi="Arial" w:cs="Arial"/>
          <w:sz w:val="20"/>
          <w:szCs w:val="20"/>
        </w:rPr>
      </w:pPr>
    </w:p>
    <w:p w14:paraId="44A99E39"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la misma línea, la </w:t>
      </w:r>
      <w:r w:rsidRPr="00554476">
        <w:rPr>
          <w:rFonts w:ascii="Arial" w:eastAsia="Calibri" w:hAnsi="Arial" w:cs="Arial"/>
          <w:b/>
          <w:sz w:val="20"/>
          <w:szCs w:val="20"/>
          <w:lang w:val="es-ES_tradnl"/>
        </w:rPr>
        <w:t>Circular 4/2004 de Banco de España</w:t>
      </w:r>
      <w:r w:rsidRPr="00554476">
        <w:rPr>
          <w:rFonts w:ascii="Arial" w:eastAsia="Calibri" w:hAnsi="Arial" w:cs="Arial"/>
          <w:sz w:val="20"/>
          <w:szCs w:val="20"/>
          <w:lang w:val="es-ES_tradnl"/>
        </w:rPr>
        <w:t>, al regular en su Norma Trigésima Octava (</w:t>
      </w:r>
      <w:r w:rsidRPr="00554476">
        <w:rPr>
          <w:rFonts w:ascii="Arial" w:eastAsia="Calibri" w:hAnsi="Arial" w:cs="Arial"/>
          <w:i/>
          <w:sz w:val="20"/>
          <w:szCs w:val="20"/>
          <w:lang w:val="es-ES_tradnl"/>
        </w:rPr>
        <w:t>"Comisiones"</w:t>
      </w:r>
      <w:r w:rsidRPr="00554476">
        <w:rPr>
          <w:rFonts w:ascii="Arial" w:eastAsia="Calibri" w:hAnsi="Arial" w:cs="Arial"/>
          <w:sz w:val="20"/>
          <w:szCs w:val="20"/>
          <w:lang w:val="es-ES_tradnl"/>
        </w:rPr>
        <w:t xml:space="preserve">) las distintas tipologías de comisiones, diferencia entre las </w:t>
      </w:r>
      <w:r w:rsidRPr="00554476">
        <w:rPr>
          <w:rFonts w:ascii="Arial" w:eastAsia="Calibri" w:hAnsi="Arial" w:cs="Arial"/>
          <w:i/>
          <w:sz w:val="20"/>
          <w:szCs w:val="20"/>
          <w:lang w:val="es-ES_tradnl"/>
        </w:rPr>
        <w:t>"financieras"</w:t>
      </w:r>
      <w:r w:rsidRPr="00554476">
        <w:rPr>
          <w:rFonts w:ascii="Arial" w:eastAsia="Calibri" w:hAnsi="Arial" w:cs="Arial"/>
          <w:sz w:val="20"/>
          <w:szCs w:val="20"/>
          <w:lang w:val="es-ES_tradnl"/>
        </w:rPr>
        <w:t xml:space="preserve"> y las </w:t>
      </w:r>
      <w:r w:rsidRPr="00554476">
        <w:rPr>
          <w:rFonts w:ascii="Arial" w:eastAsia="Calibri" w:hAnsi="Arial" w:cs="Arial"/>
          <w:i/>
          <w:sz w:val="20"/>
          <w:szCs w:val="20"/>
          <w:lang w:val="es-ES_tradnl"/>
        </w:rPr>
        <w:t>"no financieras"</w:t>
      </w:r>
      <w:r w:rsidRPr="00554476">
        <w:rPr>
          <w:rFonts w:ascii="Arial" w:eastAsia="Calibri" w:hAnsi="Arial" w:cs="Arial"/>
          <w:sz w:val="20"/>
          <w:szCs w:val="20"/>
          <w:lang w:val="es-ES_tradnl"/>
        </w:rPr>
        <w:t>, y en relación con las primeras señala:</w:t>
      </w:r>
    </w:p>
    <w:p w14:paraId="3A27CC32" w14:textId="77777777" w:rsidR="00B62948" w:rsidRPr="00554476" w:rsidRDefault="00B62948" w:rsidP="00554476">
      <w:pPr>
        <w:spacing w:after="0" w:line="360" w:lineRule="auto"/>
        <w:jc w:val="both"/>
        <w:rPr>
          <w:rFonts w:ascii="Arial" w:eastAsia="Calibri" w:hAnsi="Arial" w:cs="Arial"/>
          <w:sz w:val="20"/>
          <w:szCs w:val="20"/>
        </w:rPr>
      </w:pPr>
    </w:p>
    <w:p w14:paraId="23D16BB0"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1. a) Comisiones financieras: Son aquellas que forman parte integral del rendimiento o coste efectivo de una operación financiera. Estas comisiones se perciben por adelantado y pueden ser de tres tipos:</w:t>
      </w:r>
    </w:p>
    <w:p w14:paraId="341D0A64" w14:textId="77777777" w:rsidR="00B62948" w:rsidRPr="00554476" w:rsidRDefault="00B62948" w:rsidP="00554476">
      <w:pPr>
        <w:spacing w:after="0" w:line="360" w:lineRule="auto"/>
        <w:ind w:left="567"/>
        <w:jc w:val="both"/>
        <w:rPr>
          <w:rFonts w:ascii="Arial" w:eastAsia="Calibri" w:hAnsi="Arial" w:cs="Arial"/>
          <w:i/>
          <w:sz w:val="20"/>
          <w:szCs w:val="20"/>
        </w:rPr>
      </w:pPr>
    </w:p>
    <w:p w14:paraId="592474CB"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i) Surgidas como compensación por el compromiso de concesión de financiación, tal como la comisión de apertura de préstamos y créditos. El reconocimiento del ingreso por estas comisiones se diferirá, salvo en lo que compensen costes directos relacionados, imputándose en la cuenta de pérdidas y ganancias a lo largo de la vida esperada de la financiación como un ajuste al coste o rendimiento efectivo de la operación, tal como dispone la norma decimoséptima, y si finalmente el compromiso expira sin haberse dispuesto de la financiación, se registrarán en la cuenta de pérdidas y ganancias en la fecha de su expiración</w:t>
      </w:r>
    </w:p>
    <w:p w14:paraId="66A1811C"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w:t>
      </w:r>
    </w:p>
    <w:p w14:paraId="5CE3088E"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3.     A los efectos de lo previsto en el apartado 1 esta norma, son costes directos relacionados todos aquellos en los que no se habría incurrido si no se hubiera concertado la operación. En ausencia de una contabilidad analítica que lo justifique, o de una identificación individualizada del coste, en el inicio de una operación, el importe de las comisiones liquidadas que se podrán registrar en la cuenta de pérdidas y ganancias como ingresos, para compensar los costes directos relacionados, no podrá ser superior al 0,4% del principal del instrumento financiero, con el límite máximo de 400 euros, pudiendo reconocerse en su totalidad cuando su importe no exceda de 90 euros. En ningún caso, puedan reconocerse ingresos por comisiones por importe superior a la comisión cobrada. Los costes directos relacionados identificados individualmente que no alcancen a ser compensados en el inicio con la comisión cobrada formarán parte del cálculo del tipo de interés efectivo de la operación imputándose en la cuenta de pérdidas y ganancias de acuerdo con lo señalado en la norma decimotercera.</w:t>
      </w:r>
    </w:p>
    <w:p w14:paraId="0CCC1352" w14:textId="77777777" w:rsidR="00B62948" w:rsidRPr="00554476" w:rsidRDefault="00B62948" w:rsidP="00554476">
      <w:pPr>
        <w:spacing w:after="0" w:line="360" w:lineRule="auto"/>
        <w:jc w:val="both"/>
        <w:rPr>
          <w:rFonts w:ascii="Arial" w:eastAsia="Calibri" w:hAnsi="Arial" w:cs="Arial"/>
          <w:sz w:val="20"/>
          <w:szCs w:val="20"/>
        </w:rPr>
      </w:pPr>
    </w:p>
    <w:p w14:paraId="0C0DDB34"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Resulta revelador comprobar cómo la referida norma, al tratar la forma en que se deben </w:t>
      </w:r>
      <w:proofErr w:type="spellStart"/>
      <w:r w:rsidRPr="00554476">
        <w:rPr>
          <w:rFonts w:ascii="Arial" w:eastAsia="Calibri" w:hAnsi="Arial" w:cs="Arial"/>
          <w:sz w:val="20"/>
          <w:szCs w:val="20"/>
          <w:lang w:val="es-ES_tradnl"/>
        </w:rPr>
        <w:t>contablizar</w:t>
      </w:r>
      <w:proofErr w:type="spellEnd"/>
      <w:r w:rsidRPr="00554476">
        <w:rPr>
          <w:rFonts w:ascii="Arial" w:eastAsia="Calibri" w:hAnsi="Arial" w:cs="Arial"/>
          <w:sz w:val="20"/>
          <w:szCs w:val="20"/>
          <w:lang w:val="es-ES_tradnl"/>
        </w:rPr>
        <w:t xml:space="preserve"> las comisiones, </w:t>
      </w:r>
      <w:r w:rsidRPr="00554476">
        <w:rPr>
          <w:rFonts w:ascii="Arial" w:eastAsia="Calibri" w:hAnsi="Arial" w:cs="Arial"/>
          <w:b/>
          <w:sz w:val="20"/>
          <w:szCs w:val="20"/>
          <w:lang w:val="es-ES_tradnl"/>
        </w:rPr>
        <w:t>reconoce que la comisión de apertura</w:t>
      </w:r>
      <w:r w:rsidRPr="00554476">
        <w:rPr>
          <w:rFonts w:ascii="Arial" w:eastAsia="Calibri" w:hAnsi="Arial" w:cs="Arial"/>
          <w:sz w:val="20"/>
          <w:szCs w:val="20"/>
          <w:lang w:val="es-ES_tradnl"/>
        </w:rPr>
        <w:t xml:space="preserve">: </w:t>
      </w:r>
    </w:p>
    <w:p w14:paraId="0A9F0607"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11B6ED7F" w14:textId="77777777" w:rsidR="00B62948" w:rsidRPr="00554476" w:rsidRDefault="00B62948" w:rsidP="001618DF">
      <w:pPr>
        <w:numPr>
          <w:ilvl w:val="0"/>
          <w:numId w:val="16"/>
        </w:numPr>
        <w:spacing w:after="0" w:line="360" w:lineRule="auto"/>
        <w:jc w:val="both"/>
        <w:rPr>
          <w:rFonts w:ascii="Arial" w:eastAsia="Calibri" w:hAnsi="Arial" w:cs="Arial"/>
          <w:iCs/>
          <w:sz w:val="20"/>
          <w:szCs w:val="20"/>
        </w:rPr>
      </w:pPr>
      <w:r w:rsidRPr="00554476">
        <w:rPr>
          <w:rFonts w:ascii="Arial" w:eastAsia="Calibri" w:hAnsi="Arial" w:cs="Arial"/>
          <w:b/>
          <w:sz w:val="20"/>
          <w:szCs w:val="20"/>
        </w:rPr>
        <w:lastRenderedPageBreak/>
        <w:t xml:space="preserve">Es la contrapartida </w:t>
      </w:r>
      <w:r w:rsidRPr="00554476">
        <w:rPr>
          <w:rFonts w:ascii="Arial" w:eastAsia="Calibri" w:hAnsi="Arial" w:cs="Arial"/>
          <w:sz w:val="20"/>
          <w:szCs w:val="20"/>
        </w:rPr>
        <w:t xml:space="preserve">o la </w:t>
      </w:r>
      <w:r w:rsidRPr="00554476">
        <w:rPr>
          <w:rFonts w:ascii="Arial" w:eastAsia="Calibri" w:hAnsi="Arial" w:cs="Arial"/>
          <w:bCs/>
          <w:iCs/>
          <w:sz w:val="20"/>
          <w:szCs w:val="20"/>
        </w:rPr>
        <w:t>compensación</w:t>
      </w:r>
      <w:r w:rsidRPr="00554476">
        <w:rPr>
          <w:rFonts w:ascii="Arial" w:eastAsia="Calibri" w:hAnsi="Arial" w:cs="Arial"/>
          <w:b/>
          <w:bCs/>
          <w:iCs/>
          <w:sz w:val="20"/>
          <w:szCs w:val="20"/>
        </w:rPr>
        <w:t xml:space="preserve"> por el compromiso de concesión de financiación.</w:t>
      </w:r>
    </w:p>
    <w:p w14:paraId="31C1E865" w14:textId="77777777" w:rsidR="00B62948" w:rsidRPr="00554476" w:rsidRDefault="00B62948" w:rsidP="00554476">
      <w:pPr>
        <w:spacing w:after="0" w:line="360" w:lineRule="auto"/>
        <w:ind w:left="1080"/>
        <w:jc w:val="both"/>
        <w:rPr>
          <w:rFonts w:ascii="Arial" w:eastAsia="Calibri" w:hAnsi="Arial" w:cs="Arial"/>
          <w:iCs/>
          <w:sz w:val="20"/>
          <w:szCs w:val="20"/>
        </w:rPr>
      </w:pPr>
    </w:p>
    <w:p w14:paraId="76FD3A90" w14:textId="77777777" w:rsidR="00B62948" w:rsidRPr="00554476" w:rsidRDefault="00B62948" w:rsidP="001618DF">
      <w:pPr>
        <w:numPr>
          <w:ilvl w:val="0"/>
          <w:numId w:val="16"/>
        </w:numPr>
        <w:spacing w:after="0" w:line="360" w:lineRule="auto"/>
        <w:jc w:val="both"/>
        <w:rPr>
          <w:rFonts w:ascii="Arial" w:eastAsia="Calibri" w:hAnsi="Arial" w:cs="Arial"/>
          <w:iCs/>
          <w:sz w:val="20"/>
          <w:szCs w:val="20"/>
        </w:rPr>
      </w:pPr>
      <w:r w:rsidRPr="00554476">
        <w:rPr>
          <w:rFonts w:ascii="Arial" w:eastAsia="Calibri" w:hAnsi="Arial" w:cs="Arial"/>
          <w:b/>
          <w:iCs/>
          <w:sz w:val="20"/>
          <w:szCs w:val="20"/>
        </w:rPr>
        <w:t xml:space="preserve">Corresponde a un coste directo </w:t>
      </w:r>
      <w:r w:rsidRPr="00554476">
        <w:rPr>
          <w:rFonts w:ascii="Arial" w:eastAsia="Calibri" w:hAnsi="Arial" w:cs="Arial"/>
          <w:iCs/>
          <w:sz w:val="20"/>
          <w:szCs w:val="20"/>
        </w:rPr>
        <w:t>asumido por la entidad financiera.</w:t>
      </w:r>
    </w:p>
    <w:p w14:paraId="6BBC9847" w14:textId="77777777" w:rsidR="00B62948" w:rsidRPr="00554476" w:rsidRDefault="00B62948" w:rsidP="00554476">
      <w:pPr>
        <w:spacing w:after="0" w:line="360" w:lineRule="auto"/>
        <w:jc w:val="both"/>
        <w:rPr>
          <w:rFonts w:ascii="Arial" w:eastAsia="Calibri" w:hAnsi="Arial" w:cs="Arial"/>
          <w:iCs/>
          <w:sz w:val="20"/>
          <w:szCs w:val="20"/>
        </w:rPr>
      </w:pPr>
    </w:p>
    <w:p w14:paraId="3D2AC046"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Aunque de lo anterior es detectable una aparente contradicción entre esta última norma y las anteriormente citadas, en la medida en la que la Circular 4/2017 sitúa la razón de la comisión en el “compromiso de concesión de financiación” (que no comportaría un verdadero servicio sino un acuerdo) y la Orden de 1994 o la Circular 5/2012 se refieren a actividades de “estudio, tramitación y otras similares”. La aparente (sólo aparente) antinomia debe solventarse, a juicio de esta parte, con la idea de que el concepto “compromiso de financiación” engloba las actividades necesarias para el alcance de ese compromiso, como se aprecia con mayor claridad a partir de la Circular 4/2017 y como deriva, naturalmente, de la interpretación armónica de la Circular 4/2004 con el resto de las normas ya invocadas.</w:t>
      </w:r>
    </w:p>
    <w:p w14:paraId="2C1F073C" w14:textId="77777777" w:rsidR="00B62948" w:rsidRPr="00554476" w:rsidRDefault="00B62948" w:rsidP="00554476">
      <w:pPr>
        <w:spacing w:after="0" w:line="360" w:lineRule="auto"/>
        <w:jc w:val="both"/>
        <w:rPr>
          <w:rFonts w:ascii="Arial" w:eastAsia="Calibri" w:hAnsi="Arial" w:cs="Arial"/>
          <w:iCs/>
          <w:sz w:val="20"/>
          <w:szCs w:val="20"/>
        </w:rPr>
      </w:pPr>
    </w:p>
    <w:p w14:paraId="3D655F6A"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b/>
          <w:sz w:val="20"/>
          <w:szCs w:val="20"/>
          <w:lang w:val="es-ES_tradnl"/>
        </w:rPr>
        <w:t xml:space="preserve">La hoy vigente </w:t>
      </w:r>
      <w:r w:rsidRPr="00554476">
        <w:rPr>
          <w:rFonts w:ascii="Arial" w:eastAsia="Calibri" w:hAnsi="Arial" w:cs="Arial"/>
          <w:sz w:val="20"/>
          <w:szCs w:val="20"/>
          <w:lang w:val="es-ES_tradnl"/>
        </w:rPr>
        <w:t>Orden EHA/2899/2011, de 28 de octubre, de transparencia y protección del cliente de servicios bancarios (en adelante, la</w:t>
      </w:r>
      <w:r w:rsidRPr="00554476">
        <w:rPr>
          <w:rFonts w:ascii="Arial" w:eastAsia="Calibri" w:hAnsi="Arial" w:cs="Arial"/>
          <w:b/>
          <w:sz w:val="20"/>
          <w:szCs w:val="20"/>
          <w:lang w:val="es-ES_tradnl"/>
        </w:rPr>
        <w:t xml:space="preserve"> “Orden 2899/2011”</w:t>
      </w:r>
      <w:r w:rsidRPr="00554476">
        <w:rPr>
          <w:rFonts w:ascii="Arial" w:eastAsia="Calibri" w:hAnsi="Arial" w:cs="Arial"/>
          <w:sz w:val="20"/>
          <w:szCs w:val="20"/>
          <w:lang w:val="es-ES_tradnl"/>
        </w:rPr>
        <w:t>)</w:t>
      </w:r>
      <w:r w:rsidRPr="00554476">
        <w:rPr>
          <w:rFonts w:ascii="Arial" w:eastAsia="Calibri" w:hAnsi="Arial" w:cs="Arial"/>
          <w:b/>
          <w:sz w:val="20"/>
          <w:szCs w:val="20"/>
          <w:lang w:val="es-ES_tradnl"/>
        </w:rPr>
        <w:t xml:space="preserve"> vuelve a recoger expresamente el Principio</w:t>
      </w:r>
      <w:r w:rsidRPr="00554476">
        <w:rPr>
          <w:rFonts w:ascii="Arial" w:eastAsia="Calibri" w:hAnsi="Arial" w:cs="Arial"/>
          <w:sz w:val="20"/>
          <w:szCs w:val="20"/>
          <w:lang w:val="es-ES_tradnl"/>
        </w:rPr>
        <w:t xml:space="preserve"> en su art. 3.1:</w:t>
      </w:r>
    </w:p>
    <w:p w14:paraId="750A3E72" w14:textId="77777777" w:rsidR="00B62948" w:rsidRPr="00554476" w:rsidRDefault="00B62948" w:rsidP="00554476">
      <w:pPr>
        <w:spacing w:after="0" w:line="360" w:lineRule="auto"/>
        <w:jc w:val="both"/>
        <w:rPr>
          <w:rFonts w:ascii="Arial" w:eastAsia="Calibri" w:hAnsi="Arial" w:cs="Arial"/>
          <w:sz w:val="20"/>
          <w:szCs w:val="20"/>
        </w:rPr>
      </w:pPr>
    </w:p>
    <w:p w14:paraId="250A8C8F"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“Solo podrán percibirse comisiones o repercutirse gastos por servicios solicitados en firme o aceptados expresamente por un cliente y siempre que respondan a servicios efectivamente prestados o gastos habidos”.</w:t>
      </w:r>
    </w:p>
    <w:p w14:paraId="20BF0838" w14:textId="77777777" w:rsidR="00B62948" w:rsidRPr="00554476" w:rsidRDefault="00B62948" w:rsidP="00554476">
      <w:pPr>
        <w:spacing w:after="0" w:line="360" w:lineRule="auto"/>
        <w:jc w:val="both"/>
        <w:rPr>
          <w:rFonts w:ascii="Arial" w:eastAsia="Calibri" w:hAnsi="Arial" w:cs="Arial"/>
          <w:sz w:val="20"/>
          <w:szCs w:val="20"/>
        </w:rPr>
      </w:pPr>
    </w:p>
    <w:p w14:paraId="5BAAFDA5"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Y añade el apartado 2 de este mismo artículo 3 que las entidades deberán informar dichas comisiones de acuerdo con el formato que determine el Banco de España:</w:t>
      </w:r>
    </w:p>
    <w:p w14:paraId="49D190B6" w14:textId="77777777" w:rsidR="00B62948" w:rsidRPr="00554476" w:rsidRDefault="00B62948" w:rsidP="00554476">
      <w:pPr>
        <w:spacing w:after="0" w:line="360" w:lineRule="auto"/>
        <w:jc w:val="both"/>
        <w:rPr>
          <w:rFonts w:ascii="Arial" w:eastAsia="Calibri" w:hAnsi="Arial" w:cs="Arial"/>
          <w:sz w:val="20"/>
          <w:szCs w:val="20"/>
        </w:rPr>
      </w:pPr>
    </w:p>
    <w:p w14:paraId="07A973EE"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“las entidades deben poner a disposición de los clientes […] las comisiones habitualmente percibidas por los servicios que prestan con mayor frecuencia, así como los gastos repercutidos en dichos servicios, todo ello en un formato unificado, conforme a los términos específicos que determinará el Banco de España.”</w:t>
      </w:r>
    </w:p>
    <w:p w14:paraId="0AD134D3" w14:textId="77777777" w:rsidR="00B62948" w:rsidRPr="00554476" w:rsidRDefault="00B62948" w:rsidP="00554476">
      <w:pPr>
        <w:spacing w:after="0" w:line="360" w:lineRule="auto"/>
        <w:jc w:val="both"/>
        <w:rPr>
          <w:rFonts w:ascii="Arial" w:eastAsia="Calibri" w:hAnsi="Arial" w:cs="Arial"/>
          <w:sz w:val="20"/>
          <w:szCs w:val="20"/>
        </w:rPr>
      </w:pPr>
    </w:p>
    <w:p w14:paraId="16E44172"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De lo que cabe pensar que el Banco de España, cuando determine en ese formato unificado las comisiones que se perciben por los servicios, lo hará porque dichos servicios son tales, todo ello en cumplimiento del Principio de realidad del servicio.</w:t>
      </w:r>
    </w:p>
    <w:p w14:paraId="4DAF6E22" w14:textId="77777777" w:rsidR="00B62948" w:rsidRPr="00554476" w:rsidRDefault="00B62948" w:rsidP="00554476">
      <w:pPr>
        <w:spacing w:after="0" w:line="360" w:lineRule="auto"/>
        <w:jc w:val="both"/>
        <w:rPr>
          <w:rFonts w:ascii="Arial" w:eastAsia="Calibri" w:hAnsi="Arial" w:cs="Arial"/>
          <w:sz w:val="20"/>
          <w:szCs w:val="20"/>
        </w:rPr>
      </w:pPr>
    </w:p>
    <w:p w14:paraId="5E20DF46"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En desarrollo del mandato anterior, el apartado 1 de la Norma Sexta (</w:t>
      </w:r>
      <w:r w:rsidRPr="00554476">
        <w:rPr>
          <w:rFonts w:ascii="Arial" w:eastAsia="Calibri" w:hAnsi="Arial" w:cs="Arial"/>
          <w:i/>
          <w:sz w:val="20"/>
          <w:szCs w:val="20"/>
          <w:lang w:val="es-ES_tradnl"/>
        </w:rPr>
        <w:t>“Información Precontractual”</w:t>
      </w:r>
      <w:r w:rsidRPr="00554476">
        <w:rPr>
          <w:rFonts w:ascii="Arial" w:eastAsia="Calibri" w:hAnsi="Arial" w:cs="Arial"/>
          <w:sz w:val="20"/>
          <w:szCs w:val="20"/>
          <w:lang w:val="es-ES_tradnl"/>
        </w:rPr>
        <w:t>) de la vigente Circular 5/2012, de 27 de junio, del Banco de España, sobre transparencia de los servicios bancarios y responsabilidad en la concesión de préstamo (en adelante,</w:t>
      </w:r>
      <w:r w:rsidRPr="00554476">
        <w:rPr>
          <w:rFonts w:ascii="Arial" w:eastAsia="Calibri" w:hAnsi="Arial" w:cs="Arial"/>
          <w:b/>
          <w:sz w:val="20"/>
          <w:szCs w:val="20"/>
          <w:lang w:val="es-ES_tradnl"/>
        </w:rPr>
        <w:t xml:space="preserve"> </w:t>
      </w:r>
      <w:r w:rsidRPr="00554476">
        <w:rPr>
          <w:rFonts w:ascii="Arial" w:eastAsia="Calibri" w:hAnsi="Arial" w:cs="Arial"/>
          <w:sz w:val="20"/>
          <w:szCs w:val="20"/>
          <w:lang w:val="es-ES_tradnl"/>
        </w:rPr>
        <w:t>la</w:t>
      </w:r>
      <w:r w:rsidRPr="00554476">
        <w:rPr>
          <w:rFonts w:ascii="Arial" w:eastAsia="Calibri" w:hAnsi="Arial" w:cs="Arial"/>
          <w:b/>
          <w:sz w:val="20"/>
          <w:szCs w:val="20"/>
          <w:lang w:val="es-ES_tradnl"/>
        </w:rPr>
        <w:t xml:space="preserve"> “Circular 5/2012”</w:t>
      </w:r>
      <w:r w:rsidRPr="00554476">
        <w:rPr>
          <w:rFonts w:ascii="Arial" w:eastAsia="Calibri" w:hAnsi="Arial" w:cs="Arial"/>
          <w:sz w:val="20"/>
          <w:szCs w:val="20"/>
          <w:lang w:val="es-ES_tradnl"/>
        </w:rPr>
        <w:t>), establece que:</w:t>
      </w:r>
      <w:r w:rsidRPr="00554476">
        <w:rPr>
          <w:rFonts w:ascii="Arial" w:eastAsia="Calibri" w:hAnsi="Arial" w:cs="Arial"/>
          <w:i/>
          <w:sz w:val="20"/>
          <w:szCs w:val="20"/>
          <w:lang w:val="es-ES_tradnl"/>
        </w:rPr>
        <w:t xml:space="preserve"> </w:t>
      </w:r>
    </w:p>
    <w:p w14:paraId="2E2260DD" w14:textId="77777777" w:rsidR="00B62948" w:rsidRPr="00554476" w:rsidRDefault="00B62948" w:rsidP="00554476">
      <w:pPr>
        <w:spacing w:after="0" w:line="360" w:lineRule="auto"/>
        <w:jc w:val="both"/>
        <w:rPr>
          <w:rFonts w:ascii="Arial" w:eastAsia="Calibri" w:hAnsi="Arial" w:cs="Arial"/>
          <w:sz w:val="20"/>
          <w:szCs w:val="20"/>
        </w:rPr>
      </w:pPr>
    </w:p>
    <w:p w14:paraId="77EACF5B"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lastRenderedPageBreak/>
        <w:t xml:space="preserve">“en el caso particular de los préstamos, cuando las comisiones o los gastos de estudio, tramitación u otros similares, ocasionados por las concesión de los mismos no se integren en una única comisión de apertura, deberán detallarse con precisión los diferentes servicios a los que respondan y su importe”. </w:t>
      </w:r>
    </w:p>
    <w:p w14:paraId="0621C46F" w14:textId="77777777" w:rsidR="00B62948" w:rsidRPr="00554476" w:rsidRDefault="00B62948" w:rsidP="00554476">
      <w:pPr>
        <w:spacing w:after="0" w:line="360" w:lineRule="auto"/>
        <w:jc w:val="both"/>
        <w:rPr>
          <w:rFonts w:ascii="Arial" w:eastAsia="Calibri" w:hAnsi="Arial" w:cs="Arial"/>
          <w:sz w:val="20"/>
          <w:szCs w:val="20"/>
        </w:rPr>
      </w:pPr>
    </w:p>
    <w:p w14:paraId="587978DD"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Es decir, el Banco de España (en adelante, el “Supervisor”) está reconociendo que las comisiones o gastos de estudio, tramitación y similares:</w:t>
      </w:r>
    </w:p>
    <w:p w14:paraId="471EAC5F"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7EC79C8A" w14:textId="77777777" w:rsidR="00B62948" w:rsidRPr="00554476" w:rsidRDefault="00B62948" w:rsidP="001618DF">
      <w:pPr>
        <w:numPr>
          <w:ilvl w:val="0"/>
          <w:numId w:val="15"/>
        </w:numPr>
        <w:spacing w:after="0" w:line="360" w:lineRule="auto"/>
        <w:jc w:val="both"/>
        <w:rPr>
          <w:rFonts w:ascii="Arial" w:eastAsia="Calibri" w:hAnsi="Arial" w:cs="Arial"/>
          <w:sz w:val="20"/>
          <w:szCs w:val="20"/>
        </w:rPr>
      </w:pPr>
      <w:r w:rsidRPr="00554476">
        <w:rPr>
          <w:rFonts w:ascii="Arial" w:eastAsia="Calibri" w:hAnsi="Arial" w:cs="Arial"/>
          <w:b/>
          <w:sz w:val="20"/>
          <w:szCs w:val="20"/>
        </w:rPr>
        <w:t xml:space="preserve">Son un servicio por el que se puede cobrar una comisión, </w:t>
      </w:r>
      <w:r w:rsidRPr="00554476">
        <w:rPr>
          <w:rFonts w:ascii="Arial" w:eastAsia="Calibri" w:hAnsi="Arial" w:cs="Arial"/>
          <w:sz w:val="20"/>
          <w:szCs w:val="20"/>
        </w:rPr>
        <w:t>lo que no deja de ser una reiteración de lo ya previsto en la normativa anteriormente.</w:t>
      </w:r>
    </w:p>
    <w:p w14:paraId="4ACD46C7" w14:textId="77777777" w:rsidR="00B62948" w:rsidRPr="00554476" w:rsidRDefault="00B62948" w:rsidP="00554476">
      <w:pPr>
        <w:spacing w:after="0" w:line="360" w:lineRule="auto"/>
        <w:ind w:left="644"/>
        <w:jc w:val="both"/>
        <w:rPr>
          <w:rFonts w:ascii="Arial" w:eastAsia="Calibri" w:hAnsi="Arial" w:cs="Arial"/>
          <w:sz w:val="20"/>
          <w:szCs w:val="20"/>
        </w:rPr>
      </w:pPr>
    </w:p>
    <w:p w14:paraId="402128D1" w14:textId="77777777" w:rsidR="00B62948" w:rsidRPr="00554476" w:rsidRDefault="00B62948" w:rsidP="001618DF">
      <w:pPr>
        <w:numPr>
          <w:ilvl w:val="0"/>
          <w:numId w:val="15"/>
        </w:numPr>
        <w:spacing w:after="0" w:line="360" w:lineRule="auto"/>
        <w:jc w:val="both"/>
        <w:rPr>
          <w:rFonts w:ascii="Arial" w:eastAsia="Calibri" w:hAnsi="Arial" w:cs="Arial"/>
          <w:b/>
          <w:sz w:val="20"/>
          <w:szCs w:val="20"/>
        </w:rPr>
      </w:pPr>
      <w:r w:rsidRPr="00554476">
        <w:rPr>
          <w:rFonts w:ascii="Arial" w:eastAsia="Calibri" w:hAnsi="Arial" w:cs="Arial"/>
          <w:b/>
          <w:sz w:val="20"/>
          <w:szCs w:val="20"/>
        </w:rPr>
        <w:t>Se ocasionan por la concesión de un préstamo o crédito.</w:t>
      </w:r>
    </w:p>
    <w:p w14:paraId="5327C2AD" w14:textId="77777777" w:rsidR="00B62948" w:rsidRPr="00554476" w:rsidRDefault="00B62948" w:rsidP="00554476">
      <w:pPr>
        <w:spacing w:after="0" w:line="360" w:lineRule="auto"/>
        <w:jc w:val="both"/>
        <w:rPr>
          <w:rFonts w:ascii="Arial" w:eastAsia="Calibri" w:hAnsi="Arial" w:cs="Arial"/>
          <w:b/>
          <w:sz w:val="20"/>
          <w:szCs w:val="20"/>
        </w:rPr>
      </w:pPr>
    </w:p>
    <w:p w14:paraId="1BB0B602" w14:textId="23F9E581" w:rsidR="00B62948" w:rsidRPr="000901AE" w:rsidRDefault="00B62948" w:rsidP="00554476">
      <w:pPr>
        <w:numPr>
          <w:ilvl w:val="0"/>
          <w:numId w:val="15"/>
        </w:numPr>
        <w:spacing w:after="0" w:line="360" w:lineRule="auto"/>
        <w:jc w:val="both"/>
        <w:rPr>
          <w:rFonts w:ascii="Arial" w:eastAsia="Calibri" w:hAnsi="Arial" w:cs="Arial"/>
          <w:b/>
          <w:sz w:val="20"/>
          <w:szCs w:val="20"/>
        </w:rPr>
      </w:pPr>
      <w:r w:rsidRPr="00554476">
        <w:rPr>
          <w:rFonts w:ascii="Arial" w:eastAsia="Calibri" w:hAnsi="Arial" w:cs="Arial"/>
          <w:b/>
          <w:sz w:val="20"/>
          <w:szCs w:val="20"/>
        </w:rPr>
        <w:t>No deben detallarse con precisión los servicios si se integren en una única comisión de apertura.</w:t>
      </w:r>
    </w:p>
    <w:p w14:paraId="654336C7"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Por si fuera poco, el Anejo 1 sobre información pública trimestral y el Anejo 5 sobre información anual a los clientes de dicha Circular 5/2012, amplían aún más las obligaciones de transparencia de la comisión de apertura.</w:t>
      </w:r>
    </w:p>
    <w:p w14:paraId="5E995824"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3BD753D7"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A mayor abundamiento, la Guía de Acceso al Préstamo Hipotecario que debe elaborar el Banco de España en cumplimiento de lo previsto en el art. 20 de la Orden 2899/2011 recoge en un apartado diferenciado dentro del capítulo sobre </w:t>
      </w:r>
      <w:r w:rsidRPr="00554476">
        <w:rPr>
          <w:rFonts w:ascii="Arial" w:eastAsia="Calibri" w:hAnsi="Arial" w:cs="Arial"/>
          <w:i/>
          <w:sz w:val="20"/>
          <w:szCs w:val="20"/>
          <w:lang w:val="es-ES_tradnl"/>
        </w:rPr>
        <w:t>“Las comisiones y otros gastos”</w:t>
      </w:r>
      <w:r w:rsidRPr="00554476">
        <w:rPr>
          <w:rFonts w:ascii="Arial" w:eastAsia="Calibri" w:hAnsi="Arial" w:cs="Arial"/>
          <w:sz w:val="20"/>
          <w:szCs w:val="20"/>
          <w:lang w:val="es-ES_tradnl"/>
        </w:rPr>
        <w:t>, la explicación de lo que es la comisión de apertura, y qué incluye:</w:t>
      </w:r>
    </w:p>
    <w:p w14:paraId="4EB8351F" w14:textId="77777777" w:rsidR="00B62948" w:rsidRPr="00554476" w:rsidRDefault="00B62948" w:rsidP="00554476">
      <w:pPr>
        <w:spacing w:after="0" w:line="360" w:lineRule="auto"/>
        <w:jc w:val="both"/>
        <w:rPr>
          <w:rFonts w:ascii="Arial" w:eastAsia="Calibri" w:hAnsi="Arial" w:cs="Arial"/>
          <w:b/>
          <w:sz w:val="20"/>
          <w:szCs w:val="20"/>
        </w:rPr>
      </w:pPr>
    </w:p>
    <w:p w14:paraId="0BDAD42F"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 “7.1 Comisión de apertura: se cobra de una sola vez y normalmente, pero no siempre, incluye cualquier gasto o coste de estudio o concesión del préstamo. También incluye las gestiones y trámites que se deben realizar correspondientes a la formalización de la operación y puesta a disposición del cliente de los fondos prestados. Esta comisión suele ser un porcentaje sobre la cantidad que se presta y generalmente se paga cuando se firma la operación. Si no incluyen los gastos de estudio de la operación, la entidad deberá detallar estos gastos separadamente”.</w:t>
      </w:r>
    </w:p>
    <w:p w14:paraId="650AD475" w14:textId="77777777" w:rsidR="00B62948" w:rsidRPr="00554476" w:rsidRDefault="00B62948" w:rsidP="00554476">
      <w:pPr>
        <w:spacing w:after="0" w:line="360" w:lineRule="auto"/>
        <w:jc w:val="both"/>
        <w:rPr>
          <w:rFonts w:ascii="Arial" w:eastAsia="Calibri" w:hAnsi="Arial" w:cs="Arial"/>
          <w:sz w:val="20"/>
          <w:szCs w:val="20"/>
        </w:rPr>
      </w:pPr>
    </w:p>
    <w:p w14:paraId="6B856DFC"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La finalidad de dicha Guía, tal y como establece el art. 20.1 de la Orden 2899/2011 es:</w:t>
      </w:r>
    </w:p>
    <w:p w14:paraId="78D94272" w14:textId="77777777" w:rsidR="00B62948" w:rsidRPr="00554476" w:rsidRDefault="00B62948" w:rsidP="00554476">
      <w:pPr>
        <w:spacing w:after="0" w:line="360" w:lineRule="auto"/>
        <w:jc w:val="both"/>
        <w:rPr>
          <w:rFonts w:ascii="Arial" w:eastAsia="Calibri" w:hAnsi="Arial" w:cs="Arial"/>
          <w:sz w:val="20"/>
          <w:szCs w:val="20"/>
        </w:rPr>
      </w:pPr>
    </w:p>
    <w:p w14:paraId="41D710D1"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“que quienes demanden servicios bancarios de préstamo hipotecario dispongan, con carácter previo a la formalización de los mismos, de información adecuada para adoptar sus decisiones de información”</w:t>
      </w:r>
    </w:p>
    <w:p w14:paraId="72ACF013" w14:textId="77777777" w:rsidR="00B62948" w:rsidRPr="00554476" w:rsidRDefault="00B62948" w:rsidP="00554476">
      <w:pPr>
        <w:spacing w:after="0" w:line="360" w:lineRule="auto"/>
        <w:jc w:val="both"/>
        <w:rPr>
          <w:rFonts w:ascii="Arial" w:eastAsia="Calibri" w:hAnsi="Arial" w:cs="Arial"/>
          <w:sz w:val="20"/>
          <w:szCs w:val="20"/>
        </w:rPr>
      </w:pPr>
    </w:p>
    <w:p w14:paraId="6F82F40C"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b/>
          <w:sz w:val="20"/>
          <w:szCs w:val="20"/>
          <w:lang w:val="es-ES_tradnl"/>
        </w:rPr>
        <w:lastRenderedPageBreak/>
        <w:t xml:space="preserve">La Ley 10/2014 </w:t>
      </w:r>
      <w:r w:rsidRPr="00554476">
        <w:rPr>
          <w:rFonts w:ascii="Arial" w:eastAsia="Calibri" w:hAnsi="Arial" w:cs="Arial"/>
          <w:sz w:val="20"/>
          <w:szCs w:val="20"/>
          <w:lang w:val="es-ES_tradnl"/>
        </w:rPr>
        <w:t xml:space="preserve">de Ordenación, Supervisión y Solvencia de las entidades de crédito </w:t>
      </w:r>
      <w:r w:rsidRPr="00554476">
        <w:rPr>
          <w:rFonts w:ascii="Arial" w:eastAsia="Calibri" w:hAnsi="Arial" w:cs="Arial"/>
          <w:b/>
          <w:sz w:val="20"/>
          <w:szCs w:val="20"/>
          <w:lang w:val="es-ES_tradnl"/>
        </w:rPr>
        <w:t>recoge nuevamente</w:t>
      </w:r>
      <w:r w:rsidRPr="00554476">
        <w:rPr>
          <w:rFonts w:ascii="Arial" w:eastAsia="Calibri" w:hAnsi="Arial" w:cs="Arial"/>
          <w:sz w:val="20"/>
          <w:szCs w:val="20"/>
          <w:lang w:val="es-ES_tradnl"/>
        </w:rPr>
        <w:t xml:space="preserve"> (en adelante,</w:t>
      </w:r>
      <w:r w:rsidRPr="00554476">
        <w:rPr>
          <w:rFonts w:ascii="Arial" w:eastAsia="Calibri" w:hAnsi="Arial" w:cs="Arial"/>
          <w:b/>
          <w:sz w:val="20"/>
          <w:szCs w:val="20"/>
          <w:lang w:val="es-ES_tradnl"/>
        </w:rPr>
        <w:t xml:space="preserve"> “LOSSEC”</w:t>
      </w:r>
      <w:r w:rsidRPr="00554476">
        <w:rPr>
          <w:rFonts w:ascii="Arial" w:eastAsia="Calibri" w:hAnsi="Arial" w:cs="Arial"/>
          <w:sz w:val="20"/>
          <w:szCs w:val="20"/>
          <w:lang w:val="es-ES_tradnl"/>
        </w:rPr>
        <w:t>), pero ya en norma con rango de ley,</w:t>
      </w:r>
      <w:r w:rsidRPr="00554476">
        <w:rPr>
          <w:rFonts w:ascii="Arial" w:eastAsia="Calibri" w:hAnsi="Arial" w:cs="Arial"/>
          <w:b/>
          <w:sz w:val="20"/>
          <w:szCs w:val="20"/>
          <w:lang w:val="es-ES_tradnl"/>
        </w:rPr>
        <w:t xml:space="preserve"> el Principio</w:t>
      </w:r>
      <w:r w:rsidRPr="00554476">
        <w:rPr>
          <w:rFonts w:ascii="Arial" w:eastAsia="Calibri" w:hAnsi="Arial" w:cs="Arial"/>
          <w:sz w:val="20"/>
          <w:szCs w:val="20"/>
          <w:lang w:val="es-ES_tradnl"/>
        </w:rPr>
        <w:t xml:space="preserve"> en su art. 5.1, letra b:</w:t>
      </w:r>
    </w:p>
    <w:p w14:paraId="0DD966F9" w14:textId="77777777" w:rsidR="00B62948" w:rsidRPr="00554476" w:rsidRDefault="00B62948" w:rsidP="00554476">
      <w:pPr>
        <w:spacing w:after="0" w:line="360" w:lineRule="auto"/>
        <w:jc w:val="both"/>
        <w:rPr>
          <w:rFonts w:ascii="Arial" w:eastAsia="Calibri" w:hAnsi="Arial" w:cs="Arial"/>
          <w:sz w:val="20"/>
          <w:szCs w:val="20"/>
        </w:rPr>
      </w:pPr>
    </w:p>
    <w:p w14:paraId="6850269C"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“La transparencia de las condiciones básicas de comercialización o contratación de los servicios o productos bancarios que ofrecen las entidades de crédito y, en su caso, el deber y la forma en que deben comunicar tales condiciones a su clientela o al Banco de España. Se podrán establecer, asimismo, condiciones básicas de los servicios o productos bancarios de debido cumplimiento para las entidades de crédito. En particular, solo podrán percibirse comisiones o repercutirse gastos por servicios solicitados en firme o aceptados expresamente por un cliente y siempre que respondan a servicios efectivamente prestados o gastos habidos que puedan acreditarse”</w:t>
      </w:r>
    </w:p>
    <w:p w14:paraId="65E62BCD" w14:textId="77777777" w:rsidR="00B62948" w:rsidRPr="00554476" w:rsidRDefault="00B62948" w:rsidP="00554476">
      <w:pPr>
        <w:spacing w:after="0" w:line="360" w:lineRule="auto"/>
        <w:jc w:val="both"/>
        <w:rPr>
          <w:rFonts w:ascii="Arial" w:eastAsia="Calibri" w:hAnsi="Arial" w:cs="Arial"/>
          <w:sz w:val="20"/>
          <w:szCs w:val="20"/>
        </w:rPr>
      </w:pPr>
    </w:p>
    <w:p w14:paraId="7803C53B" w14:textId="6442DE82" w:rsidR="00B62948" w:rsidRPr="000901AE"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Por si cupiera duda del respeto al Principio que caracteriza a la comisión de apertura, una norma posterior a la Ley 10/2014, como es </w:t>
      </w:r>
      <w:r w:rsidRPr="00554476">
        <w:rPr>
          <w:rFonts w:ascii="Arial" w:eastAsia="Calibri" w:hAnsi="Arial" w:cs="Arial"/>
          <w:b/>
          <w:sz w:val="20"/>
          <w:szCs w:val="20"/>
          <w:lang w:val="es-ES_tradnl"/>
        </w:rPr>
        <w:t>la Circular 4/2017</w:t>
      </w:r>
      <w:r w:rsidRPr="00554476">
        <w:rPr>
          <w:rFonts w:ascii="Arial" w:eastAsia="Calibri" w:hAnsi="Arial" w:cs="Arial"/>
          <w:sz w:val="20"/>
          <w:szCs w:val="20"/>
          <w:lang w:val="es-ES_tradnl"/>
        </w:rPr>
        <w:t>, de Banco de España</w:t>
      </w:r>
      <w:r w:rsidRPr="00554476">
        <w:rPr>
          <w:rFonts w:ascii="Arial" w:eastAsia="Calibri" w:hAnsi="Arial" w:cs="Arial"/>
          <w:b/>
          <w:sz w:val="20"/>
          <w:szCs w:val="20"/>
          <w:lang w:val="es-ES_tradnl"/>
        </w:rPr>
        <w:t>, que clasifica las comisiones bancarias, incluye entre éstas a las “</w:t>
      </w:r>
      <w:r w:rsidRPr="00554476">
        <w:rPr>
          <w:rFonts w:ascii="Arial" w:eastAsia="Calibri" w:hAnsi="Arial" w:cs="Arial"/>
          <w:b/>
          <w:i/>
          <w:sz w:val="20"/>
          <w:szCs w:val="20"/>
          <w:lang w:val="es-ES_tradnl"/>
        </w:rPr>
        <w:t>comisiones recibidas por la creación o adquisición de operaciones de financiación”</w:t>
      </w:r>
      <w:r w:rsidRPr="00554476">
        <w:rPr>
          <w:rFonts w:ascii="Arial" w:eastAsia="Calibri" w:hAnsi="Arial" w:cs="Arial"/>
          <w:sz w:val="20"/>
          <w:szCs w:val="20"/>
          <w:lang w:val="es-ES_tradnl"/>
        </w:rPr>
        <w:t>, aclarando que:</w:t>
      </w:r>
    </w:p>
    <w:p w14:paraId="43B24DA9"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“estas comisiones pueden incluir retribuciones por actividades como la evaluación de la situación financiera del prestatario, la evaluación y el registro de garantías personales, garantías reales y otros acuerdos de garantía, la negociación de las condiciones de la operación, la preparación y el tratamiento de los documentos y el cierre de la transacción”</w:t>
      </w:r>
    </w:p>
    <w:p w14:paraId="2A5A3585" w14:textId="77777777" w:rsidR="00B62948" w:rsidRPr="00554476" w:rsidRDefault="00B62948" w:rsidP="00554476">
      <w:pPr>
        <w:spacing w:after="0" w:line="360" w:lineRule="auto"/>
        <w:jc w:val="both"/>
        <w:rPr>
          <w:rFonts w:ascii="Arial" w:eastAsia="Calibri" w:hAnsi="Arial" w:cs="Arial"/>
          <w:sz w:val="20"/>
          <w:szCs w:val="20"/>
        </w:rPr>
      </w:pPr>
    </w:p>
    <w:p w14:paraId="61C40316"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Por último, es preciso resaltar que el actual Proyecto de Ley de Crédito Inmobiliario recoge en art. 12.3 un nuevo reconocimiento a la comisión de apertura: </w:t>
      </w:r>
    </w:p>
    <w:p w14:paraId="37B73FAE"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0C12C424"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“si se pactase una comisión de apertura, la misma se devengará una sola vez y englobará la totalidad de los gastos de estudio, tramitación o concesión del préstamo u otros similares inherentes a la actividad del prestamista ocasionados por la concesión del préstamo”.</w:t>
      </w:r>
    </w:p>
    <w:p w14:paraId="46FB48F5" w14:textId="77777777" w:rsidR="00B62948" w:rsidRPr="00554476" w:rsidRDefault="00B62948" w:rsidP="00554476">
      <w:pPr>
        <w:spacing w:after="0" w:line="360" w:lineRule="auto"/>
        <w:jc w:val="both"/>
        <w:rPr>
          <w:rFonts w:ascii="Arial" w:eastAsia="Calibri" w:hAnsi="Arial" w:cs="Arial"/>
          <w:sz w:val="20"/>
          <w:szCs w:val="20"/>
        </w:rPr>
      </w:pPr>
    </w:p>
    <w:p w14:paraId="312ABB77" w14:textId="77777777" w:rsidR="00B62948" w:rsidRPr="00554476"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Por ello la comisión resulta plenamente válida, al reunir, como hemos dicho, todos los requisitos exigidos por la normativa sectorial, y no es dable su declaración de nulidad y restituir el importe que resultó con su aplicación. </w:t>
      </w:r>
    </w:p>
    <w:p w14:paraId="4F66A39D" w14:textId="77777777" w:rsidR="00B62948" w:rsidRPr="00554476" w:rsidRDefault="00B62948" w:rsidP="00554476">
      <w:pPr>
        <w:spacing w:after="0" w:line="360" w:lineRule="auto"/>
        <w:rPr>
          <w:rFonts w:ascii="Arial" w:eastAsia="Calibri" w:hAnsi="Arial" w:cs="Arial"/>
          <w:sz w:val="20"/>
          <w:szCs w:val="20"/>
        </w:rPr>
      </w:pPr>
    </w:p>
    <w:p w14:paraId="2F9FA0A4" w14:textId="59733144" w:rsidR="00B62948" w:rsidRDefault="00B62948"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VI</w:t>
      </w:r>
    </w:p>
    <w:p w14:paraId="3335EE79" w14:textId="77777777" w:rsidR="002D63F5" w:rsidRPr="00554476" w:rsidRDefault="002D63F5" w:rsidP="00554476">
      <w:pPr>
        <w:spacing w:after="0" w:line="360" w:lineRule="auto"/>
        <w:jc w:val="center"/>
        <w:rPr>
          <w:rFonts w:ascii="Arial" w:eastAsia="Calibri" w:hAnsi="Arial" w:cs="Arial"/>
          <w:b/>
          <w:sz w:val="20"/>
          <w:szCs w:val="20"/>
        </w:rPr>
      </w:pPr>
    </w:p>
    <w:p w14:paraId="19E28EEB" w14:textId="3D9C0030"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Una vez identificado el conjunto normativo que regula tanto el Principio que rige el establecimiento de las comisiones que las entidades financieras pueden cobrar a sus clientes, como el concepto concreto de la “comisión de apertura”, estamos en disposición de analizar las características que identifican dicha comisión de apertura. </w:t>
      </w:r>
    </w:p>
    <w:p w14:paraId="24C010AC" w14:textId="77777777" w:rsidR="000901AE" w:rsidRPr="00554476" w:rsidRDefault="000901AE" w:rsidP="00554476">
      <w:pPr>
        <w:spacing w:after="0" w:line="360" w:lineRule="auto"/>
        <w:jc w:val="both"/>
        <w:rPr>
          <w:rFonts w:ascii="Arial" w:eastAsia="Calibri" w:hAnsi="Arial" w:cs="Arial"/>
          <w:sz w:val="20"/>
          <w:szCs w:val="20"/>
          <w:lang w:val="es-ES_tradnl"/>
        </w:rPr>
      </w:pPr>
    </w:p>
    <w:p w14:paraId="239190F5"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lastRenderedPageBreak/>
        <w:t>Recordemos que la Orden 2899/2011, siguiendo la tradición ya instaurada por la normativa sectorial anterior, no sólo ha caracterizado y definido los contornos de la comisión de apertura, sino que la reconoce nuevamente y la ha diferenciado claramente de otras comisiones.</w:t>
      </w:r>
    </w:p>
    <w:p w14:paraId="2272DAB3" w14:textId="41D03031"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Aunque la normativa menciona distintas tipologías de comisiones, es precisamente a la de apertura a la que la dota de una caracterización jurídica más definida, ya que permite identificar con claridad qué conceptos son los que la engloba, que no son otros que los de estudio, concesión y tramitación del préstamo hipotecario (Circular 5/2012, Norma Sexta, Apdo. 1). </w:t>
      </w:r>
    </w:p>
    <w:p w14:paraId="6AD59E1E" w14:textId="77777777" w:rsidR="000901AE" w:rsidRPr="00554476" w:rsidRDefault="000901AE" w:rsidP="00554476">
      <w:pPr>
        <w:spacing w:after="0" w:line="360" w:lineRule="auto"/>
        <w:jc w:val="both"/>
        <w:rPr>
          <w:rFonts w:ascii="Arial" w:eastAsia="Calibri" w:hAnsi="Arial" w:cs="Arial"/>
          <w:sz w:val="20"/>
          <w:szCs w:val="20"/>
          <w:lang w:val="es-ES_tradnl"/>
        </w:rPr>
      </w:pPr>
    </w:p>
    <w:p w14:paraId="2B3CDABF" w14:textId="758CE71B"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Por si fuera poco, el Banco de España ha proporcionado a los consumidores, a través de la Guía de Acceso al Préstamo Hipotecario, la “información adecuada para adoptar sus decisiones de financiación” (art. 20.1 de la Orden 2899/2011) describiendo y enumerando los criterios específicos para su devengo y liquidación</w:t>
      </w:r>
    </w:p>
    <w:p w14:paraId="398ADA64"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58A0A36F" w14:textId="0DFBDD63"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La comisión de apertura tiene las siguientes características:</w:t>
      </w:r>
    </w:p>
    <w:p w14:paraId="1268C721"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25AAAF32" w14:textId="1C9ABE7C" w:rsidR="00B62948" w:rsidRDefault="00B62948" w:rsidP="001618DF">
      <w:pPr>
        <w:numPr>
          <w:ilvl w:val="0"/>
          <w:numId w:val="17"/>
        </w:numPr>
        <w:spacing w:after="0" w:line="360" w:lineRule="auto"/>
        <w:jc w:val="both"/>
        <w:rPr>
          <w:rFonts w:ascii="Arial" w:eastAsia="Calibri" w:hAnsi="Arial" w:cs="Arial"/>
          <w:sz w:val="20"/>
          <w:szCs w:val="20"/>
        </w:rPr>
      </w:pPr>
      <w:r w:rsidRPr="00554476">
        <w:rPr>
          <w:rFonts w:ascii="Arial" w:eastAsia="Calibri" w:hAnsi="Arial" w:cs="Arial"/>
          <w:b/>
          <w:sz w:val="20"/>
          <w:szCs w:val="20"/>
        </w:rPr>
        <w:t>Responde</w:t>
      </w:r>
      <w:r w:rsidRPr="00554476">
        <w:rPr>
          <w:rFonts w:ascii="Arial" w:eastAsia="Calibri" w:hAnsi="Arial" w:cs="Arial"/>
          <w:sz w:val="20"/>
          <w:szCs w:val="20"/>
        </w:rPr>
        <w:t xml:space="preserve">, </w:t>
      </w:r>
      <w:proofErr w:type="spellStart"/>
      <w:r w:rsidRPr="00554476">
        <w:rPr>
          <w:rFonts w:ascii="Arial" w:eastAsia="Calibri" w:hAnsi="Arial" w:cs="Arial"/>
          <w:i/>
          <w:sz w:val="20"/>
          <w:szCs w:val="20"/>
        </w:rPr>
        <w:t>ope</w:t>
      </w:r>
      <w:proofErr w:type="spellEnd"/>
      <w:r w:rsidRPr="00554476">
        <w:rPr>
          <w:rFonts w:ascii="Arial" w:eastAsia="Calibri" w:hAnsi="Arial" w:cs="Arial"/>
          <w:i/>
          <w:sz w:val="20"/>
          <w:szCs w:val="20"/>
        </w:rPr>
        <w:t xml:space="preserve"> </w:t>
      </w:r>
      <w:proofErr w:type="spellStart"/>
      <w:r w:rsidRPr="00554476">
        <w:rPr>
          <w:rFonts w:ascii="Arial" w:eastAsia="Calibri" w:hAnsi="Arial" w:cs="Arial"/>
          <w:i/>
          <w:sz w:val="20"/>
          <w:szCs w:val="20"/>
        </w:rPr>
        <w:t>legis</w:t>
      </w:r>
      <w:proofErr w:type="spellEnd"/>
      <w:r w:rsidRPr="00554476">
        <w:rPr>
          <w:rFonts w:ascii="Arial" w:eastAsia="Calibri" w:hAnsi="Arial" w:cs="Arial"/>
          <w:sz w:val="20"/>
          <w:szCs w:val="20"/>
        </w:rPr>
        <w:t xml:space="preserve">, </w:t>
      </w:r>
      <w:r w:rsidRPr="00554476">
        <w:rPr>
          <w:rFonts w:ascii="Arial" w:eastAsia="Calibri" w:hAnsi="Arial" w:cs="Arial"/>
          <w:b/>
          <w:sz w:val="20"/>
          <w:szCs w:val="20"/>
        </w:rPr>
        <w:t>a la prestación de uno o varios servicios</w:t>
      </w:r>
      <w:r w:rsidRPr="00554476">
        <w:rPr>
          <w:rFonts w:ascii="Arial" w:eastAsia="Calibri" w:hAnsi="Arial" w:cs="Arial"/>
          <w:sz w:val="20"/>
          <w:szCs w:val="20"/>
        </w:rPr>
        <w:t xml:space="preserve"> o conceptos en el contexto de la contratación de un préstamo hipotecario. Dichos servicios vienen enumerados en la normativa, como ya se ha visto, e incluyen:</w:t>
      </w:r>
    </w:p>
    <w:p w14:paraId="778A6F57" w14:textId="77777777" w:rsidR="000901AE" w:rsidRPr="00554476" w:rsidRDefault="000901AE" w:rsidP="000901AE">
      <w:pPr>
        <w:spacing w:after="0" w:line="360" w:lineRule="auto"/>
        <w:ind w:left="1080"/>
        <w:jc w:val="both"/>
        <w:rPr>
          <w:rFonts w:ascii="Arial" w:eastAsia="Calibri" w:hAnsi="Arial" w:cs="Arial"/>
          <w:sz w:val="20"/>
          <w:szCs w:val="20"/>
        </w:rPr>
      </w:pPr>
    </w:p>
    <w:p w14:paraId="200FCAC9" w14:textId="77777777" w:rsidR="00B62948" w:rsidRPr="00554476" w:rsidRDefault="00B62948" w:rsidP="001618DF">
      <w:pPr>
        <w:pStyle w:val="Prrafodelista"/>
        <w:numPr>
          <w:ilvl w:val="0"/>
          <w:numId w:val="18"/>
        </w:numPr>
        <w:spacing w:after="0" w:line="360" w:lineRule="auto"/>
        <w:jc w:val="both"/>
        <w:rPr>
          <w:rFonts w:ascii="Arial" w:eastAsia="Calibri" w:hAnsi="Arial" w:cs="Arial"/>
          <w:sz w:val="20"/>
          <w:szCs w:val="20"/>
        </w:rPr>
      </w:pPr>
      <w:r w:rsidRPr="00554476">
        <w:rPr>
          <w:rFonts w:ascii="Arial" w:eastAsia="Calibri" w:hAnsi="Arial" w:cs="Arial"/>
          <w:sz w:val="20"/>
          <w:szCs w:val="20"/>
        </w:rPr>
        <w:t>Los servicios de estudio de la operación de préstamo hipotecario.</w:t>
      </w:r>
    </w:p>
    <w:p w14:paraId="18E34EA6" w14:textId="77777777" w:rsidR="00B62948" w:rsidRPr="00554476" w:rsidRDefault="00B62948" w:rsidP="00554476">
      <w:pPr>
        <w:pStyle w:val="Prrafodelista"/>
        <w:spacing w:after="0" w:line="360" w:lineRule="auto"/>
        <w:ind w:left="1364"/>
        <w:jc w:val="both"/>
        <w:rPr>
          <w:rFonts w:ascii="Arial" w:eastAsia="Calibri" w:hAnsi="Arial" w:cs="Arial"/>
          <w:sz w:val="20"/>
          <w:szCs w:val="20"/>
        </w:rPr>
      </w:pPr>
    </w:p>
    <w:p w14:paraId="634CF0AC" w14:textId="77777777" w:rsidR="00B62948" w:rsidRPr="00554476" w:rsidRDefault="00B62948" w:rsidP="001618DF">
      <w:pPr>
        <w:pStyle w:val="Prrafodelista"/>
        <w:numPr>
          <w:ilvl w:val="0"/>
          <w:numId w:val="18"/>
        </w:numPr>
        <w:spacing w:after="0" w:line="360" w:lineRule="auto"/>
        <w:jc w:val="both"/>
        <w:rPr>
          <w:rFonts w:ascii="Arial" w:eastAsia="Calibri" w:hAnsi="Arial" w:cs="Arial"/>
          <w:sz w:val="20"/>
          <w:szCs w:val="20"/>
        </w:rPr>
      </w:pPr>
      <w:r w:rsidRPr="00554476">
        <w:rPr>
          <w:rFonts w:ascii="Arial" w:eastAsia="Calibri" w:hAnsi="Arial" w:cs="Arial"/>
          <w:sz w:val="20"/>
          <w:szCs w:val="20"/>
        </w:rPr>
        <w:t>Las gestiones y trámites que se deben realizar para la formalización del préstamo y para la puesta a disposición de los fondos prestados.</w:t>
      </w:r>
    </w:p>
    <w:p w14:paraId="19B9E36F" w14:textId="77777777" w:rsidR="00B62948" w:rsidRPr="00554476" w:rsidRDefault="00B62948" w:rsidP="00554476">
      <w:pPr>
        <w:pStyle w:val="Prrafodelista"/>
        <w:spacing w:after="0" w:line="360" w:lineRule="auto"/>
        <w:ind w:left="1364"/>
        <w:jc w:val="both"/>
        <w:rPr>
          <w:rFonts w:ascii="Arial" w:eastAsia="Calibri" w:hAnsi="Arial" w:cs="Arial"/>
          <w:sz w:val="20"/>
          <w:szCs w:val="20"/>
        </w:rPr>
      </w:pPr>
    </w:p>
    <w:p w14:paraId="0B56D0DA" w14:textId="77777777" w:rsidR="00B62948" w:rsidRPr="00554476" w:rsidRDefault="00B62948" w:rsidP="001618DF">
      <w:pPr>
        <w:pStyle w:val="Prrafodelista"/>
        <w:numPr>
          <w:ilvl w:val="0"/>
          <w:numId w:val="18"/>
        </w:numPr>
        <w:spacing w:after="0" w:line="360" w:lineRule="auto"/>
        <w:jc w:val="both"/>
        <w:rPr>
          <w:rFonts w:ascii="Arial" w:eastAsia="Calibri" w:hAnsi="Arial" w:cs="Arial"/>
          <w:sz w:val="20"/>
          <w:szCs w:val="20"/>
        </w:rPr>
      </w:pPr>
      <w:r w:rsidRPr="00554476">
        <w:rPr>
          <w:rFonts w:ascii="Arial" w:eastAsia="Calibri" w:hAnsi="Arial" w:cs="Arial"/>
          <w:sz w:val="20"/>
          <w:szCs w:val="20"/>
        </w:rPr>
        <w:t>Otros inherentes a la actividad del banco ocasionados por la concesión del préstamo.</w:t>
      </w:r>
    </w:p>
    <w:p w14:paraId="51600206" w14:textId="77777777" w:rsidR="002D63F5" w:rsidRDefault="002D63F5" w:rsidP="00554476">
      <w:pPr>
        <w:spacing w:after="0" w:line="360" w:lineRule="auto"/>
        <w:jc w:val="both"/>
        <w:rPr>
          <w:rFonts w:ascii="Arial" w:eastAsia="Calibri" w:hAnsi="Arial" w:cs="Arial"/>
          <w:sz w:val="20"/>
          <w:szCs w:val="20"/>
        </w:rPr>
      </w:pPr>
    </w:p>
    <w:p w14:paraId="1C96DF2A" w14:textId="256E3BC0" w:rsidR="00B62948"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La normativa analizada asume, por obvio, la existencia de una serie de servicios previos y necesarios para conceder un préstamo hipotecario y, por ello, partiendo del Principio, que no puede dejar de respetar, reconoce la posibilidad de cobro de esta específica comisión. </w:t>
      </w:r>
    </w:p>
    <w:p w14:paraId="10F6F438" w14:textId="77777777" w:rsidR="002D63F5" w:rsidRPr="00554476" w:rsidRDefault="002D63F5" w:rsidP="00554476">
      <w:pPr>
        <w:spacing w:after="0" w:line="360" w:lineRule="auto"/>
        <w:jc w:val="both"/>
        <w:rPr>
          <w:rFonts w:ascii="Arial" w:eastAsia="Calibri" w:hAnsi="Arial" w:cs="Arial"/>
          <w:sz w:val="20"/>
          <w:szCs w:val="20"/>
        </w:rPr>
      </w:pPr>
    </w:p>
    <w:p w14:paraId="62FC08ED" w14:textId="7C92A4BC" w:rsidR="00B62948"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Las actuaciones remuneradas por la comisión de apertura incluyen, como señala la Norma 38 de la Circular 4/2017 de Banco de España, </w:t>
      </w:r>
      <w:r w:rsidRPr="00554476">
        <w:rPr>
          <w:rFonts w:ascii="Arial" w:eastAsia="Calibri" w:hAnsi="Arial" w:cs="Arial"/>
          <w:i/>
          <w:sz w:val="20"/>
          <w:szCs w:val="20"/>
        </w:rPr>
        <w:t>“la evaluación de la situación financiera del prestatario, la evaluación y el registro de garantías personales, garantías reales y otros acuerdos de garantía, la negociación de las condiciones de la operación, la preparación y el tratamiento de los documentos y el cierre de la transacción</w:t>
      </w:r>
      <w:r w:rsidRPr="00554476">
        <w:rPr>
          <w:rFonts w:ascii="Arial" w:eastAsia="Calibri" w:hAnsi="Arial" w:cs="Arial"/>
          <w:sz w:val="20"/>
          <w:szCs w:val="20"/>
        </w:rPr>
        <w:t>”.</w:t>
      </w:r>
    </w:p>
    <w:p w14:paraId="20C6C4EC" w14:textId="77777777" w:rsidR="002D63F5" w:rsidRPr="00554476" w:rsidRDefault="002D63F5" w:rsidP="00554476">
      <w:pPr>
        <w:spacing w:after="0" w:line="360" w:lineRule="auto"/>
        <w:jc w:val="both"/>
        <w:rPr>
          <w:rFonts w:ascii="Arial" w:eastAsia="Calibri" w:hAnsi="Arial" w:cs="Arial"/>
          <w:sz w:val="20"/>
          <w:szCs w:val="20"/>
        </w:rPr>
      </w:pPr>
    </w:p>
    <w:p w14:paraId="79EF4E8D" w14:textId="6C5BA884" w:rsidR="00B62948" w:rsidRDefault="00B62948" w:rsidP="001618DF">
      <w:pPr>
        <w:numPr>
          <w:ilvl w:val="0"/>
          <w:numId w:val="17"/>
        </w:numPr>
        <w:spacing w:after="0" w:line="360" w:lineRule="auto"/>
        <w:jc w:val="both"/>
        <w:rPr>
          <w:rFonts w:ascii="Arial" w:eastAsia="Calibri" w:hAnsi="Arial" w:cs="Arial"/>
          <w:sz w:val="20"/>
          <w:szCs w:val="20"/>
        </w:rPr>
      </w:pPr>
      <w:r w:rsidRPr="00554476">
        <w:rPr>
          <w:rFonts w:ascii="Arial" w:eastAsia="Calibri" w:hAnsi="Arial" w:cs="Arial"/>
          <w:b/>
          <w:sz w:val="20"/>
          <w:szCs w:val="20"/>
        </w:rPr>
        <w:t>No es necesario detallar con precisión los diferentes servicios a los que responden y su importe</w:t>
      </w:r>
      <w:r w:rsidRPr="00554476">
        <w:rPr>
          <w:rFonts w:ascii="Arial" w:eastAsia="Calibri" w:hAnsi="Arial" w:cs="Arial"/>
          <w:sz w:val="20"/>
          <w:szCs w:val="20"/>
        </w:rPr>
        <w:t xml:space="preserve">, salvo en el caso de que no se integren en una única comisión. La razón por la que la normativa bancaria no exige el detalle de los </w:t>
      </w:r>
      <w:r w:rsidRPr="00554476">
        <w:rPr>
          <w:rFonts w:ascii="Arial" w:eastAsia="Calibri" w:hAnsi="Arial" w:cs="Arial"/>
          <w:sz w:val="20"/>
          <w:szCs w:val="20"/>
        </w:rPr>
        <w:lastRenderedPageBreak/>
        <w:t xml:space="preserve">diferentes servicios a los que responde esta comisión parece evidente: </w:t>
      </w:r>
      <w:r w:rsidRPr="00554476">
        <w:rPr>
          <w:rFonts w:ascii="Arial" w:eastAsia="Calibri" w:hAnsi="Arial" w:cs="Arial"/>
          <w:b/>
          <w:sz w:val="20"/>
          <w:szCs w:val="20"/>
        </w:rPr>
        <w:t>dicho detalle lo proporciona esa misma normativa</w:t>
      </w:r>
      <w:r w:rsidRPr="00554476">
        <w:rPr>
          <w:rFonts w:ascii="Arial" w:eastAsia="Calibri" w:hAnsi="Arial" w:cs="Arial"/>
          <w:sz w:val="20"/>
          <w:szCs w:val="20"/>
        </w:rPr>
        <w:t>, enumerando esos servicios, como se ha visto más arriba. Sólo cuando se pretenda cobrar esos servicios que se prestan con carácter previo al momento de firma del préstamo de forma separada, es cuando se requiere su individualización, a los efectos de evitar un doble cobro por un mismo servicio.</w:t>
      </w:r>
    </w:p>
    <w:p w14:paraId="135CC00D" w14:textId="77777777" w:rsidR="000901AE" w:rsidRPr="00554476" w:rsidRDefault="000901AE" w:rsidP="000901AE">
      <w:pPr>
        <w:spacing w:after="0" w:line="360" w:lineRule="auto"/>
        <w:ind w:left="1080"/>
        <w:jc w:val="both"/>
        <w:rPr>
          <w:rFonts w:ascii="Arial" w:eastAsia="Calibri" w:hAnsi="Arial" w:cs="Arial"/>
          <w:sz w:val="20"/>
          <w:szCs w:val="20"/>
        </w:rPr>
      </w:pPr>
    </w:p>
    <w:p w14:paraId="6CA56AFC" w14:textId="77777777" w:rsidR="00B62948" w:rsidRPr="00554476" w:rsidRDefault="00B62948" w:rsidP="001618DF">
      <w:pPr>
        <w:numPr>
          <w:ilvl w:val="0"/>
          <w:numId w:val="17"/>
        </w:numPr>
        <w:spacing w:after="0" w:line="360" w:lineRule="auto"/>
        <w:jc w:val="both"/>
        <w:rPr>
          <w:rFonts w:ascii="Arial" w:eastAsia="Calibri" w:hAnsi="Arial" w:cs="Arial"/>
          <w:sz w:val="20"/>
          <w:szCs w:val="20"/>
        </w:rPr>
      </w:pPr>
      <w:r w:rsidRPr="00554476">
        <w:rPr>
          <w:rFonts w:ascii="Arial" w:eastAsia="Calibri" w:hAnsi="Arial" w:cs="Arial"/>
          <w:b/>
          <w:sz w:val="20"/>
          <w:szCs w:val="20"/>
        </w:rPr>
        <w:t>Se cobra de una sola vez, generalmente cuando se firma la operación</w:t>
      </w:r>
      <w:r w:rsidRPr="00554476">
        <w:rPr>
          <w:rFonts w:ascii="Arial" w:eastAsia="Calibri" w:hAnsi="Arial" w:cs="Arial"/>
          <w:sz w:val="20"/>
          <w:szCs w:val="20"/>
        </w:rPr>
        <w:t>. Se pretende con ello remunerar de una sola vez todos esos servicios y costes que la entidad prestamista ha asumido hasta el preciso momento de la firma del préstamo; servicios que, como se verá más adelante en detalle, existen y suponen un esfuerzo y un coste en términos materiales y humanos que legitiman el cobro de la comisión de apertura. Y además, se suelen cobrar cuando todos esos servicios ya han sido prestados, es decir, cuando se culmina el proceso previo a la firma del contrato de préstamo.</w:t>
      </w:r>
    </w:p>
    <w:p w14:paraId="210637D1" w14:textId="21DCEFA5" w:rsidR="00B62948" w:rsidRDefault="00B62948" w:rsidP="001618DF">
      <w:pPr>
        <w:numPr>
          <w:ilvl w:val="0"/>
          <w:numId w:val="17"/>
        </w:numPr>
        <w:spacing w:after="0" w:line="360" w:lineRule="auto"/>
        <w:jc w:val="both"/>
        <w:rPr>
          <w:rFonts w:ascii="Arial" w:eastAsia="Calibri" w:hAnsi="Arial" w:cs="Arial"/>
          <w:sz w:val="20"/>
          <w:szCs w:val="20"/>
        </w:rPr>
      </w:pPr>
      <w:r w:rsidRPr="00554476">
        <w:rPr>
          <w:rFonts w:ascii="Arial" w:eastAsia="Calibri" w:hAnsi="Arial" w:cs="Arial"/>
          <w:b/>
          <w:sz w:val="20"/>
          <w:szCs w:val="20"/>
        </w:rPr>
        <w:t>Suele ser un porcentaje sobre la cantidad que se presta</w:t>
      </w:r>
      <w:r w:rsidRPr="00554476">
        <w:rPr>
          <w:rFonts w:ascii="Arial" w:eastAsia="Calibri" w:hAnsi="Arial" w:cs="Arial"/>
          <w:sz w:val="20"/>
          <w:szCs w:val="20"/>
        </w:rPr>
        <w:t xml:space="preserve">. Lo reconoce el Banco de España en la Guía de Acceso al Préstamo Hipotecario y ello es así porque los conceptos que engloba son heterogéneos e incluyen, tanto gastos y costes asumidos por la entidad prestamista antes de la firma del préstamo, como la legítima remuneración por servicios reconocidos en la norma, sin que sea necesario entrar a detallar ni el importe de cada coste ni el precio de cada servicio, siempre que </w:t>
      </w:r>
      <w:r w:rsidRPr="00554476">
        <w:rPr>
          <w:rFonts w:ascii="Arial" w:eastAsia="Calibri" w:hAnsi="Arial" w:cs="Arial"/>
          <w:i/>
          <w:sz w:val="20"/>
          <w:szCs w:val="20"/>
        </w:rPr>
        <w:t>“se integren en una única comisión”</w:t>
      </w:r>
      <w:r w:rsidRPr="00554476">
        <w:rPr>
          <w:rFonts w:ascii="Arial" w:eastAsia="Calibri" w:hAnsi="Arial" w:cs="Arial"/>
          <w:sz w:val="20"/>
          <w:szCs w:val="20"/>
        </w:rPr>
        <w:t>, como señala la Circular 5/2012.</w:t>
      </w:r>
    </w:p>
    <w:p w14:paraId="33E2564C" w14:textId="77777777" w:rsidR="000901AE" w:rsidRPr="00554476" w:rsidRDefault="000901AE" w:rsidP="000901AE">
      <w:pPr>
        <w:spacing w:after="0" w:line="360" w:lineRule="auto"/>
        <w:ind w:left="1080"/>
        <w:jc w:val="both"/>
        <w:rPr>
          <w:rFonts w:ascii="Arial" w:eastAsia="Calibri" w:hAnsi="Arial" w:cs="Arial"/>
          <w:sz w:val="20"/>
          <w:szCs w:val="20"/>
        </w:rPr>
      </w:pPr>
    </w:p>
    <w:p w14:paraId="0698008E" w14:textId="277C0FD6" w:rsidR="00B62948" w:rsidRDefault="00B62948" w:rsidP="001618DF">
      <w:pPr>
        <w:numPr>
          <w:ilvl w:val="0"/>
          <w:numId w:val="17"/>
        </w:numPr>
        <w:spacing w:after="0" w:line="360" w:lineRule="auto"/>
        <w:jc w:val="both"/>
        <w:rPr>
          <w:rFonts w:ascii="Arial" w:eastAsia="Calibri" w:hAnsi="Arial" w:cs="Arial"/>
          <w:sz w:val="20"/>
          <w:szCs w:val="20"/>
        </w:rPr>
      </w:pPr>
      <w:r w:rsidRPr="00554476">
        <w:rPr>
          <w:rFonts w:ascii="Arial" w:eastAsia="Calibri" w:hAnsi="Arial" w:cs="Arial"/>
          <w:sz w:val="20"/>
          <w:szCs w:val="20"/>
        </w:rPr>
        <w:t>Como cualquier otra comisión,</w:t>
      </w:r>
      <w:r w:rsidRPr="00554476">
        <w:rPr>
          <w:rFonts w:ascii="Arial" w:eastAsia="Calibri" w:hAnsi="Arial" w:cs="Arial"/>
          <w:b/>
          <w:sz w:val="20"/>
          <w:szCs w:val="20"/>
        </w:rPr>
        <w:t xml:space="preserve"> sólo puede percibirse por servicios solicitados en firme o aceptados expresamente por el cliente </w:t>
      </w:r>
      <w:r w:rsidRPr="00554476">
        <w:rPr>
          <w:rFonts w:ascii="Arial" w:eastAsia="Calibri" w:hAnsi="Arial" w:cs="Arial"/>
          <w:sz w:val="20"/>
          <w:szCs w:val="20"/>
        </w:rPr>
        <w:t>(art. 3.1 Orden 2899/2011). Que la solicitud del préstamo proviene del consumidor es evidente, como lo es la aceptación expresa de la comisión de apertura, puesto que se incorpora tanto en la Ficha de Información Personalizada (cuyo contenido se incorpora también en la oferta vinculante) regulada en el art. 22 de la Orden 2899/2011 como en el contrato de préstamo hipotecario que el consumidor suscribe al final del proceso y antes su abono. Además, dicha comisión forma parte de los costes a tener en cuenta en el cálculo de la TAE, de forma que el consumidor pueda comparar distintas ofertas teniendo en cuenta el efecto de dicha comisión en el coste total del préstamo.</w:t>
      </w:r>
    </w:p>
    <w:p w14:paraId="5D783B37" w14:textId="77777777" w:rsidR="002D63F5" w:rsidRPr="00554476" w:rsidRDefault="002D63F5" w:rsidP="002D63F5">
      <w:pPr>
        <w:spacing w:after="0" w:line="360" w:lineRule="auto"/>
        <w:ind w:left="1080"/>
        <w:jc w:val="both"/>
        <w:rPr>
          <w:rFonts w:ascii="Arial" w:eastAsia="Calibri" w:hAnsi="Arial" w:cs="Arial"/>
          <w:sz w:val="20"/>
          <w:szCs w:val="20"/>
        </w:rPr>
      </w:pPr>
    </w:p>
    <w:p w14:paraId="105A00D6" w14:textId="09B7B77C"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La legalidad de la comisión de apertura, por tanto, no puede ser cuestionada con la simple objeción de que no responde a ningún servicio prestado por el Banco, ya que tanto el Gobierno como el Banco de España, en ejercicio legítimo de sus respectivas potestades reglamentarias y a partir de su conocimiento exhaustivo de la realidad del mercado hipotecario, han considerado que esos servicios son inherentes a la actividad de las entidades financieras, y admitida la posibilidad de que se cobre por ellos.  </w:t>
      </w:r>
    </w:p>
    <w:p w14:paraId="6806C8B1"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67DEBC86" w14:textId="60AAF31F"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Por ello, la propia normativa bancaria ha partido de esos hechos constatados (“hechos determinantes” base de la regulación administrativa) y ha establecido una suerte de presunción </w:t>
      </w:r>
      <w:r w:rsidRPr="00554476">
        <w:rPr>
          <w:rFonts w:ascii="Arial" w:eastAsia="Calibri" w:hAnsi="Arial" w:cs="Arial"/>
          <w:i/>
          <w:sz w:val="20"/>
          <w:szCs w:val="20"/>
          <w:lang w:val="es-ES_tradnl"/>
        </w:rPr>
        <w:t>iuris et de iure</w:t>
      </w:r>
      <w:r w:rsidRPr="00554476">
        <w:rPr>
          <w:rFonts w:ascii="Arial" w:eastAsia="Calibri" w:hAnsi="Arial" w:cs="Arial"/>
          <w:sz w:val="20"/>
          <w:szCs w:val="20"/>
          <w:lang w:val="es-ES_tradnl"/>
        </w:rPr>
        <w:t xml:space="preserve"> de que dicha comisión es la consecuencia de unos servicios y de unos gastos que necesariamente se producen con ocasión de cada préstamo hipotecario y que, por tanto, y como tales, pueden ser cobrados al cliente. Ello contrasta con el régimen de otras comisiones para las que a nuestro legislador sí le parece necesario que se acredite la realidad del servicio prestado, o incluso en otros casos, aceptando la existencia del servicio, al legislador le parece más adecuado que dichas comisiones queden subsumidas en el tipo de interés pactado.</w:t>
      </w:r>
    </w:p>
    <w:p w14:paraId="193DE5F3"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66F35604" w14:textId="3FE60601"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Sería impensable, por contradictorio, que tanto el Gobierno como el Banco de España, en legítimo ejercicio de sus respectivas potestades reglamentarias y a partir de un conocimiento exhaustivo de la realidad de estos mercados ,regulara y desarrollara a lo largo de casi 30 años la normativa de transparencia reconociendo la existencia y legitimidad del cobro de la comisión de apertura de manera tan exhaustiva y explícita, y que ahora resultara que dicha comisión es abusiva porque no cumple el Principio de realidad del servicio, cuando dicho Principio se encuentra ínsito en la propia norma desde su mismo nacimiento. </w:t>
      </w:r>
      <w:r w:rsidRPr="00554476">
        <w:rPr>
          <w:rFonts w:ascii="Arial" w:eastAsia="Calibri" w:hAnsi="Arial" w:cs="Arial"/>
          <w:b/>
          <w:sz w:val="20"/>
          <w:szCs w:val="20"/>
          <w:lang w:val="es-ES_tradnl"/>
        </w:rPr>
        <w:t xml:space="preserve">Nuestro Legislador y el Supervisor bancario, lejos de cuestionar la legalidad de la comisión de apertura por infringir el Principio de la realidad del servicio en alguna de las numerosas modificaciones legislativas en esta materia, continúan reconociendo su existencia y legitimidad de forma clara y evidente. Si no se hubiese considerado así, </w:t>
      </w:r>
      <w:r w:rsidRPr="00554476">
        <w:rPr>
          <w:rFonts w:ascii="Arial" w:eastAsia="Calibri" w:hAnsi="Arial" w:cs="Arial"/>
          <w:sz w:val="20"/>
          <w:szCs w:val="20"/>
          <w:lang w:val="es-ES_tradnl"/>
        </w:rPr>
        <w:t>las respectivas normas que configuran la comisión de apertura habrían sido impugnadas ante los Tribunales hace años. En conclusión, lo que no resulta jurídicamente correcto es dar por hecho que las normas yerran pues hacer tal cosa supondría pasar de la presunción de legalidad de la actividad administrativa (legalmente establecida) a otra presunción de ilegalidad y error, que serían declarados, con muy dudosa jurisdicción, por l</w:t>
      </w:r>
      <w:r w:rsidR="002D63F5">
        <w:rPr>
          <w:rFonts w:ascii="Arial" w:eastAsia="Calibri" w:hAnsi="Arial" w:cs="Arial"/>
          <w:sz w:val="20"/>
          <w:szCs w:val="20"/>
          <w:lang w:val="es-ES_tradnl"/>
        </w:rPr>
        <w:t xml:space="preserve">os Tribunales Civiles.  </w:t>
      </w:r>
    </w:p>
    <w:p w14:paraId="768137F1" w14:textId="77777777" w:rsidR="002D63F5" w:rsidRPr="00554476" w:rsidRDefault="002D63F5" w:rsidP="00554476">
      <w:pPr>
        <w:spacing w:after="0" w:line="360" w:lineRule="auto"/>
        <w:jc w:val="both"/>
        <w:rPr>
          <w:rFonts w:ascii="Arial" w:eastAsia="Calibri" w:hAnsi="Arial" w:cs="Arial"/>
          <w:b/>
          <w:sz w:val="20"/>
          <w:szCs w:val="20"/>
          <w:lang w:val="es-ES_tradnl"/>
        </w:rPr>
      </w:pPr>
    </w:p>
    <w:p w14:paraId="2037C287" w14:textId="35E53864" w:rsidR="00B62948" w:rsidRDefault="00B62948" w:rsidP="00554476">
      <w:pPr>
        <w:spacing w:after="0" w:line="360" w:lineRule="auto"/>
        <w:jc w:val="both"/>
        <w:rPr>
          <w:rFonts w:ascii="Arial" w:eastAsia="Calibri" w:hAnsi="Arial" w:cs="Arial"/>
          <w:i/>
          <w:sz w:val="20"/>
          <w:szCs w:val="20"/>
        </w:rPr>
      </w:pPr>
      <w:r w:rsidRPr="00554476">
        <w:rPr>
          <w:rFonts w:ascii="Arial" w:eastAsia="Calibri" w:hAnsi="Arial" w:cs="Arial"/>
          <w:bCs/>
          <w:sz w:val="20"/>
          <w:szCs w:val="20"/>
          <w:lang w:val="es-ES_tradnl"/>
        </w:rPr>
        <w:t xml:space="preserve">Por  último, y aunque </w:t>
      </w:r>
      <w:r w:rsidRPr="00554476">
        <w:rPr>
          <w:rFonts w:ascii="Arial" w:eastAsia="Calibri" w:hAnsi="Arial" w:cs="Arial"/>
          <w:sz w:val="20"/>
          <w:szCs w:val="20"/>
          <w:lang w:val="es-ES_tradnl"/>
        </w:rPr>
        <w:t xml:space="preserve">la </w:t>
      </w:r>
      <w:r w:rsidRPr="00554476">
        <w:rPr>
          <w:rFonts w:ascii="Arial" w:eastAsia="Calibri" w:hAnsi="Arial" w:cs="Arial"/>
          <w:b/>
          <w:sz w:val="20"/>
          <w:szCs w:val="20"/>
          <w:lang w:val="es-ES_tradnl"/>
        </w:rPr>
        <w:t xml:space="preserve">Ley 2/2009, de 31 de marzo, por la que se regula la contratación con los consumidores de préstamos o créditos hipotecarios, </w:t>
      </w:r>
      <w:r w:rsidRPr="00554476">
        <w:rPr>
          <w:rFonts w:ascii="Arial" w:eastAsia="Calibri" w:hAnsi="Arial" w:cs="Arial"/>
          <w:sz w:val="20"/>
          <w:szCs w:val="20"/>
          <w:lang w:val="es-ES_tradnl"/>
        </w:rPr>
        <w:t>no aplica a las entidades de crédito,</w:t>
      </w:r>
      <w:r w:rsidRPr="00554476">
        <w:rPr>
          <w:rFonts w:ascii="Arial" w:eastAsia="Calibri" w:hAnsi="Arial" w:cs="Arial"/>
          <w:b/>
          <w:sz w:val="20"/>
          <w:szCs w:val="20"/>
          <w:lang w:val="es-ES_tradnl"/>
        </w:rPr>
        <w:t xml:space="preserve"> </w:t>
      </w:r>
      <w:r w:rsidRPr="00554476">
        <w:rPr>
          <w:rFonts w:ascii="Arial" w:eastAsia="Calibri" w:hAnsi="Arial" w:cs="Arial"/>
          <w:bCs/>
          <w:sz w:val="20"/>
          <w:szCs w:val="20"/>
          <w:lang w:val="es-ES_tradnl"/>
        </w:rPr>
        <w:t xml:space="preserve">es revelador advertir cómo el Legislador, preocupado por la posibilidad de que entidades diferentes a las de crédito formalicen préstamos o créditos hipotecarios con consumidores sin las protecciones que ofrece la normativa bancaria (puesto que a dichos prestamistas, al no ser entidades de crédito, no les aplicaría), dicta una normativa que </w:t>
      </w:r>
      <w:r w:rsidRPr="00554476">
        <w:rPr>
          <w:rFonts w:ascii="Arial" w:eastAsia="Calibri" w:hAnsi="Arial" w:cs="Arial"/>
          <w:b/>
          <w:bCs/>
          <w:sz w:val="20"/>
          <w:szCs w:val="20"/>
          <w:lang w:val="es-ES_tradnl"/>
        </w:rPr>
        <w:t>recoge nuevamente el Principio</w:t>
      </w:r>
      <w:r w:rsidRPr="00554476">
        <w:rPr>
          <w:rFonts w:ascii="Arial" w:eastAsia="Calibri" w:hAnsi="Arial" w:cs="Arial"/>
          <w:bCs/>
          <w:sz w:val="20"/>
          <w:szCs w:val="20"/>
          <w:lang w:val="es-ES_tradnl"/>
        </w:rPr>
        <w:t xml:space="preserve"> en su art. 5.2: </w:t>
      </w:r>
      <w:r w:rsidRPr="00554476">
        <w:rPr>
          <w:rFonts w:ascii="Arial" w:eastAsia="Calibri" w:hAnsi="Arial" w:cs="Arial"/>
          <w:i/>
          <w:sz w:val="20"/>
          <w:szCs w:val="20"/>
        </w:rPr>
        <w:t>“Las comisiones o compensaciones y gastos repercutidos deben responder a servicios efectivamente prestados o a gastos habidos.”</w:t>
      </w:r>
    </w:p>
    <w:p w14:paraId="35B11238" w14:textId="77777777" w:rsidR="002D63F5" w:rsidRPr="00554476" w:rsidRDefault="002D63F5" w:rsidP="00554476">
      <w:pPr>
        <w:spacing w:after="0" w:line="360" w:lineRule="auto"/>
        <w:jc w:val="both"/>
        <w:rPr>
          <w:rFonts w:ascii="Arial" w:eastAsia="Calibri" w:hAnsi="Arial" w:cs="Arial"/>
          <w:bCs/>
          <w:sz w:val="20"/>
          <w:szCs w:val="20"/>
          <w:lang w:val="es-ES_tradnl"/>
        </w:rPr>
      </w:pPr>
    </w:p>
    <w:p w14:paraId="162E7E2D" w14:textId="4455FAA8"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Resulta absurdo entender que cuando los préstamos son otorgados por entidades distintas de las de crédito la actividad del prestamista lleva consigo, como inherentes, los servicios de estudio, de concesión o tramitación del préstamo o crédito hipotecario, u otros similares, y, sin embargo, </w:t>
      </w:r>
      <w:r w:rsidRPr="00554476">
        <w:rPr>
          <w:rFonts w:ascii="Arial" w:eastAsia="Calibri" w:hAnsi="Arial" w:cs="Arial"/>
          <w:sz w:val="20"/>
          <w:szCs w:val="20"/>
          <w:lang w:val="es-ES_tradnl"/>
        </w:rPr>
        <w:lastRenderedPageBreak/>
        <w:t>cuando el préstamo es otorgado por entidades de crédito aquellos servicios –en contra de lo previsto por las normas reglamentarias aplicables- lisa y llanamente no han existido.</w:t>
      </w:r>
    </w:p>
    <w:p w14:paraId="317DDA38"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10AB429E" w14:textId="59051B16" w:rsidR="00B62948"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Y a continuación, vuelve a otorgar carta de naturaleza a la comisión de apertura,</w:t>
      </w:r>
      <w:r w:rsidRPr="00554476">
        <w:rPr>
          <w:rFonts w:ascii="Arial" w:eastAsia="Calibri" w:hAnsi="Arial" w:cs="Arial"/>
          <w:b/>
          <w:sz w:val="20"/>
          <w:szCs w:val="20"/>
          <w:lang w:val="es-ES_tradnl"/>
        </w:rPr>
        <w:t xml:space="preserve"> reconociendo que responde a la prestación de unos servicios determinados</w:t>
      </w:r>
      <w:r w:rsidRPr="00554476">
        <w:rPr>
          <w:rFonts w:ascii="Arial" w:eastAsia="Calibri" w:hAnsi="Arial" w:cs="Arial"/>
          <w:sz w:val="20"/>
          <w:szCs w:val="20"/>
          <w:lang w:val="es-ES_tradnl"/>
        </w:rPr>
        <w:t xml:space="preserve">: </w:t>
      </w:r>
    </w:p>
    <w:p w14:paraId="33ED1102" w14:textId="77777777" w:rsidR="002D63F5" w:rsidRPr="00554476" w:rsidRDefault="002D63F5" w:rsidP="00554476">
      <w:pPr>
        <w:spacing w:after="0" w:line="360" w:lineRule="auto"/>
        <w:jc w:val="both"/>
        <w:rPr>
          <w:rFonts w:ascii="Arial" w:eastAsia="Calibri" w:hAnsi="Arial" w:cs="Arial"/>
          <w:sz w:val="20"/>
          <w:szCs w:val="20"/>
          <w:lang w:val="es-ES_tradnl"/>
        </w:rPr>
      </w:pPr>
    </w:p>
    <w:p w14:paraId="152758B4" w14:textId="77777777" w:rsidR="00B62948" w:rsidRPr="00554476" w:rsidRDefault="00B62948"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“b) En los préstamos o créditos hipotecarios sobre viviendas, la </w:t>
      </w:r>
      <w:proofErr w:type="spellStart"/>
      <w:r w:rsidRPr="00554476">
        <w:rPr>
          <w:rFonts w:ascii="Arial" w:eastAsia="Calibri" w:hAnsi="Arial" w:cs="Arial"/>
          <w:i/>
          <w:sz w:val="20"/>
          <w:szCs w:val="20"/>
        </w:rPr>
        <w:t>comisión</w:t>
      </w:r>
      <w:proofErr w:type="spellEnd"/>
      <w:r w:rsidRPr="00554476">
        <w:rPr>
          <w:rFonts w:ascii="Arial" w:eastAsia="Calibri" w:hAnsi="Arial" w:cs="Arial"/>
          <w:i/>
          <w:sz w:val="20"/>
          <w:szCs w:val="20"/>
        </w:rPr>
        <w:t xml:space="preserve"> de apertura, que se devengará una sola vez, englobará cualesquiera gastos de estudio, de </w:t>
      </w:r>
      <w:proofErr w:type="spellStart"/>
      <w:r w:rsidRPr="00554476">
        <w:rPr>
          <w:rFonts w:ascii="Arial" w:eastAsia="Calibri" w:hAnsi="Arial" w:cs="Arial"/>
          <w:i/>
          <w:sz w:val="20"/>
          <w:szCs w:val="20"/>
        </w:rPr>
        <w:t>concesión</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tramitación</w:t>
      </w:r>
      <w:proofErr w:type="spellEnd"/>
      <w:r w:rsidRPr="00554476">
        <w:rPr>
          <w:rFonts w:ascii="Arial" w:eastAsia="Calibri" w:hAnsi="Arial" w:cs="Arial"/>
          <w:i/>
          <w:sz w:val="20"/>
          <w:szCs w:val="20"/>
        </w:rPr>
        <w:t xml:space="preserve"> del </w:t>
      </w:r>
      <w:proofErr w:type="spellStart"/>
      <w:r w:rsidRPr="00554476">
        <w:rPr>
          <w:rFonts w:ascii="Arial" w:eastAsia="Calibri" w:hAnsi="Arial" w:cs="Arial"/>
          <w:i/>
          <w:sz w:val="20"/>
          <w:szCs w:val="20"/>
        </w:rPr>
        <w:t>préstamo</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w:t>
      </w:r>
      <w:proofErr w:type="spellEnd"/>
      <w:r w:rsidRPr="00554476">
        <w:rPr>
          <w:rFonts w:ascii="Arial" w:eastAsia="Calibri" w:hAnsi="Arial" w:cs="Arial"/>
          <w:i/>
          <w:sz w:val="20"/>
          <w:szCs w:val="20"/>
        </w:rPr>
        <w:t xml:space="preserve"> hipotecario u otros similares inherentes a la actividad de la empresa ocasionada por la </w:t>
      </w:r>
      <w:proofErr w:type="spellStart"/>
      <w:r w:rsidRPr="00554476">
        <w:rPr>
          <w:rFonts w:ascii="Arial" w:eastAsia="Calibri" w:hAnsi="Arial" w:cs="Arial"/>
          <w:i/>
          <w:sz w:val="20"/>
          <w:szCs w:val="20"/>
        </w:rPr>
        <w:t>concesión</w:t>
      </w:r>
      <w:proofErr w:type="spellEnd"/>
      <w:r w:rsidRPr="00554476">
        <w:rPr>
          <w:rFonts w:ascii="Arial" w:eastAsia="Calibri" w:hAnsi="Arial" w:cs="Arial"/>
          <w:i/>
          <w:sz w:val="20"/>
          <w:szCs w:val="20"/>
        </w:rPr>
        <w:t xml:space="preserve"> del </w:t>
      </w:r>
      <w:proofErr w:type="spellStart"/>
      <w:r w:rsidRPr="00554476">
        <w:rPr>
          <w:rFonts w:ascii="Arial" w:eastAsia="Calibri" w:hAnsi="Arial" w:cs="Arial"/>
          <w:i/>
          <w:sz w:val="20"/>
          <w:szCs w:val="20"/>
        </w:rPr>
        <w:t>préstamo</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w:t>
      </w:r>
      <w:proofErr w:type="spellEnd"/>
      <w:r w:rsidRPr="00554476">
        <w:rPr>
          <w:rFonts w:ascii="Arial" w:eastAsia="Calibri" w:hAnsi="Arial" w:cs="Arial"/>
          <w:i/>
          <w:sz w:val="20"/>
          <w:szCs w:val="20"/>
        </w:rPr>
        <w:t xml:space="preserve">. En el caso de </w:t>
      </w:r>
      <w:proofErr w:type="spellStart"/>
      <w:r w:rsidRPr="00554476">
        <w:rPr>
          <w:rFonts w:ascii="Arial" w:eastAsia="Calibri" w:hAnsi="Arial" w:cs="Arial"/>
          <w:i/>
          <w:sz w:val="20"/>
          <w:szCs w:val="20"/>
        </w:rPr>
        <w:t>préstamos</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créditos</w:t>
      </w:r>
      <w:proofErr w:type="spellEnd"/>
      <w:r w:rsidRPr="00554476">
        <w:rPr>
          <w:rFonts w:ascii="Arial" w:eastAsia="Calibri" w:hAnsi="Arial" w:cs="Arial"/>
          <w:i/>
          <w:sz w:val="20"/>
          <w:szCs w:val="20"/>
        </w:rPr>
        <w:t xml:space="preserve"> denominados en divisas, la </w:t>
      </w:r>
      <w:proofErr w:type="spellStart"/>
      <w:r w:rsidRPr="00554476">
        <w:rPr>
          <w:rFonts w:ascii="Arial" w:eastAsia="Calibri" w:hAnsi="Arial" w:cs="Arial"/>
          <w:i/>
          <w:sz w:val="20"/>
          <w:szCs w:val="20"/>
        </w:rPr>
        <w:t>comisión</w:t>
      </w:r>
      <w:proofErr w:type="spellEnd"/>
      <w:r w:rsidRPr="00554476">
        <w:rPr>
          <w:rFonts w:ascii="Arial" w:eastAsia="Calibri" w:hAnsi="Arial" w:cs="Arial"/>
          <w:i/>
          <w:sz w:val="20"/>
          <w:szCs w:val="20"/>
        </w:rPr>
        <w:t xml:space="preserve"> de apertura </w:t>
      </w:r>
      <w:proofErr w:type="spellStart"/>
      <w:r w:rsidRPr="00554476">
        <w:rPr>
          <w:rFonts w:ascii="Arial" w:eastAsia="Calibri" w:hAnsi="Arial" w:cs="Arial"/>
          <w:i/>
          <w:sz w:val="20"/>
          <w:szCs w:val="20"/>
        </w:rPr>
        <w:t>incluira</w:t>
      </w:r>
      <w:proofErr w:type="spellEnd"/>
      <w:r w:rsidRPr="00554476">
        <w:rPr>
          <w:rFonts w:ascii="Arial" w:eastAsia="Calibri" w:hAnsi="Arial" w:cs="Arial"/>
          <w:i/>
          <w:sz w:val="20"/>
          <w:szCs w:val="20"/>
        </w:rPr>
        <w:t xml:space="preserve">́, asimismo, cualquier </w:t>
      </w:r>
      <w:proofErr w:type="spellStart"/>
      <w:r w:rsidRPr="00554476">
        <w:rPr>
          <w:rFonts w:ascii="Arial" w:eastAsia="Calibri" w:hAnsi="Arial" w:cs="Arial"/>
          <w:i/>
          <w:sz w:val="20"/>
          <w:szCs w:val="20"/>
        </w:rPr>
        <w:t>comisión</w:t>
      </w:r>
      <w:proofErr w:type="spellEnd"/>
      <w:r w:rsidRPr="00554476">
        <w:rPr>
          <w:rFonts w:ascii="Arial" w:eastAsia="Calibri" w:hAnsi="Arial" w:cs="Arial"/>
          <w:i/>
          <w:sz w:val="20"/>
          <w:szCs w:val="20"/>
        </w:rPr>
        <w:t xml:space="preserve"> por cambio de moneda correspondiente al desembolso inicial del </w:t>
      </w:r>
      <w:proofErr w:type="spellStart"/>
      <w:r w:rsidRPr="00554476">
        <w:rPr>
          <w:rFonts w:ascii="Arial" w:eastAsia="Calibri" w:hAnsi="Arial" w:cs="Arial"/>
          <w:i/>
          <w:sz w:val="20"/>
          <w:szCs w:val="20"/>
        </w:rPr>
        <w:t>préstamo</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w:t>
      </w:r>
      <w:proofErr w:type="spellEnd"/>
      <w:r w:rsidRPr="00554476">
        <w:rPr>
          <w:rFonts w:ascii="Arial" w:eastAsia="Calibri" w:hAnsi="Arial" w:cs="Arial"/>
          <w:i/>
          <w:sz w:val="20"/>
          <w:szCs w:val="20"/>
        </w:rPr>
        <w:t xml:space="preserve">. </w:t>
      </w:r>
    </w:p>
    <w:p w14:paraId="2EF847EC" w14:textId="1F47FA54" w:rsidR="00B62948" w:rsidRPr="000901AE" w:rsidRDefault="00B62948" w:rsidP="000901AE">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Las restantes comisiones y gastos repercutibles a cargo del consumidor, que la empresa aplique sobre estos </w:t>
      </w:r>
      <w:proofErr w:type="spellStart"/>
      <w:r w:rsidRPr="00554476">
        <w:rPr>
          <w:rFonts w:ascii="Arial" w:eastAsia="Calibri" w:hAnsi="Arial" w:cs="Arial"/>
          <w:i/>
          <w:sz w:val="20"/>
          <w:szCs w:val="20"/>
        </w:rPr>
        <w:t>préstamos</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créditos</w:t>
      </w:r>
      <w:proofErr w:type="spellEnd"/>
      <w:r w:rsidRPr="00554476">
        <w:rPr>
          <w:rFonts w:ascii="Arial" w:eastAsia="Calibri" w:hAnsi="Arial" w:cs="Arial"/>
          <w:i/>
          <w:sz w:val="20"/>
          <w:szCs w:val="20"/>
        </w:rPr>
        <w:t xml:space="preserve">, </w:t>
      </w:r>
      <w:proofErr w:type="spellStart"/>
      <w:r w:rsidRPr="00554476">
        <w:rPr>
          <w:rFonts w:ascii="Arial" w:eastAsia="Calibri" w:hAnsi="Arial" w:cs="Arial"/>
          <w:i/>
          <w:sz w:val="20"/>
          <w:szCs w:val="20"/>
        </w:rPr>
        <w:t>deberán</w:t>
      </w:r>
      <w:proofErr w:type="spellEnd"/>
      <w:r w:rsidRPr="00554476">
        <w:rPr>
          <w:rFonts w:ascii="Arial" w:eastAsia="Calibri" w:hAnsi="Arial" w:cs="Arial"/>
          <w:i/>
          <w:sz w:val="20"/>
          <w:szCs w:val="20"/>
        </w:rPr>
        <w:t xml:space="preserve"> responder a la </w:t>
      </w:r>
      <w:proofErr w:type="spellStart"/>
      <w:r w:rsidRPr="00554476">
        <w:rPr>
          <w:rFonts w:ascii="Arial" w:eastAsia="Calibri" w:hAnsi="Arial" w:cs="Arial"/>
          <w:i/>
          <w:sz w:val="20"/>
          <w:szCs w:val="20"/>
        </w:rPr>
        <w:t>prestación</w:t>
      </w:r>
      <w:proofErr w:type="spellEnd"/>
      <w:r w:rsidRPr="00554476">
        <w:rPr>
          <w:rFonts w:ascii="Arial" w:eastAsia="Calibri" w:hAnsi="Arial" w:cs="Arial"/>
          <w:i/>
          <w:sz w:val="20"/>
          <w:szCs w:val="20"/>
        </w:rPr>
        <w:t xml:space="preserve"> de un servicio </w:t>
      </w:r>
      <w:proofErr w:type="spellStart"/>
      <w:r w:rsidRPr="00554476">
        <w:rPr>
          <w:rFonts w:ascii="Arial" w:eastAsia="Calibri" w:hAnsi="Arial" w:cs="Arial"/>
          <w:i/>
          <w:sz w:val="20"/>
          <w:szCs w:val="20"/>
        </w:rPr>
        <w:t>específico</w:t>
      </w:r>
      <w:proofErr w:type="spellEnd"/>
      <w:r w:rsidRPr="00554476">
        <w:rPr>
          <w:rFonts w:ascii="Arial" w:eastAsia="Calibri" w:hAnsi="Arial" w:cs="Arial"/>
          <w:i/>
          <w:sz w:val="20"/>
          <w:szCs w:val="20"/>
        </w:rPr>
        <w:t xml:space="preserve"> distinto de la </w:t>
      </w:r>
      <w:proofErr w:type="spellStart"/>
      <w:r w:rsidRPr="00554476">
        <w:rPr>
          <w:rFonts w:ascii="Arial" w:eastAsia="Calibri" w:hAnsi="Arial" w:cs="Arial"/>
          <w:i/>
          <w:sz w:val="20"/>
          <w:szCs w:val="20"/>
        </w:rPr>
        <w:t>concesión</w:t>
      </w:r>
      <w:proofErr w:type="spellEnd"/>
      <w:r w:rsidRPr="00554476">
        <w:rPr>
          <w:rFonts w:ascii="Arial" w:eastAsia="Calibri" w:hAnsi="Arial" w:cs="Arial"/>
          <w:i/>
          <w:sz w:val="20"/>
          <w:szCs w:val="20"/>
        </w:rPr>
        <w:t xml:space="preserve"> o de la </w:t>
      </w:r>
      <w:proofErr w:type="spellStart"/>
      <w:r w:rsidRPr="00554476">
        <w:rPr>
          <w:rFonts w:ascii="Arial" w:eastAsia="Calibri" w:hAnsi="Arial" w:cs="Arial"/>
          <w:i/>
          <w:sz w:val="20"/>
          <w:szCs w:val="20"/>
        </w:rPr>
        <w:t>administración</w:t>
      </w:r>
      <w:proofErr w:type="spellEnd"/>
      <w:r w:rsidRPr="00554476">
        <w:rPr>
          <w:rFonts w:ascii="Arial" w:eastAsia="Calibri" w:hAnsi="Arial" w:cs="Arial"/>
          <w:i/>
          <w:sz w:val="20"/>
          <w:szCs w:val="20"/>
        </w:rPr>
        <w:t xml:space="preserve"> ordinaria del </w:t>
      </w:r>
      <w:proofErr w:type="spellStart"/>
      <w:r w:rsidRPr="00554476">
        <w:rPr>
          <w:rFonts w:ascii="Arial" w:eastAsia="Calibri" w:hAnsi="Arial" w:cs="Arial"/>
          <w:i/>
          <w:sz w:val="20"/>
          <w:szCs w:val="20"/>
        </w:rPr>
        <w:t>préstamo</w:t>
      </w:r>
      <w:proofErr w:type="spellEnd"/>
      <w:r w:rsidRPr="00554476">
        <w:rPr>
          <w:rFonts w:ascii="Arial" w:eastAsia="Calibri" w:hAnsi="Arial" w:cs="Arial"/>
          <w:i/>
          <w:sz w:val="20"/>
          <w:szCs w:val="20"/>
        </w:rPr>
        <w:t xml:space="preserve"> o </w:t>
      </w:r>
      <w:proofErr w:type="spellStart"/>
      <w:r w:rsidRPr="00554476">
        <w:rPr>
          <w:rFonts w:ascii="Arial" w:eastAsia="Calibri" w:hAnsi="Arial" w:cs="Arial"/>
          <w:i/>
          <w:sz w:val="20"/>
          <w:szCs w:val="20"/>
        </w:rPr>
        <w:t>crédito</w:t>
      </w:r>
      <w:proofErr w:type="spellEnd"/>
      <w:r w:rsidRPr="00554476">
        <w:rPr>
          <w:rFonts w:ascii="Arial" w:eastAsia="Calibri" w:hAnsi="Arial" w:cs="Arial"/>
          <w:i/>
          <w:sz w:val="20"/>
          <w:szCs w:val="20"/>
        </w:rPr>
        <w:t xml:space="preserve">.” </w:t>
      </w:r>
    </w:p>
    <w:p w14:paraId="05EBEC19" w14:textId="42004253" w:rsidR="00B62948" w:rsidRDefault="00B62948"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VII</w:t>
      </w:r>
    </w:p>
    <w:p w14:paraId="1EFD4305" w14:textId="77777777" w:rsidR="002D63F5" w:rsidRPr="00554476" w:rsidRDefault="002D63F5" w:rsidP="00554476">
      <w:pPr>
        <w:spacing w:after="0" w:line="360" w:lineRule="auto"/>
        <w:jc w:val="center"/>
        <w:rPr>
          <w:rFonts w:ascii="Arial" w:eastAsia="Calibri" w:hAnsi="Arial" w:cs="Arial"/>
          <w:b/>
          <w:sz w:val="20"/>
          <w:szCs w:val="20"/>
        </w:rPr>
      </w:pPr>
    </w:p>
    <w:p w14:paraId="46CD39DF" w14:textId="51C6030F" w:rsidR="00B62948"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Pero es que, además, </w:t>
      </w:r>
      <w:r w:rsidRPr="00554476">
        <w:rPr>
          <w:rFonts w:ascii="Arial" w:eastAsia="Calibri" w:hAnsi="Arial" w:cs="Arial"/>
          <w:b/>
          <w:sz w:val="20"/>
          <w:szCs w:val="20"/>
        </w:rPr>
        <w:t>la comisión de apertura, de estar sujeta a la directiva 93/13, tampoco sería una condición general de la contratación</w:t>
      </w:r>
      <w:r w:rsidRPr="00554476">
        <w:rPr>
          <w:rFonts w:ascii="Arial" w:eastAsia="Calibri" w:hAnsi="Arial" w:cs="Arial"/>
          <w:sz w:val="20"/>
          <w:szCs w:val="20"/>
        </w:rPr>
        <w:t>, y ello, por los motivos seguidamente expuestos:</w:t>
      </w:r>
    </w:p>
    <w:p w14:paraId="347038E8" w14:textId="77777777" w:rsidR="002D63F5" w:rsidRPr="00554476" w:rsidRDefault="002D63F5" w:rsidP="00554476">
      <w:pPr>
        <w:spacing w:after="0" w:line="360" w:lineRule="auto"/>
        <w:jc w:val="both"/>
        <w:rPr>
          <w:rFonts w:ascii="Arial" w:eastAsia="Calibri" w:hAnsi="Arial" w:cs="Arial"/>
          <w:sz w:val="20"/>
          <w:szCs w:val="20"/>
        </w:rPr>
      </w:pPr>
    </w:p>
    <w:p w14:paraId="4A320218" w14:textId="77777777" w:rsidR="00B62948" w:rsidRPr="00554476" w:rsidRDefault="00B62948" w:rsidP="00554476">
      <w:pPr>
        <w:spacing w:after="0" w:line="360" w:lineRule="auto"/>
        <w:jc w:val="both"/>
        <w:rPr>
          <w:rFonts w:ascii="Arial" w:eastAsia="Calibri" w:hAnsi="Arial" w:cs="Arial"/>
          <w:b/>
          <w:sz w:val="20"/>
          <w:szCs w:val="20"/>
        </w:rPr>
      </w:pPr>
      <w:r w:rsidRPr="00554476">
        <w:rPr>
          <w:rFonts w:ascii="Arial" w:eastAsia="Calibri" w:hAnsi="Arial" w:cs="Arial"/>
          <w:b/>
          <w:sz w:val="20"/>
          <w:szCs w:val="20"/>
        </w:rPr>
        <w:t>1. La comisión de apertura es parte del precio o retribución.</w:t>
      </w:r>
    </w:p>
    <w:p w14:paraId="7B8723A3" w14:textId="77777777" w:rsidR="00B62948" w:rsidRPr="00554476" w:rsidRDefault="00B62948" w:rsidP="00554476">
      <w:pPr>
        <w:spacing w:after="0" w:line="360" w:lineRule="auto"/>
        <w:jc w:val="both"/>
        <w:rPr>
          <w:rFonts w:ascii="Arial" w:eastAsia="Calibri" w:hAnsi="Arial" w:cs="Arial"/>
          <w:b/>
          <w:sz w:val="20"/>
          <w:szCs w:val="20"/>
        </w:rPr>
      </w:pPr>
    </w:p>
    <w:p w14:paraId="0A6F2B04"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Aunque ha quedado demostrado que ni la Directiva 93/13 ni la LCGCU son aplicables al hecho de que se pacte una comisión de apertura en un préstamo hipotecario, podría argumentarse que, si bien ésta puede ser incorporada, su concreción (que no su existencia) podría ser abusiva.</w:t>
      </w:r>
    </w:p>
    <w:p w14:paraId="65D1E33C" w14:textId="77777777" w:rsidR="00B62948" w:rsidRPr="00554476" w:rsidRDefault="00B62948" w:rsidP="00554476">
      <w:pPr>
        <w:spacing w:after="0" w:line="360" w:lineRule="auto"/>
        <w:jc w:val="both"/>
        <w:rPr>
          <w:rFonts w:ascii="Arial" w:eastAsia="Calibri" w:hAnsi="Arial" w:cs="Arial"/>
          <w:sz w:val="20"/>
          <w:szCs w:val="20"/>
        </w:rPr>
      </w:pPr>
    </w:p>
    <w:p w14:paraId="40076A23"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Sin embargo, afirmar que se puede valorar la </w:t>
      </w:r>
      <w:proofErr w:type="spellStart"/>
      <w:r w:rsidRPr="00554476">
        <w:rPr>
          <w:rFonts w:ascii="Arial" w:eastAsia="Calibri" w:hAnsi="Arial" w:cs="Arial"/>
          <w:sz w:val="20"/>
          <w:szCs w:val="20"/>
          <w:lang w:val="es-ES_tradnl"/>
        </w:rPr>
        <w:t>abusividad</w:t>
      </w:r>
      <w:proofErr w:type="spellEnd"/>
      <w:r w:rsidRPr="00554476">
        <w:rPr>
          <w:rFonts w:ascii="Arial" w:eastAsia="Calibri" w:hAnsi="Arial" w:cs="Arial"/>
          <w:sz w:val="20"/>
          <w:szCs w:val="20"/>
          <w:lang w:val="es-ES_tradnl"/>
        </w:rPr>
        <w:t xml:space="preserve"> de la comisión de apertura en dichos términos es lo mismo que decir que se puede valorar la </w:t>
      </w:r>
      <w:proofErr w:type="spellStart"/>
      <w:r w:rsidRPr="00554476">
        <w:rPr>
          <w:rFonts w:ascii="Arial" w:eastAsia="Calibri" w:hAnsi="Arial" w:cs="Arial"/>
          <w:sz w:val="20"/>
          <w:szCs w:val="20"/>
          <w:lang w:val="es-ES_tradnl"/>
        </w:rPr>
        <w:t>abusividad</w:t>
      </w:r>
      <w:proofErr w:type="spellEnd"/>
      <w:r w:rsidRPr="00554476">
        <w:rPr>
          <w:rFonts w:ascii="Arial" w:eastAsia="Calibri" w:hAnsi="Arial" w:cs="Arial"/>
          <w:sz w:val="20"/>
          <w:szCs w:val="20"/>
          <w:lang w:val="es-ES_tradnl"/>
        </w:rPr>
        <w:t xml:space="preserve"> de la comisión de apertura en función de su magnitud, de su importe concreto. </w:t>
      </w:r>
    </w:p>
    <w:p w14:paraId="777F856C" w14:textId="77777777" w:rsidR="00B62948" w:rsidRPr="00554476" w:rsidRDefault="00B62948" w:rsidP="00554476">
      <w:pPr>
        <w:spacing w:after="0" w:line="360" w:lineRule="auto"/>
        <w:jc w:val="both"/>
        <w:rPr>
          <w:rFonts w:ascii="Arial" w:eastAsia="Calibri" w:hAnsi="Arial" w:cs="Arial"/>
          <w:sz w:val="20"/>
          <w:szCs w:val="20"/>
        </w:rPr>
      </w:pPr>
    </w:p>
    <w:p w14:paraId="722E6FBA"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Tal afirmación, sin embargo, sería contraria al principio establecido en el art. 4.2 de la Directiva 93/13, que establece que </w:t>
      </w:r>
      <w:r w:rsidRPr="00554476">
        <w:rPr>
          <w:rFonts w:ascii="Arial" w:eastAsia="Calibri" w:hAnsi="Arial" w:cs="Arial"/>
          <w:i/>
          <w:sz w:val="20"/>
          <w:szCs w:val="20"/>
        </w:rPr>
        <w:t>“</w:t>
      </w:r>
      <w:r w:rsidRPr="00554476">
        <w:rPr>
          <w:rFonts w:ascii="Arial" w:eastAsia="Calibri" w:hAnsi="Arial" w:cs="Arial"/>
          <w:b/>
          <w:i/>
          <w:sz w:val="20"/>
          <w:szCs w:val="20"/>
        </w:rPr>
        <w:t>La apreciación del carácter abusivo de las cláusulas no se referirá a</w:t>
      </w:r>
      <w:r w:rsidRPr="00554476">
        <w:rPr>
          <w:rFonts w:ascii="Arial" w:eastAsia="Calibri" w:hAnsi="Arial" w:cs="Arial"/>
          <w:i/>
          <w:sz w:val="20"/>
          <w:szCs w:val="20"/>
        </w:rPr>
        <w:t xml:space="preserve"> la adecuación del objeto principal del contrato ni a </w:t>
      </w:r>
      <w:r w:rsidRPr="00554476">
        <w:rPr>
          <w:rFonts w:ascii="Arial" w:eastAsia="Calibri" w:hAnsi="Arial" w:cs="Arial"/>
          <w:b/>
          <w:i/>
          <w:sz w:val="20"/>
          <w:szCs w:val="20"/>
        </w:rPr>
        <w:t>la adecuación entre precio y retribución</w:t>
      </w:r>
      <w:r w:rsidRPr="00554476">
        <w:rPr>
          <w:rFonts w:ascii="Arial" w:eastAsia="Calibri" w:hAnsi="Arial" w:cs="Arial"/>
          <w:i/>
          <w:sz w:val="20"/>
          <w:szCs w:val="20"/>
        </w:rPr>
        <w:t>, por una parte, ni a los servicios o bienes que hayan de proporcionarse como contrapartida, por otra, siempre que dichas cláusulas se redacten de manera clara y comprensible.”</w:t>
      </w:r>
    </w:p>
    <w:p w14:paraId="7A811732"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4563D745"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lastRenderedPageBreak/>
        <w:t>Que la comisión de apertura es parte del precio o al menos de la retribución que cobra la entidad financiera, no parece que pueda ser discutible. Y si ello es así, la consecuencia inmediata es que no se puede entrar a apreciar el carácter abusivo de dicha cláusula.</w:t>
      </w:r>
    </w:p>
    <w:p w14:paraId="22464085" w14:textId="77777777" w:rsidR="00B62948" w:rsidRPr="00554476" w:rsidRDefault="00B62948" w:rsidP="00554476">
      <w:pPr>
        <w:spacing w:after="0" w:line="360" w:lineRule="auto"/>
        <w:jc w:val="both"/>
        <w:rPr>
          <w:rFonts w:ascii="Arial" w:eastAsia="Calibri" w:hAnsi="Arial" w:cs="Arial"/>
          <w:sz w:val="20"/>
          <w:szCs w:val="20"/>
        </w:rPr>
      </w:pPr>
    </w:p>
    <w:p w14:paraId="7C25E89B" w14:textId="77777777" w:rsidR="00B62948" w:rsidRPr="00554476" w:rsidRDefault="00B62948" w:rsidP="00554476">
      <w:pPr>
        <w:spacing w:after="0" w:line="360" w:lineRule="auto"/>
        <w:jc w:val="both"/>
        <w:rPr>
          <w:rFonts w:ascii="Arial" w:eastAsia="Calibri" w:hAnsi="Arial" w:cs="Arial"/>
          <w:b/>
          <w:sz w:val="20"/>
          <w:szCs w:val="20"/>
        </w:rPr>
      </w:pPr>
      <w:r w:rsidRPr="00554476">
        <w:rPr>
          <w:rFonts w:ascii="Arial" w:eastAsia="Calibri" w:hAnsi="Arial" w:cs="Arial"/>
          <w:b/>
          <w:sz w:val="20"/>
          <w:szCs w:val="20"/>
        </w:rPr>
        <w:t>2. La comisión de apertura no es una condición general de la contratación.</w:t>
      </w:r>
    </w:p>
    <w:p w14:paraId="55598EA6" w14:textId="77777777" w:rsidR="00B62948" w:rsidRPr="00554476" w:rsidRDefault="00B62948" w:rsidP="00554476">
      <w:pPr>
        <w:spacing w:after="0" w:line="360" w:lineRule="auto"/>
        <w:jc w:val="both"/>
        <w:rPr>
          <w:rFonts w:ascii="Arial" w:eastAsia="Calibri" w:hAnsi="Arial" w:cs="Arial"/>
          <w:b/>
          <w:sz w:val="20"/>
          <w:szCs w:val="20"/>
        </w:rPr>
      </w:pPr>
    </w:p>
    <w:p w14:paraId="67C25862"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La actora afirma que la cláusula correspondiente a la comisión de apertura incorporada al préstamo hipotecario es una condición general de contratación y que, además, resulta abusiva ya que, en su opinión, la misma ha sido impuesta y no obedece a ningún servicio realmente prestado. </w:t>
      </w:r>
    </w:p>
    <w:p w14:paraId="25C59EE4" w14:textId="77777777" w:rsidR="00B62948" w:rsidRPr="00554476" w:rsidRDefault="00B62948" w:rsidP="00554476">
      <w:pPr>
        <w:spacing w:after="0" w:line="360" w:lineRule="auto"/>
        <w:jc w:val="both"/>
        <w:rPr>
          <w:rFonts w:ascii="Arial" w:eastAsia="Calibri" w:hAnsi="Arial" w:cs="Arial"/>
          <w:sz w:val="20"/>
          <w:szCs w:val="20"/>
        </w:rPr>
      </w:pPr>
    </w:p>
    <w:p w14:paraId="296D4AE6" w14:textId="653606C6"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Para demostrar el carácter no negociado de dicha cláusula, la</w:t>
      </w:r>
      <w:r w:rsidR="000901AE">
        <w:rPr>
          <w:rFonts w:ascii="Arial" w:eastAsia="Calibri" w:hAnsi="Arial" w:cs="Arial"/>
          <w:sz w:val="20"/>
          <w:szCs w:val="20"/>
          <w:lang w:val="es-ES_tradnl"/>
        </w:rPr>
        <w:t xml:space="preserve"> actora aporta la fotocopia de </w:t>
      </w:r>
      <w:r w:rsidRPr="00554476">
        <w:rPr>
          <w:rFonts w:ascii="Arial" w:eastAsia="Calibri" w:hAnsi="Arial" w:cs="Arial"/>
          <w:sz w:val="20"/>
          <w:szCs w:val="20"/>
          <w:lang w:val="es-ES_tradnl"/>
        </w:rPr>
        <w:t>la escritura de préstamo hipotecario formalizada con BANKINTER y la oferta vinculante firmada por los demandantes, documentos que porque por sí mismos no sólo no demuestra que dicho pacto sea impuesto, sino más bien todo lo contrario.</w:t>
      </w:r>
    </w:p>
    <w:p w14:paraId="60DF2AA0" w14:textId="77777777" w:rsidR="00B62948" w:rsidRPr="00554476" w:rsidRDefault="00B62948" w:rsidP="00554476">
      <w:pPr>
        <w:spacing w:after="0" w:line="360" w:lineRule="auto"/>
        <w:jc w:val="both"/>
        <w:rPr>
          <w:rFonts w:ascii="Arial" w:eastAsia="Calibri" w:hAnsi="Arial" w:cs="Arial"/>
          <w:sz w:val="20"/>
          <w:szCs w:val="20"/>
        </w:rPr>
      </w:pPr>
    </w:p>
    <w:p w14:paraId="6C732A7E"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La cláusula en la que se pacta </w:t>
      </w:r>
      <w:r w:rsidRPr="00554476">
        <w:rPr>
          <w:rFonts w:ascii="Arial" w:eastAsia="Calibri" w:hAnsi="Arial" w:cs="Arial"/>
          <w:b/>
          <w:sz w:val="20"/>
          <w:szCs w:val="20"/>
          <w:lang w:val="es-ES_tradnl"/>
        </w:rPr>
        <w:t>la comisión de apertura</w:t>
      </w:r>
      <w:r w:rsidRPr="00554476">
        <w:rPr>
          <w:rFonts w:ascii="Arial" w:eastAsia="Calibri" w:hAnsi="Arial" w:cs="Arial"/>
          <w:sz w:val="20"/>
          <w:szCs w:val="20"/>
          <w:lang w:val="es-ES_tradnl"/>
        </w:rPr>
        <w:t xml:space="preserve"> del préstamo hipotecario, </w:t>
      </w:r>
      <w:r w:rsidRPr="00554476">
        <w:rPr>
          <w:rFonts w:ascii="Arial" w:eastAsia="Calibri" w:hAnsi="Arial" w:cs="Arial"/>
          <w:b/>
          <w:sz w:val="20"/>
          <w:szCs w:val="20"/>
          <w:lang w:val="es-ES_tradnl"/>
        </w:rPr>
        <w:t>es una cláusula potestativa</w:t>
      </w:r>
      <w:r w:rsidRPr="00554476">
        <w:rPr>
          <w:rFonts w:ascii="Arial" w:eastAsia="Calibri" w:hAnsi="Arial" w:cs="Arial"/>
          <w:sz w:val="20"/>
          <w:szCs w:val="20"/>
          <w:lang w:val="es-ES_tradnl"/>
        </w:rPr>
        <w:t xml:space="preserve">, fruto de la libertad de pacto de los contratantes y, aunque existen normas de diverso rango que contemplan su posible utilización, no constituye un pacto obligatorio, si bien su utilización (que reconoce la normativa de transparencia bancaria de forma expresa y reiterada) forma parte de la política de precios que las entidades financieras decidan en cada momento. </w:t>
      </w:r>
    </w:p>
    <w:p w14:paraId="193212F8" w14:textId="77777777" w:rsidR="00B62948" w:rsidRPr="00554476" w:rsidRDefault="00B62948" w:rsidP="00554476">
      <w:pPr>
        <w:spacing w:after="0" w:line="360" w:lineRule="auto"/>
        <w:jc w:val="both"/>
        <w:rPr>
          <w:rFonts w:ascii="Arial" w:eastAsia="Calibri" w:hAnsi="Arial" w:cs="Arial"/>
          <w:sz w:val="20"/>
          <w:szCs w:val="20"/>
        </w:rPr>
      </w:pPr>
    </w:p>
    <w:p w14:paraId="310E7CDA"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Como tal comisión, viene a formar parte del núcleo central del precio o retribución del préstamo hipotecario, siendo por tanto un elemento esencial del contrato. </w:t>
      </w:r>
    </w:p>
    <w:p w14:paraId="13D878FC" w14:textId="77777777" w:rsidR="00B62948" w:rsidRPr="00554476" w:rsidRDefault="00B62948" w:rsidP="00554476">
      <w:pPr>
        <w:spacing w:after="0" w:line="360" w:lineRule="auto"/>
        <w:jc w:val="both"/>
        <w:rPr>
          <w:rFonts w:ascii="Arial" w:eastAsia="Calibri" w:hAnsi="Arial" w:cs="Arial"/>
          <w:sz w:val="20"/>
          <w:szCs w:val="20"/>
        </w:rPr>
      </w:pPr>
    </w:p>
    <w:p w14:paraId="72A62174"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La propia escritura que aporta la actora como prueba de que dicho pacto es una condición general de la contratación, sería prueba suficiente de todo lo contrario ya que en todas ellas los contratantes hacen la siguiente declaración específica de condiciones generales de la contratación ante el Fedatario Público:</w:t>
      </w:r>
    </w:p>
    <w:p w14:paraId="6A5E4B09" w14:textId="77777777" w:rsidR="00B62948" w:rsidRPr="00554476" w:rsidRDefault="00B62948" w:rsidP="00554476">
      <w:pPr>
        <w:spacing w:after="0" w:line="360" w:lineRule="auto"/>
        <w:jc w:val="both"/>
        <w:rPr>
          <w:rFonts w:ascii="Arial" w:eastAsia="Calibri" w:hAnsi="Arial" w:cs="Arial"/>
          <w:sz w:val="20"/>
          <w:szCs w:val="20"/>
        </w:rPr>
      </w:pPr>
    </w:p>
    <w:p w14:paraId="3E7187B0" w14:textId="77777777" w:rsidR="00B62948" w:rsidRPr="00554476" w:rsidRDefault="00B62948" w:rsidP="00554476">
      <w:pPr>
        <w:spacing w:after="0" w:line="360" w:lineRule="auto"/>
        <w:ind w:left="567"/>
        <w:jc w:val="both"/>
        <w:rPr>
          <w:rFonts w:ascii="Arial" w:eastAsia="Calibri" w:hAnsi="Arial" w:cs="Arial"/>
          <w:i/>
          <w:sz w:val="20"/>
          <w:szCs w:val="20"/>
          <w:u w:val="single"/>
        </w:rPr>
      </w:pPr>
      <w:r w:rsidRPr="00554476">
        <w:rPr>
          <w:rFonts w:ascii="Arial" w:eastAsia="Calibri" w:hAnsi="Arial" w:cs="Arial"/>
          <w:i/>
          <w:sz w:val="20"/>
          <w:szCs w:val="20"/>
        </w:rPr>
        <w:t xml:space="preserve">“En cumplimiento de lo dispuesto en la Ley 7/1998, de 13 de abril, sobre condiciones generales de la contratación, </w:t>
      </w:r>
      <w:r w:rsidRPr="00554476">
        <w:rPr>
          <w:rFonts w:ascii="Arial" w:eastAsia="Calibri" w:hAnsi="Arial" w:cs="Arial"/>
          <w:b/>
          <w:i/>
          <w:sz w:val="20"/>
          <w:szCs w:val="20"/>
        </w:rPr>
        <w:t>se hace constar que tienen el carácter de condiciones generales de la contratación la totalidad de las cláusulas de esta escritura, salvo los elementos de aquellas que tengan contenido financiero o económico</w:t>
      </w:r>
      <w:r w:rsidRPr="00554476">
        <w:rPr>
          <w:rFonts w:ascii="Arial" w:eastAsia="Calibri" w:hAnsi="Arial" w:cs="Arial"/>
          <w:i/>
          <w:sz w:val="20"/>
          <w:szCs w:val="20"/>
        </w:rPr>
        <w:t>, los cuales han sido convenidos como condiciones particulares de esta operación, o que reproduzcan o den cumplimiento a requisitos exigidos por la normativa vigente. Las condiciones generales no figuran inscritas en el Registro mencionado en la citada Ley.</w:t>
      </w:r>
    </w:p>
    <w:p w14:paraId="246F489A" w14:textId="77777777" w:rsidR="00B62948" w:rsidRPr="00554476" w:rsidRDefault="00B62948" w:rsidP="00554476">
      <w:pPr>
        <w:spacing w:after="0" w:line="360" w:lineRule="auto"/>
        <w:ind w:left="567"/>
        <w:jc w:val="both"/>
        <w:rPr>
          <w:rFonts w:ascii="Arial" w:eastAsia="Calibri" w:hAnsi="Arial" w:cs="Arial"/>
          <w:i/>
          <w:sz w:val="20"/>
          <w:szCs w:val="20"/>
          <w:u w:val="single"/>
        </w:rPr>
      </w:pPr>
      <w:r w:rsidRPr="00554476">
        <w:rPr>
          <w:rFonts w:ascii="Arial" w:eastAsia="Calibri" w:hAnsi="Arial" w:cs="Arial"/>
          <w:i/>
          <w:sz w:val="20"/>
          <w:szCs w:val="20"/>
        </w:rPr>
        <w:t>La parte prestataria declara que ha tenido a su disposición el texto íntegro de las condiciones generales con antelación suficiente a la celebración del contrato y que conoce con toda claridad el significado y alcance de las mismas.”</w:t>
      </w:r>
    </w:p>
    <w:p w14:paraId="5C40F15E" w14:textId="77777777" w:rsidR="00B62948" w:rsidRPr="00554476" w:rsidRDefault="00B62948" w:rsidP="00554476">
      <w:pPr>
        <w:spacing w:after="0" w:line="360" w:lineRule="auto"/>
        <w:jc w:val="both"/>
        <w:rPr>
          <w:rFonts w:ascii="Arial" w:eastAsia="Calibri" w:hAnsi="Arial" w:cs="Arial"/>
          <w:sz w:val="20"/>
          <w:szCs w:val="20"/>
        </w:rPr>
      </w:pPr>
    </w:p>
    <w:p w14:paraId="4278908B"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Después de una declaración tan contundente, es difícil sostener que el pacto de la comisión de apertura, del mismo modo que el tipo de interés, son cláusulas impuestas. No obstante, teniendo en cuenta que la Ley impone al predisponente la obligación de probar que dicha cláusula es objeto de negociación individual, a continuación, se exponen </w:t>
      </w:r>
      <w:r w:rsidRPr="00554476">
        <w:rPr>
          <w:rFonts w:ascii="Arial" w:eastAsia="Calibri" w:hAnsi="Arial" w:cs="Arial"/>
          <w:b/>
          <w:sz w:val="20"/>
          <w:szCs w:val="20"/>
          <w:lang w:val="es-ES_tradnl"/>
        </w:rPr>
        <w:t>otras razones que refuerzan, más aún si cabe, la prueba de que BANKINTER no impone dicha cláusula a sus clientes, sino que la negocia individualmente</w:t>
      </w:r>
      <w:r w:rsidRPr="00554476">
        <w:rPr>
          <w:rFonts w:ascii="Arial" w:eastAsia="Calibri" w:hAnsi="Arial" w:cs="Arial"/>
          <w:sz w:val="20"/>
          <w:szCs w:val="20"/>
          <w:lang w:val="es-ES_tradnl"/>
        </w:rPr>
        <w:t xml:space="preserve">. </w:t>
      </w:r>
    </w:p>
    <w:p w14:paraId="264E05D4" w14:textId="77777777" w:rsidR="00B62948" w:rsidRPr="00554476" w:rsidRDefault="00B62948" w:rsidP="00554476">
      <w:pPr>
        <w:spacing w:after="0" w:line="360" w:lineRule="auto"/>
        <w:jc w:val="both"/>
        <w:rPr>
          <w:rFonts w:ascii="Arial" w:eastAsia="Calibri" w:hAnsi="Arial" w:cs="Arial"/>
          <w:sz w:val="20"/>
          <w:szCs w:val="20"/>
        </w:rPr>
      </w:pPr>
    </w:p>
    <w:p w14:paraId="1A426DFC"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nuestro Derecho, la regla general es la libertad de precios, sobre los que decide en cada contrato la autonomía de la voluntad de las partes, conforme a los principios generales que el C.c. refleja en sus arts. 1091 y 1255, configurándose así la economía de mercado, a la que se refiere el art. 38 de la CE. En términos económicos, en este mercado los precios se forman por el libre juego de la oferta y la demanda. En términos jurídicos, en cada contrato el precio se decide por el acuerdo de las voluntades (oferta y aceptación) de ambas partes en al ámbito de su autonomía contractual y en el contexto de las condiciones de mercado. </w:t>
      </w:r>
    </w:p>
    <w:p w14:paraId="01821978" w14:textId="77777777" w:rsidR="00B62948" w:rsidRPr="00554476" w:rsidRDefault="00B62948" w:rsidP="00554476">
      <w:pPr>
        <w:spacing w:after="0" w:line="360" w:lineRule="auto"/>
        <w:jc w:val="both"/>
        <w:rPr>
          <w:rFonts w:ascii="Arial" w:eastAsia="Calibri" w:hAnsi="Arial" w:cs="Arial"/>
          <w:sz w:val="20"/>
          <w:szCs w:val="20"/>
        </w:rPr>
      </w:pPr>
    </w:p>
    <w:p w14:paraId="7717B78E"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En el ámbito de la contratación hipotecaria, el precio o la remuneración de la entidad prestamista está formado tanto por el tipo de interés, que constituye la contraprestación a la entrega de un capital (y que se compone de la suma de un índice de referencia y del margen o diferencial) y las comisiones; estas últimas retribuyen los servicios prestados, en caso de haberse pactado, o repercuten los gastos incurridos por la entidad financiera en el estudio y tramitación de la puesta en vigor del préstamo. Por ello, el pacto en el que se determine contractualmente la comisión de apertura constituye un elemento esencial del contrato ya que es parte inescindible del precio, y el precio, junto al plazo, es uno de los elementos esenciales del contrato.</w:t>
      </w:r>
    </w:p>
    <w:p w14:paraId="63E9ADCF" w14:textId="77777777" w:rsidR="00B62948" w:rsidRPr="00554476" w:rsidRDefault="00B62948" w:rsidP="00554476">
      <w:pPr>
        <w:spacing w:after="0" w:line="360" w:lineRule="auto"/>
        <w:jc w:val="both"/>
        <w:rPr>
          <w:rFonts w:ascii="Arial" w:eastAsia="Calibri" w:hAnsi="Arial" w:cs="Arial"/>
          <w:sz w:val="20"/>
          <w:szCs w:val="20"/>
        </w:rPr>
      </w:pPr>
    </w:p>
    <w:p w14:paraId="16BDC0E2"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La estructura de precios de los productos de activo y pasivo de una entidad financiera es de libre configuración de las entidades financieras y, por tanto, cada una de ellas tiene plena autonomía para su fijación. Desde ese punto de vista una entidad financiera puede establecer el precio de sus préstamos hipotecarios formulando una oferta de tipo de interés fijo exclusivamente, de tipo de interés variable o una combinación de ambos (fijo durante un período de tiempo y variable el resto, por ejemplo), más una comisión de apertura. Cada entidad financiera elige en cada momento su estrategia de precios acomodando su oferta a sus intereses y prioridades. Hay entidades que eligen diferenciarse de sus competidores haciendo ofertas comerciales basadas en un tipo de interés fijo o variable, poniendo el acento publicitario en que el producto ofertado es “sin comisiones”, mientras que otras entidades basan su estrategia comercial en ofertas de tipos fijos o variables con márgenes más bajos, pero con comisión de apertura. Estas afirmaciones constituyen hechos tan notorios que están exentos de prueba ya que cualquier consumidor medio está familiarizado con ellas, al recibir ofertas en prensa, radio y medios digitales de manera constante. </w:t>
      </w:r>
    </w:p>
    <w:p w14:paraId="089D5A0C"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17943DD4"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lastRenderedPageBreak/>
        <w:t>Cualquiera de las fórmulas mencionadas anteriormente es perfectamente legal, válida y transparente para los clientes ya que lo importante es que reciban la información precontractual con el tiempo de antelación legalmente establecido para que puedan comparar la Tasa Anual Equivalente (TAE), en la que se incluye la comisión de apertura en el caso de haberse pactado, siendo la TAE la verdadera herramienta comparadora del precio del producto ofertado  que permite tomar una decisión racional e informada, desde el punto de vista económico.</w:t>
      </w:r>
    </w:p>
    <w:p w14:paraId="2D149BB9" w14:textId="77777777" w:rsidR="00B62948" w:rsidRPr="00554476" w:rsidRDefault="00B62948" w:rsidP="00554476">
      <w:pPr>
        <w:spacing w:after="0" w:line="360" w:lineRule="auto"/>
        <w:jc w:val="both"/>
        <w:rPr>
          <w:rFonts w:ascii="Arial" w:eastAsia="Calibri" w:hAnsi="Arial" w:cs="Arial"/>
          <w:sz w:val="20"/>
          <w:szCs w:val="20"/>
        </w:rPr>
      </w:pPr>
    </w:p>
    <w:p w14:paraId="0AA6DA68"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Por lo tanto, </w:t>
      </w:r>
      <w:r w:rsidRPr="00554476">
        <w:rPr>
          <w:rFonts w:ascii="Arial" w:eastAsia="Calibri" w:hAnsi="Arial" w:cs="Arial"/>
          <w:b/>
          <w:sz w:val="20"/>
          <w:szCs w:val="20"/>
          <w:lang w:val="es-ES_tradnl"/>
        </w:rPr>
        <w:t xml:space="preserve">no tiene ningún sentido aceptar que el tipo de interés </w:t>
      </w:r>
      <w:r w:rsidRPr="00554476">
        <w:rPr>
          <w:rFonts w:ascii="Arial" w:eastAsia="Calibri" w:hAnsi="Arial" w:cs="Arial"/>
          <w:sz w:val="20"/>
          <w:szCs w:val="20"/>
          <w:lang w:val="es-ES_tradnl"/>
        </w:rPr>
        <w:t>(que en el caso de un tipo de interés variable se compone de la suma del índice de referencia –por ejemplo, el Euribor o el IRPH- y del margen)</w:t>
      </w:r>
      <w:r w:rsidRPr="00554476">
        <w:rPr>
          <w:rFonts w:ascii="Arial" w:eastAsia="Calibri" w:hAnsi="Arial" w:cs="Arial"/>
          <w:b/>
          <w:sz w:val="20"/>
          <w:szCs w:val="20"/>
          <w:lang w:val="es-ES_tradnl"/>
        </w:rPr>
        <w:t xml:space="preserve"> es un elemento del precio o remuneración negociados por quienes prestaron válidamente su consentimiento y, sin embargo, consideren que la comisión de apertura sea un pacto impuesto y además abusivo</w:t>
      </w:r>
      <w:r w:rsidRPr="00554476">
        <w:rPr>
          <w:rFonts w:ascii="Arial" w:eastAsia="Calibri" w:hAnsi="Arial" w:cs="Arial"/>
          <w:sz w:val="20"/>
          <w:szCs w:val="20"/>
          <w:lang w:val="es-ES_tradnl"/>
        </w:rPr>
        <w:t>.</w:t>
      </w:r>
    </w:p>
    <w:p w14:paraId="3E158539"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5AA4B372"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Si la comisión de apertura es un elemento del precio y el precio ha sido negociado, de conformidad con lo establecido en el artículo 3, apartado 1, de la Directiva 93/13 y de su considerando duodécimo, las cláusulas negociadas individualmente no entran por principio en el ámbito de aplicación de la Directiva. </w:t>
      </w:r>
    </w:p>
    <w:p w14:paraId="7B851126" w14:textId="77777777" w:rsidR="00B62948" w:rsidRPr="00554476" w:rsidRDefault="00B62948" w:rsidP="00554476">
      <w:pPr>
        <w:spacing w:after="0" w:line="360" w:lineRule="auto"/>
        <w:jc w:val="both"/>
        <w:rPr>
          <w:rFonts w:ascii="Arial" w:eastAsia="Calibri" w:hAnsi="Arial" w:cs="Arial"/>
          <w:sz w:val="20"/>
          <w:szCs w:val="20"/>
        </w:rPr>
      </w:pPr>
    </w:p>
    <w:p w14:paraId="3AEFDEDC" w14:textId="77777777" w:rsidR="00B62948" w:rsidRPr="00554476" w:rsidRDefault="00B62948"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consecuencia, no siendo posible cuestionar la legalidad de la incorporación de una comisión de apertura en un préstamo hipotecario porque tal posibilidad viene reconocida </w:t>
      </w:r>
      <w:proofErr w:type="spellStart"/>
      <w:r w:rsidRPr="00554476">
        <w:rPr>
          <w:rFonts w:ascii="Arial" w:eastAsia="Calibri" w:hAnsi="Arial" w:cs="Arial"/>
          <w:i/>
          <w:sz w:val="20"/>
          <w:szCs w:val="20"/>
          <w:lang w:val="es-ES_tradnl"/>
        </w:rPr>
        <w:t>ope</w:t>
      </w:r>
      <w:proofErr w:type="spellEnd"/>
      <w:r w:rsidRPr="00554476">
        <w:rPr>
          <w:rFonts w:ascii="Arial" w:eastAsia="Calibri" w:hAnsi="Arial" w:cs="Arial"/>
          <w:i/>
          <w:sz w:val="20"/>
          <w:szCs w:val="20"/>
          <w:lang w:val="es-ES_tradnl"/>
        </w:rPr>
        <w:t xml:space="preserve"> </w:t>
      </w:r>
      <w:proofErr w:type="spellStart"/>
      <w:r w:rsidRPr="00554476">
        <w:rPr>
          <w:rFonts w:ascii="Arial" w:eastAsia="Calibri" w:hAnsi="Arial" w:cs="Arial"/>
          <w:i/>
          <w:sz w:val="20"/>
          <w:szCs w:val="20"/>
          <w:lang w:val="es-ES_tradnl"/>
        </w:rPr>
        <w:t>legis</w:t>
      </w:r>
      <w:proofErr w:type="spellEnd"/>
      <w:r w:rsidRPr="00554476">
        <w:rPr>
          <w:rFonts w:ascii="Arial" w:eastAsia="Calibri" w:hAnsi="Arial" w:cs="Arial"/>
          <w:sz w:val="20"/>
          <w:szCs w:val="20"/>
          <w:lang w:val="es-ES_tradnl"/>
        </w:rPr>
        <w:t xml:space="preserve"> en la normativa sectorial, </w:t>
      </w:r>
      <w:r w:rsidRPr="00554476">
        <w:rPr>
          <w:rFonts w:ascii="Arial" w:eastAsia="Calibri" w:hAnsi="Arial" w:cs="Arial"/>
          <w:b/>
          <w:sz w:val="20"/>
          <w:szCs w:val="20"/>
          <w:lang w:val="es-ES_tradnl"/>
        </w:rPr>
        <w:t xml:space="preserve">la posibilidad de cuestionar la </w:t>
      </w:r>
      <w:proofErr w:type="spellStart"/>
      <w:r w:rsidRPr="00554476">
        <w:rPr>
          <w:rFonts w:ascii="Arial" w:eastAsia="Calibri" w:hAnsi="Arial" w:cs="Arial"/>
          <w:b/>
          <w:sz w:val="20"/>
          <w:szCs w:val="20"/>
          <w:lang w:val="es-ES_tradnl"/>
        </w:rPr>
        <w:t>abusividad</w:t>
      </w:r>
      <w:proofErr w:type="spellEnd"/>
      <w:r w:rsidRPr="00554476">
        <w:rPr>
          <w:rFonts w:ascii="Arial" w:eastAsia="Calibri" w:hAnsi="Arial" w:cs="Arial"/>
          <w:b/>
          <w:sz w:val="20"/>
          <w:szCs w:val="20"/>
          <w:lang w:val="es-ES_tradnl"/>
        </w:rPr>
        <w:t xml:space="preserve"> de dicha comisión de apertura como condición general de la contratación desde la perspectiva de su magnitud o importe está también vedado por la propia normativa </w:t>
      </w:r>
      <w:r w:rsidRPr="00554476">
        <w:rPr>
          <w:rFonts w:ascii="Arial" w:eastAsia="Calibri" w:hAnsi="Arial" w:cs="Arial"/>
          <w:sz w:val="20"/>
          <w:szCs w:val="20"/>
          <w:lang w:val="es-ES_tradnl"/>
        </w:rPr>
        <w:t>que regula la materia,</w:t>
      </w:r>
      <w:r w:rsidRPr="00554476">
        <w:rPr>
          <w:rFonts w:ascii="Arial" w:eastAsia="Calibri" w:hAnsi="Arial" w:cs="Arial"/>
          <w:b/>
          <w:sz w:val="20"/>
          <w:szCs w:val="20"/>
          <w:lang w:val="es-ES_tradnl"/>
        </w:rPr>
        <w:t xml:space="preserve"> al haber excluido del análisis de contenido la adecuación del precio o remuneración </w:t>
      </w:r>
      <w:r w:rsidRPr="00554476">
        <w:rPr>
          <w:rFonts w:ascii="Arial" w:eastAsia="Calibri" w:hAnsi="Arial" w:cs="Arial"/>
          <w:sz w:val="20"/>
          <w:szCs w:val="20"/>
          <w:lang w:val="es-ES_tradnl"/>
        </w:rPr>
        <w:t>(como parte del marco de negociación entre la entidad financiera y el prestatario).</w:t>
      </w:r>
    </w:p>
    <w:p w14:paraId="1F4561BC" w14:textId="77777777" w:rsidR="00B62948" w:rsidRPr="00554476" w:rsidRDefault="00B62948" w:rsidP="00554476">
      <w:pPr>
        <w:spacing w:after="0" w:line="360" w:lineRule="auto"/>
        <w:jc w:val="both"/>
        <w:rPr>
          <w:rFonts w:ascii="Arial" w:eastAsia="Calibri" w:hAnsi="Arial" w:cs="Arial"/>
          <w:sz w:val="20"/>
          <w:szCs w:val="20"/>
          <w:lang w:val="es-ES_tradnl"/>
        </w:rPr>
      </w:pPr>
    </w:p>
    <w:p w14:paraId="43C32B89" w14:textId="34439248" w:rsidR="00B62948" w:rsidRDefault="00B62948"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VIII</w:t>
      </w:r>
    </w:p>
    <w:p w14:paraId="1F4F90E3" w14:textId="77777777" w:rsidR="002D63F5" w:rsidRPr="00554476" w:rsidRDefault="002D63F5" w:rsidP="00554476">
      <w:pPr>
        <w:spacing w:after="0" w:line="360" w:lineRule="auto"/>
        <w:jc w:val="center"/>
        <w:rPr>
          <w:rFonts w:ascii="Arial" w:eastAsia="Calibri" w:hAnsi="Arial" w:cs="Arial"/>
          <w:b/>
          <w:sz w:val="20"/>
          <w:szCs w:val="20"/>
        </w:rPr>
      </w:pPr>
    </w:p>
    <w:p w14:paraId="3169F020" w14:textId="49C7451A" w:rsidR="00B62948"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Para finalizar, interesa destacar que sobre la validez de la cláusula enjuiciada ya se han pronunciado, además, multitud de Audiencias, entre las que destacamos, a título de ejemplo, las siguientes: </w:t>
      </w:r>
    </w:p>
    <w:p w14:paraId="7CB2C5DE" w14:textId="1292CF50" w:rsidR="00BF620A" w:rsidRDefault="00BF620A" w:rsidP="00554476">
      <w:pPr>
        <w:spacing w:after="0" w:line="360" w:lineRule="auto"/>
        <w:jc w:val="both"/>
        <w:rPr>
          <w:rFonts w:ascii="Arial" w:eastAsia="Calibri" w:hAnsi="Arial" w:cs="Arial"/>
          <w:sz w:val="20"/>
          <w:szCs w:val="20"/>
        </w:rPr>
      </w:pPr>
    </w:p>
    <w:p w14:paraId="2A8D43CE" w14:textId="7F1458C0" w:rsidR="00BF620A" w:rsidRPr="00554476" w:rsidRDefault="00BF620A" w:rsidP="00BF620A">
      <w:pPr>
        <w:suppressAutoHyphens/>
        <w:spacing w:after="0" w:line="360" w:lineRule="auto"/>
        <w:contextualSpacing/>
        <w:jc w:val="both"/>
        <w:rPr>
          <w:rFonts w:ascii="Arial" w:eastAsia="Calibri" w:hAnsi="Arial" w:cs="Arial"/>
          <w:sz w:val="20"/>
          <w:szCs w:val="20"/>
        </w:rPr>
      </w:pPr>
      <w:r w:rsidRPr="00554476">
        <w:rPr>
          <w:rFonts w:ascii="Arial" w:eastAsia="Calibri" w:hAnsi="Arial" w:cs="Arial"/>
          <w:b/>
          <w:sz w:val="20"/>
          <w:szCs w:val="20"/>
          <w:u w:val="single"/>
        </w:rPr>
        <w:t xml:space="preserve">Sentencia </w:t>
      </w:r>
      <w:r>
        <w:rPr>
          <w:rFonts w:ascii="Arial" w:eastAsia="Calibri" w:hAnsi="Arial" w:cs="Arial"/>
          <w:b/>
          <w:sz w:val="20"/>
          <w:szCs w:val="20"/>
          <w:u w:val="single"/>
        </w:rPr>
        <w:t>núm. 1524/2021 de la Audiencia Provincial de B</w:t>
      </w:r>
      <w:r w:rsidRPr="00554476">
        <w:rPr>
          <w:rFonts w:ascii="Arial" w:eastAsia="Calibri" w:hAnsi="Arial" w:cs="Arial"/>
          <w:b/>
          <w:sz w:val="20"/>
          <w:szCs w:val="20"/>
          <w:u w:val="single"/>
        </w:rPr>
        <w:t xml:space="preserve">arcelona, </w:t>
      </w:r>
      <w:r>
        <w:rPr>
          <w:rFonts w:ascii="Arial" w:eastAsia="Calibri" w:hAnsi="Arial" w:cs="Arial"/>
          <w:b/>
          <w:sz w:val="20"/>
          <w:szCs w:val="20"/>
          <w:u w:val="single"/>
        </w:rPr>
        <w:t xml:space="preserve">sección 15ª, </w:t>
      </w:r>
      <w:r w:rsidRPr="00554476">
        <w:rPr>
          <w:rFonts w:ascii="Arial" w:eastAsia="Calibri" w:hAnsi="Arial" w:cs="Arial"/>
          <w:b/>
          <w:sz w:val="20"/>
          <w:szCs w:val="20"/>
          <w:u w:val="single"/>
        </w:rPr>
        <w:t xml:space="preserve">de </w:t>
      </w:r>
      <w:r w:rsidR="00F93D0D">
        <w:rPr>
          <w:rFonts w:ascii="Arial" w:eastAsia="Calibri" w:hAnsi="Arial" w:cs="Arial"/>
          <w:b/>
          <w:sz w:val="20"/>
          <w:szCs w:val="20"/>
          <w:u w:val="single"/>
        </w:rPr>
        <w:t>21 de junio</w:t>
      </w:r>
      <w:r w:rsidRPr="00554476">
        <w:rPr>
          <w:rFonts w:ascii="Arial" w:eastAsia="Calibri" w:hAnsi="Arial" w:cs="Arial"/>
          <w:b/>
          <w:sz w:val="20"/>
          <w:szCs w:val="20"/>
        </w:rPr>
        <w:t>:</w:t>
      </w:r>
      <w:r w:rsidRPr="00554476">
        <w:rPr>
          <w:rFonts w:ascii="Arial" w:eastAsia="Calibri" w:hAnsi="Arial" w:cs="Arial"/>
          <w:sz w:val="20"/>
          <w:szCs w:val="20"/>
        </w:rPr>
        <w:t xml:space="preserve"> </w:t>
      </w:r>
    </w:p>
    <w:p w14:paraId="086EFA53" w14:textId="77777777" w:rsidR="00BF620A" w:rsidRPr="00554476" w:rsidRDefault="00BF620A" w:rsidP="00BF620A">
      <w:pPr>
        <w:suppressAutoHyphens/>
        <w:spacing w:after="0" w:line="360" w:lineRule="auto"/>
        <w:contextualSpacing/>
        <w:jc w:val="both"/>
        <w:rPr>
          <w:rFonts w:ascii="Arial" w:eastAsia="Calibri" w:hAnsi="Arial" w:cs="Arial"/>
          <w:sz w:val="20"/>
          <w:szCs w:val="20"/>
        </w:rPr>
      </w:pPr>
    </w:p>
    <w:p w14:paraId="48FEF29E" w14:textId="086FBD0B" w:rsidR="001B2972" w:rsidRDefault="00997335" w:rsidP="001B2972">
      <w:pPr>
        <w:spacing w:after="0" w:line="360" w:lineRule="auto"/>
        <w:ind w:left="567" w:right="-1"/>
        <w:jc w:val="both"/>
        <w:rPr>
          <w:rFonts w:ascii="Arial" w:eastAsia="Calibri" w:hAnsi="Arial" w:cs="Arial"/>
          <w:i/>
          <w:sz w:val="20"/>
          <w:szCs w:val="20"/>
        </w:rPr>
      </w:pPr>
      <w:r>
        <w:rPr>
          <w:rFonts w:ascii="Arial" w:eastAsia="Calibri" w:hAnsi="Arial" w:cs="Arial"/>
          <w:i/>
          <w:sz w:val="20"/>
          <w:szCs w:val="20"/>
        </w:rPr>
        <w:t>“</w:t>
      </w:r>
      <w:r w:rsidR="001B2972" w:rsidRPr="001B2972">
        <w:rPr>
          <w:rFonts w:ascii="Arial" w:eastAsia="Calibri" w:hAnsi="Arial" w:cs="Arial"/>
          <w:i/>
          <w:sz w:val="20"/>
          <w:szCs w:val="20"/>
        </w:rPr>
        <w:t>Valoración de la comisión de apertura a partir de la</w:t>
      </w:r>
      <w:r w:rsidR="001B2972">
        <w:rPr>
          <w:rFonts w:ascii="Arial" w:eastAsia="Calibri" w:hAnsi="Arial" w:cs="Arial"/>
          <w:i/>
          <w:sz w:val="20"/>
          <w:szCs w:val="20"/>
        </w:rPr>
        <w:t xml:space="preserve"> </w:t>
      </w:r>
      <w:r w:rsidR="001B2972" w:rsidRPr="001B2972">
        <w:rPr>
          <w:rFonts w:ascii="Arial" w:eastAsia="Calibri" w:hAnsi="Arial" w:cs="Arial"/>
          <w:i/>
          <w:sz w:val="20"/>
          <w:szCs w:val="20"/>
        </w:rPr>
        <w:t>Sentencia del TJUE de 16 de julio de 2020. La comisión de</w:t>
      </w:r>
      <w:r w:rsidR="001B2972">
        <w:rPr>
          <w:rFonts w:ascii="Arial" w:eastAsia="Calibri" w:hAnsi="Arial" w:cs="Arial"/>
          <w:i/>
          <w:sz w:val="20"/>
          <w:szCs w:val="20"/>
        </w:rPr>
        <w:t xml:space="preserve"> </w:t>
      </w:r>
      <w:r w:rsidR="001B2972" w:rsidRPr="001B2972">
        <w:rPr>
          <w:rFonts w:ascii="Arial" w:eastAsia="Calibri" w:hAnsi="Arial" w:cs="Arial"/>
          <w:i/>
          <w:sz w:val="20"/>
          <w:szCs w:val="20"/>
        </w:rPr>
        <w:t>apertura como parte integrante del precio.</w:t>
      </w:r>
    </w:p>
    <w:p w14:paraId="76FAB632" w14:textId="77777777" w:rsidR="001B2972" w:rsidRPr="001B2972" w:rsidRDefault="001B2972" w:rsidP="001B2972">
      <w:pPr>
        <w:spacing w:after="0" w:line="360" w:lineRule="auto"/>
        <w:ind w:left="567" w:right="-1"/>
        <w:jc w:val="both"/>
        <w:rPr>
          <w:rFonts w:ascii="Arial" w:eastAsia="Calibri" w:hAnsi="Arial" w:cs="Arial"/>
          <w:i/>
          <w:sz w:val="20"/>
          <w:szCs w:val="20"/>
        </w:rPr>
      </w:pPr>
    </w:p>
    <w:p w14:paraId="158F85BE" w14:textId="58A98E55" w:rsidR="001B2972" w:rsidRPr="001B2972" w:rsidRDefault="001B2972" w:rsidP="001B2972">
      <w:pPr>
        <w:spacing w:after="0" w:line="360" w:lineRule="auto"/>
        <w:ind w:left="567" w:right="-1"/>
        <w:jc w:val="both"/>
        <w:rPr>
          <w:rFonts w:ascii="Arial" w:eastAsia="Calibri" w:hAnsi="Arial" w:cs="Arial"/>
          <w:i/>
          <w:sz w:val="20"/>
          <w:szCs w:val="20"/>
        </w:rPr>
      </w:pPr>
      <w:r w:rsidRPr="001B2972">
        <w:rPr>
          <w:rFonts w:ascii="Arial" w:eastAsia="Calibri" w:hAnsi="Arial" w:cs="Arial"/>
          <w:i/>
          <w:sz w:val="20"/>
          <w:szCs w:val="20"/>
        </w:rPr>
        <w:t>1. Consideramos que la resumida jurisprudencia del</w:t>
      </w:r>
      <w:r>
        <w:rPr>
          <w:rFonts w:ascii="Arial" w:eastAsia="Calibri" w:hAnsi="Arial" w:cs="Arial"/>
          <w:i/>
          <w:sz w:val="20"/>
          <w:szCs w:val="20"/>
        </w:rPr>
        <w:t xml:space="preserve"> </w:t>
      </w:r>
      <w:r w:rsidRPr="001B2972">
        <w:rPr>
          <w:rFonts w:ascii="Arial" w:eastAsia="Calibri" w:hAnsi="Arial" w:cs="Arial"/>
          <w:i/>
          <w:sz w:val="20"/>
          <w:szCs w:val="20"/>
        </w:rPr>
        <w:t>Tribunal Supremo que hemos expuesto sobre la validez de la</w:t>
      </w:r>
      <w:r>
        <w:rPr>
          <w:rFonts w:ascii="Arial" w:eastAsia="Calibri" w:hAnsi="Arial" w:cs="Arial"/>
          <w:i/>
          <w:sz w:val="20"/>
          <w:szCs w:val="20"/>
        </w:rPr>
        <w:t xml:space="preserve"> </w:t>
      </w:r>
      <w:r w:rsidRPr="001B2972">
        <w:rPr>
          <w:rFonts w:ascii="Arial" w:eastAsia="Calibri" w:hAnsi="Arial" w:cs="Arial"/>
          <w:i/>
          <w:sz w:val="20"/>
          <w:szCs w:val="20"/>
        </w:rPr>
        <w:t>cláusula relativa a la comisión de apertura se ajusta a la</w:t>
      </w:r>
    </w:p>
    <w:p w14:paraId="05C766AA" w14:textId="263DE5B7" w:rsidR="001B2972" w:rsidRPr="001B2972" w:rsidRDefault="001B2972" w:rsidP="001B2972">
      <w:pPr>
        <w:spacing w:after="0" w:line="360" w:lineRule="auto"/>
        <w:ind w:left="567" w:right="-1"/>
        <w:jc w:val="both"/>
        <w:rPr>
          <w:rFonts w:ascii="Arial" w:eastAsia="Calibri" w:hAnsi="Arial" w:cs="Arial"/>
          <w:i/>
          <w:sz w:val="20"/>
          <w:szCs w:val="20"/>
        </w:rPr>
      </w:pPr>
      <w:r w:rsidRPr="001B2972">
        <w:rPr>
          <w:rFonts w:ascii="Arial" w:eastAsia="Calibri" w:hAnsi="Arial" w:cs="Arial"/>
          <w:i/>
          <w:sz w:val="20"/>
          <w:szCs w:val="20"/>
        </w:rPr>
        <w:lastRenderedPageBreak/>
        <w:t>reciente Sentencia del TJUE de 16 de julio de 2020. En</w:t>
      </w:r>
      <w:r>
        <w:rPr>
          <w:rFonts w:ascii="Arial" w:eastAsia="Calibri" w:hAnsi="Arial" w:cs="Arial"/>
          <w:i/>
          <w:sz w:val="20"/>
          <w:szCs w:val="20"/>
        </w:rPr>
        <w:t xml:space="preserve"> </w:t>
      </w:r>
      <w:r w:rsidRPr="001B2972">
        <w:rPr>
          <w:rFonts w:ascii="Arial" w:eastAsia="Calibri" w:hAnsi="Arial" w:cs="Arial"/>
          <w:i/>
          <w:sz w:val="20"/>
          <w:szCs w:val="20"/>
        </w:rPr>
        <w:t>efecto, el Tribunal Supremo concluye que “la comisión de</w:t>
      </w:r>
      <w:r>
        <w:rPr>
          <w:rFonts w:ascii="Arial" w:eastAsia="Calibri" w:hAnsi="Arial" w:cs="Arial"/>
          <w:i/>
          <w:sz w:val="20"/>
          <w:szCs w:val="20"/>
        </w:rPr>
        <w:t xml:space="preserve"> </w:t>
      </w:r>
      <w:r w:rsidRPr="001B2972">
        <w:rPr>
          <w:rFonts w:ascii="Arial" w:eastAsia="Calibri" w:hAnsi="Arial" w:cs="Arial"/>
          <w:i/>
          <w:sz w:val="20"/>
          <w:szCs w:val="20"/>
        </w:rPr>
        <w:t>apertura no es una partida ajena al precio del préstamo; por</w:t>
      </w:r>
    </w:p>
    <w:p w14:paraId="1B05B197" w14:textId="232DE412" w:rsidR="00376F58" w:rsidRDefault="001B2972" w:rsidP="001B2972">
      <w:pPr>
        <w:spacing w:after="0" w:line="360" w:lineRule="auto"/>
        <w:ind w:left="567" w:right="-1"/>
        <w:jc w:val="both"/>
        <w:rPr>
          <w:rFonts w:ascii="Arial" w:eastAsia="Calibri" w:hAnsi="Arial" w:cs="Arial"/>
          <w:i/>
          <w:sz w:val="20"/>
          <w:szCs w:val="20"/>
        </w:rPr>
      </w:pPr>
      <w:r w:rsidRPr="001B2972">
        <w:rPr>
          <w:rFonts w:ascii="Arial" w:eastAsia="Calibri" w:hAnsi="Arial" w:cs="Arial"/>
          <w:i/>
          <w:sz w:val="20"/>
          <w:szCs w:val="20"/>
        </w:rPr>
        <w:t>el contrario, el interés remuneratorio y la comisión de</w:t>
      </w:r>
      <w:r>
        <w:rPr>
          <w:rFonts w:ascii="Arial" w:eastAsia="Calibri" w:hAnsi="Arial" w:cs="Arial"/>
          <w:i/>
          <w:sz w:val="20"/>
          <w:szCs w:val="20"/>
        </w:rPr>
        <w:t xml:space="preserve"> </w:t>
      </w:r>
      <w:r w:rsidRPr="001B2972">
        <w:rPr>
          <w:rFonts w:ascii="Arial" w:eastAsia="Calibri" w:hAnsi="Arial" w:cs="Arial"/>
          <w:i/>
          <w:sz w:val="20"/>
          <w:szCs w:val="20"/>
        </w:rPr>
        <w:t>apertura constituyen las dos partidas principales del precio</w:t>
      </w:r>
      <w:r>
        <w:rPr>
          <w:rFonts w:ascii="Arial" w:eastAsia="Calibri" w:hAnsi="Arial" w:cs="Arial"/>
          <w:i/>
          <w:sz w:val="20"/>
          <w:szCs w:val="20"/>
        </w:rPr>
        <w:t xml:space="preserve"> </w:t>
      </w:r>
      <w:r w:rsidRPr="001B2972">
        <w:rPr>
          <w:rFonts w:ascii="Arial" w:eastAsia="Calibri" w:hAnsi="Arial" w:cs="Arial"/>
          <w:i/>
          <w:sz w:val="20"/>
          <w:szCs w:val="20"/>
        </w:rPr>
        <w:t>del préstamo, en cuanto que son las principales retribuciones</w:t>
      </w:r>
      <w:r>
        <w:rPr>
          <w:rFonts w:ascii="Arial" w:eastAsia="Calibri" w:hAnsi="Arial" w:cs="Arial"/>
          <w:i/>
          <w:sz w:val="20"/>
          <w:szCs w:val="20"/>
        </w:rPr>
        <w:t xml:space="preserve"> </w:t>
      </w:r>
      <w:r w:rsidRPr="001B2972">
        <w:rPr>
          <w:rFonts w:ascii="Arial" w:eastAsia="Calibri" w:hAnsi="Arial" w:cs="Arial"/>
          <w:i/>
          <w:sz w:val="20"/>
          <w:szCs w:val="20"/>
        </w:rPr>
        <w:t>que recibe la entidad financiera por conceder el préstamo al</w:t>
      </w:r>
      <w:r>
        <w:rPr>
          <w:rFonts w:ascii="Arial" w:eastAsia="Calibri" w:hAnsi="Arial" w:cs="Arial"/>
          <w:i/>
          <w:sz w:val="20"/>
          <w:szCs w:val="20"/>
        </w:rPr>
        <w:t xml:space="preserve"> </w:t>
      </w:r>
      <w:r w:rsidRPr="001B2972">
        <w:rPr>
          <w:rFonts w:ascii="Arial" w:eastAsia="Calibri" w:hAnsi="Arial" w:cs="Arial"/>
          <w:i/>
          <w:sz w:val="20"/>
          <w:szCs w:val="20"/>
        </w:rPr>
        <w:t>prestatario, y no corresponden a actuaciones o servicios</w:t>
      </w:r>
      <w:r>
        <w:rPr>
          <w:rFonts w:ascii="Arial" w:eastAsia="Calibri" w:hAnsi="Arial" w:cs="Arial"/>
          <w:i/>
          <w:sz w:val="20"/>
          <w:szCs w:val="20"/>
        </w:rPr>
        <w:t xml:space="preserve"> </w:t>
      </w:r>
      <w:r w:rsidRPr="001B2972">
        <w:rPr>
          <w:rFonts w:ascii="Arial" w:eastAsia="Calibri" w:hAnsi="Arial" w:cs="Arial"/>
          <w:i/>
          <w:sz w:val="20"/>
          <w:szCs w:val="20"/>
        </w:rPr>
        <w:t>eventuales”. Recordemos que, de acuerdo con el artículo 4.2</w:t>
      </w:r>
      <w:r>
        <w:rPr>
          <w:rFonts w:ascii="Arial" w:eastAsia="Calibri" w:hAnsi="Arial" w:cs="Arial"/>
          <w:i/>
          <w:sz w:val="20"/>
          <w:szCs w:val="20"/>
        </w:rPr>
        <w:t xml:space="preserve"> </w:t>
      </w:r>
      <w:r w:rsidRPr="001B2972">
        <w:rPr>
          <w:rFonts w:ascii="Arial" w:eastAsia="Calibri" w:hAnsi="Arial" w:cs="Arial"/>
          <w:i/>
          <w:sz w:val="20"/>
          <w:szCs w:val="20"/>
        </w:rPr>
        <w:t>de la Directiva 93/13, la apreciación del carácter abusivo de</w:t>
      </w:r>
      <w:r>
        <w:rPr>
          <w:rFonts w:ascii="Arial" w:eastAsia="Calibri" w:hAnsi="Arial" w:cs="Arial"/>
          <w:i/>
          <w:sz w:val="20"/>
          <w:szCs w:val="20"/>
        </w:rPr>
        <w:t xml:space="preserve"> </w:t>
      </w:r>
      <w:r w:rsidRPr="001B2972">
        <w:rPr>
          <w:rFonts w:ascii="Arial" w:eastAsia="Calibri" w:hAnsi="Arial" w:cs="Arial"/>
          <w:i/>
          <w:sz w:val="20"/>
          <w:szCs w:val="20"/>
        </w:rPr>
        <w:t>las cláusulas no se referirá “a la definición del objeto</w:t>
      </w:r>
      <w:r>
        <w:rPr>
          <w:rFonts w:ascii="Arial" w:eastAsia="Calibri" w:hAnsi="Arial" w:cs="Arial"/>
          <w:i/>
          <w:sz w:val="20"/>
          <w:szCs w:val="20"/>
        </w:rPr>
        <w:t xml:space="preserve"> </w:t>
      </w:r>
      <w:r w:rsidRPr="001B2972">
        <w:rPr>
          <w:rFonts w:ascii="Arial" w:eastAsia="Calibri" w:hAnsi="Arial" w:cs="Arial"/>
          <w:i/>
          <w:sz w:val="20"/>
          <w:szCs w:val="20"/>
        </w:rPr>
        <w:t>principal del contrato ni a la adecuación entre el precio y</w:t>
      </w:r>
      <w:r>
        <w:rPr>
          <w:rFonts w:ascii="Arial" w:eastAsia="Calibri" w:hAnsi="Arial" w:cs="Arial"/>
          <w:i/>
          <w:sz w:val="20"/>
          <w:szCs w:val="20"/>
        </w:rPr>
        <w:t xml:space="preserve"> </w:t>
      </w:r>
      <w:r w:rsidRPr="001B2972">
        <w:rPr>
          <w:rFonts w:ascii="Arial" w:eastAsia="Calibri" w:hAnsi="Arial" w:cs="Arial"/>
          <w:i/>
          <w:sz w:val="20"/>
          <w:szCs w:val="20"/>
        </w:rPr>
        <w:t>retribución, por una parte, ni a los servicios o bienes que</w:t>
      </w:r>
      <w:r>
        <w:rPr>
          <w:rFonts w:ascii="Arial" w:eastAsia="Calibri" w:hAnsi="Arial" w:cs="Arial"/>
          <w:i/>
          <w:sz w:val="20"/>
          <w:szCs w:val="20"/>
        </w:rPr>
        <w:t xml:space="preserve"> </w:t>
      </w:r>
      <w:r w:rsidRPr="001B2972">
        <w:rPr>
          <w:rFonts w:ascii="Arial" w:eastAsia="Calibri" w:hAnsi="Arial" w:cs="Arial"/>
          <w:i/>
          <w:sz w:val="20"/>
          <w:szCs w:val="20"/>
        </w:rPr>
        <w:t>hayan de proporcionarse como contrapartida", siempre que</w:t>
      </w:r>
      <w:r>
        <w:rPr>
          <w:rFonts w:ascii="Arial" w:eastAsia="Calibri" w:hAnsi="Arial" w:cs="Arial"/>
          <w:i/>
          <w:sz w:val="20"/>
          <w:szCs w:val="20"/>
        </w:rPr>
        <w:t xml:space="preserve"> </w:t>
      </w:r>
      <w:r w:rsidRPr="001B2972">
        <w:rPr>
          <w:rFonts w:ascii="Arial" w:eastAsia="Calibri" w:hAnsi="Arial" w:cs="Arial"/>
          <w:i/>
          <w:sz w:val="20"/>
          <w:szCs w:val="20"/>
        </w:rPr>
        <w:t>dichas cláusulas se redacten de manera clara y comprensible.</w:t>
      </w:r>
      <w:r>
        <w:rPr>
          <w:rFonts w:ascii="Arial" w:eastAsia="Calibri" w:hAnsi="Arial" w:cs="Arial"/>
          <w:i/>
          <w:sz w:val="20"/>
          <w:szCs w:val="20"/>
        </w:rPr>
        <w:t xml:space="preserve"> </w:t>
      </w:r>
      <w:r w:rsidRPr="001B2972">
        <w:rPr>
          <w:rFonts w:ascii="Arial" w:eastAsia="Calibri" w:hAnsi="Arial" w:cs="Arial"/>
          <w:i/>
          <w:sz w:val="20"/>
          <w:szCs w:val="20"/>
        </w:rPr>
        <w:t>Como recuerda la propia Sentencia del TJUE, son dos las</w:t>
      </w:r>
      <w:r>
        <w:rPr>
          <w:rFonts w:ascii="Arial" w:eastAsia="Calibri" w:hAnsi="Arial" w:cs="Arial"/>
          <w:i/>
          <w:sz w:val="20"/>
          <w:szCs w:val="20"/>
        </w:rPr>
        <w:t xml:space="preserve"> </w:t>
      </w:r>
      <w:r w:rsidRPr="001B2972">
        <w:rPr>
          <w:rFonts w:ascii="Arial" w:eastAsia="Calibri" w:hAnsi="Arial" w:cs="Arial"/>
          <w:i/>
          <w:sz w:val="20"/>
          <w:szCs w:val="20"/>
        </w:rPr>
        <w:t>categorías de cláusulas excluidas del control de contenido:</w:t>
      </w:r>
      <w:r>
        <w:rPr>
          <w:rFonts w:ascii="Arial" w:eastAsia="Calibri" w:hAnsi="Arial" w:cs="Arial"/>
          <w:i/>
          <w:sz w:val="20"/>
          <w:szCs w:val="20"/>
        </w:rPr>
        <w:t xml:space="preserve"> </w:t>
      </w:r>
      <w:r w:rsidRPr="001B2972">
        <w:rPr>
          <w:rFonts w:ascii="Arial" w:eastAsia="Calibri" w:hAnsi="Arial" w:cs="Arial"/>
          <w:i/>
          <w:sz w:val="20"/>
          <w:szCs w:val="20"/>
        </w:rPr>
        <w:t>de un lado, las que definen el objeto principal del contrato</w:t>
      </w:r>
      <w:r>
        <w:rPr>
          <w:rFonts w:ascii="Arial" w:eastAsia="Calibri" w:hAnsi="Arial" w:cs="Arial"/>
          <w:i/>
          <w:sz w:val="20"/>
          <w:szCs w:val="20"/>
        </w:rPr>
        <w:t xml:space="preserve"> </w:t>
      </w:r>
      <w:r w:rsidRPr="001B2972">
        <w:rPr>
          <w:rFonts w:ascii="Arial" w:eastAsia="Calibri" w:hAnsi="Arial" w:cs="Arial"/>
          <w:i/>
          <w:sz w:val="20"/>
          <w:szCs w:val="20"/>
        </w:rPr>
        <w:t>y, de otro, las relacionadas con adecuación entre precio y</w:t>
      </w:r>
      <w:r>
        <w:rPr>
          <w:rFonts w:ascii="Arial" w:eastAsia="Calibri" w:hAnsi="Arial" w:cs="Arial"/>
          <w:i/>
          <w:sz w:val="20"/>
          <w:szCs w:val="20"/>
        </w:rPr>
        <w:t xml:space="preserve"> </w:t>
      </w:r>
      <w:r w:rsidRPr="001B2972">
        <w:rPr>
          <w:rFonts w:ascii="Arial" w:eastAsia="Calibri" w:hAnsi="Arial" w:cs="Arial"/>
          <w:i/>
          <w:sz w:val="20"/>
          <w:szCs w:val="20"/>
        </w:rPr>
        <w:t>retribución, por un parte y los servicios o bienes que hayan</w:t>
      </w:r>
      <w:r>
        <w:rPr>
          <w:rFonts w:ascii="Arial" w:eastAsia="Calibri" w:hAnsi="Arial" w:cs="Arial"/>
          <w:i/>
          <w:sz w:val="20"/>
          <w:szCs w:val="20"/>
        </w:rPr>
        <w:t xml:space="preserve"> </w:t>
      </w:r>
      <w:r w:rsidRPr="001B2972">
        <w:rPr>
          <w:rFonts w:ascii="Arial" w:eastAsia="Calibri" w:hAnsi="Arial" w:cs="Arial"/>
          <w:i/>
          <w:sz w:val="20"/>
          <w:szCs w:val="20"/>
        </w:rPr>
        <w:t>de proporcionarse como contrapartida, por otras.</w:t>
      </w:r>
      <w:r>
        <w:rPr>
          <w:rFonts w:ascii="Arial" w:eastAsia="Calibri" w:hAnsi="Arial" w:cs="Arial"/>
          <w:i/>
          <w:sz w:val="20"/>
          <w:szCs w:val="20"/>
        </w:rPr>
        <w:t xml:space="preserve"> […]</w:t>
      </w:r>
    </w:p>
    <w:p w14:paraId="32934FBF" w14:textId="1CAD0F70" w:rsidR="001B2972" w:rsidRDefault="001B2972" w:rsidP="001B2972">
      <w:pPr>
        <w:spacing w:after="0" w:line="360" w:lineRule="auto"/>
        <w:ind w:left="567" w:right="-1"/>
        <w:jc w:val="both"/>
        <w:rPr>
          <w:rFonts w:ascii="Arial" w:eastAsia="Calibri" w:hAnsi="Arial" w:cs="Arial"/>
          <w:i/>
          <w:sz w:val="20"/>
          <w:szCs w:val="20"/>
        </w:rPr>
      </w:pPr>
    </w:p>
    <w:p w14:paraId="70FF46D4" w14:textId="77777777" w:rsidR="00997335" w:rsidRDefault="001B2972" w:rsidP="00997335">
      <w:pPr>
        <w:spacing w:after="0" w:line="360" w:lineRule="auto"/>
        <w:ind w:left="567" w:right="-1"/>
        <w:jc w:val="both"/>
        <w:rPr>
          <w:rFonts w:ascii="Arial" w:eastAsia="Calibri" w:hAnsi="Arial" w:cs="Arial"/>
          <w:i/>
          <w:sz w:val="20"/>
          <w:szCs w:val="20"/>
        </w:rPr>
      </w:pPr>
      <w:r>
        <w:rPr>
          <w:rFonts w:ascii="Arial" w:eastAsia="Calibri" w:hAnsi="Arial" w:cs="Arial"/>
          <w:i/>
          <w:sz w:val="20"/>
          <w:szCs w:val="20"/>
        </w:rPr>
        <w:t xml:space="preserve">[…] </w:t>
      </w:r>
      <w:r w:rsidRPr="001B2972">
        <w:rPr>
          <w:rFonts w:ascii="Arial" w:eastAsia="Calibri" w:hAnsi="Arial" w:cs="Arial"/>
          <w:i/>
          <w:sz w:val="20"/>
          <w:szCs w:val="20"/>
        </w:rPr>
        <w:t>5. En definitiva y como conclusión, de acuerdo con la</w:t>
      </w:r>
      <w:r>
        <w:rPr>
          <w:rFonts w:ascii="Arial" w:eastAsia="Calibri" w:hAnsi="Arial" w:cs="Arial"/>
          <w:i/>
          <w:sz w:val="20"/>
          <w:szCs w:val="20"/>
        </w:rPr>
        <w:t xml:space="preserve"> </w:t>
      </w:r>
      <w:r w:rsidRPr="001B2972">
        <w:rPr>
          <w:rFonts w:ascii="Arial" w:eastAsia="Calibri" w:hAnsi="Arial" w:cs="Arial"/>
          <w:i/>
          <w:sz w:val="20"/>
          <w:szCs w:val="20"/>
        </w:rPr>
        <w:t>doctrina del Tribunal Supremo, ajustada a los criterios de la</w:t>
      </w:r>
      <w:r>
        <w:rPr>
          <w:rFonts w:ascii="Arial" w:eastAsia="Calibri" w:hAnsi="Arial" w:cs="Arial"/>
          <w:i/>
          <w:sz w:val="20"/>
          <w:szCs w:val="20"/>
        </w:rPr>
        <w:t xml:space="preserve"> </w:t>
      </w:r>
      <w:r w:rsidRPr="001B2972">
        <w:rPr>
          <w:rFonts w:ascii="Arial" w:eastAsia="Calibri" w:hAnsi="Arial" w:cs="Arial"/>
          <w:i/>
          <w:sz w:val="20"/>
          <w:szCs w:val="20"/>
        </w:rPr>
        <w:t>Sentencia del TJUE de 16 de julio de 2020, la comisión de</w:t>
      </w:r>
      <w:r>
        <w:rPr>
          <w:rFonts w:ascii="Arial" w:eastAsia="Calibri" w:hAnsi="Arial" w:cs="Arial"/>
          <w:i/>
          <w:sz w:val="20"/>
          <w:szCs w:val="20"/>
        </w:rPr>
        <w:t xml:space="preserve"> </w:t>
      </w:r>
      <w:r w:rsidRPr="001B2972">
        <w:rPr>
          <w:rFonts w:ascii="Arial" w:eastAsia="Calibri" w:hAnsi="Arial" w:cs="Arial"/>
          <w:i/>
          <w:sz w:val="20"/>
          <w:szCs w:val="20"/>
        </w:rPr>
        <w:t>apertura, en atención a su nat</w:t>
      </w:r>
      <w:r>
        <w:rPr>
          <w:rFonts w:ascii="Arial" w:eastAsia="Calibri" w:hAnsi="Arial" w:cs="Arial"/>
          <w:i/>
          <w:sz w:val="20"/>
          <w:szCs w:val="20"/>
        </w:rPr>
        <w:t xml:space="preserve">uraleza y contexto jurídico, es </w:t>
      </w:r>
      <w:r w:rsidRPr="001B2972">
        <w:rPr>
          <w:rFonts w:ascii="Arial" w:eastAsia="Calibri" w:hAnsi="Arial" w:cs="Arial"/>
          <w:i/>
          <w:sz w:val="20"/>
          <w:szCs w:val="20"/>
        </w:rPr>
        <w:t>un componente sustan</w:t>
      </w:r>
      <w:r>
        <w:rPr>
          <w:rFonts w:ascii="Arial" w:eastAsia="Calibri" w:hAnsi="Arial" w:cs="Arial"/>
          <w:i/>
          <w:sz w:val="20"/>
          <w:szCs w:val="20"/>
        </w:rPr>
        <w:t xml:space="preserve">cial del precio del préstamo que </w:t>
      </w:r>
      <w:r w:rsidRPr="001B2972">
        <w:rPr>
          <w:rFonts w:ascii="Arial" w:eastAsia="Calibri" w:hAnsi="Arial" w:cs="Arial"/>
          <w:i/>
          <w:sz w:val="20"/>
          <w:szCs w:val="20"/>
        </w:rPr>
        <w:t>retribuye un servicio definido normativamente. Mientras que</w:t>
      </w:r>
      <w:r>
        <w:rPr>
          <w:rFonts w:ascii="Arial" w:eastAsia="Calibri" w:hAnsi="Arial" w:cs="Arial"/>
          <w:i/>
          <w:sz w:val="20"/>
          <w:szCs w:val="20"/>
        </w:rPr>
        <w:t xml:space="preserve"> </w:t>
      </w:r>
      <w:r w:rsidRPr="001B2972">
        <w:rPr>
          <w:rFonts w:ascii="Arial" w:eastAsia="Calibri" w:hAnsi="Arial" w:cs="Arial"/>
          <w:i/>
          <w:sz w:val="20"/>
          <w:szCs w:val="20"/>
        </w:rPr>
        <w:t>la comisión de apertura, según su configuración legal,</w:t>
      </w:r>
      <w:r>
        <w:rPr>
          <w:rFonts w:ascii="Arial" w:eastAsia="Calibri" w:hAnsi="Arial" w:cs="Arial"/>
          <w:i/>
          <w:sz w:val="20"/>
          <w:szCs w:val="20"/>
        </w:rPr>
        <w:t xml:space="preserve"> </w:t>
      </w:r>
      <w:r w:rsidRPr="001B2972">
        <w:rPr>
          <w:rFonts w:ascii="Arial" w:eastAsia="Calibri" w:hAnsi="Arial" w:cs="Arial"/>
          <w:i/>
          <w:sz w:val="20"/>
          <w:szCs w:val="20"/>
        </w:rPr>
        <w:t>compensa todos los servicios necesarios para la preparación y</w:t>
      </w:r>
      <w:r>
        <w:rPr>
          <w:rFonts w:ascii="Arial" w:eastAsia="Calibri" w:hAnsi="Arial" w:cs="Arial"/>
          <w:i/>
          <w:sz w:val="20"/>
          <w:szCs w:val="20"/>
        </w:rPr>
        <w:t xml:space="preserve"> </w:t>
      </w:r>
      <w:r w:rsidRPr="001B2972">
        <w:rPr>
          <w:rFonts w:ascii="Arial" w:eastAsia="Calibri" w:hAnsi="Arial" w:cs="Arial"/>
          <w:i/>
          <w:sz w:val="20"/>
          <w:szCs w:val="20"/>
        </w:rPr>
        <w:t>concesión del préstamo, el interés remuneratorio retribuye la</w:t>
      </w:r>
      <w:r>
        <w:rPr>
          <w:rFonts w:ascii="Arial" w:eastAsia="Calibri" w:hAnsi="Arial" w:cs="Arial"/>
          <w:i/>
          <w:sz w:val="20"/>
          <w:szCs w:val="20"/>
        </w:rPr>
        <w:t xml:space="preserve"> </w:t>
      </w:r>
      <w:r w:rsidRPr="001B2972">
        <w:rPr>
          <w:rFonts w:ascii="Arial" w:eastAsia="Calibri" w:hAnsi="Arial" w:cs="Arial"/>
          <w:i/>
          <w:sz w:val="20"/>
          <w:szCs w:val="20"/>
        </w:rPr>
        <w:t>disposición del dinero por el prestatario durante la duración</w:t>
      </w:r>
      <w:r>
        <w:rPr>
          <w:rFonts w:ascii="Arial" w:eastAsia="Calibri" w:hAnsi="Arial" w:cs="Arial"/>
          <w:i/>
          <w:sz w:val="20"/>
          <w:szCs w:val="20"/>
        </w:rPr>
        <w:t xml:space="preserve"> </w:t>
      </w:r>
      <w:r w:rsidR="00997335">
        <w:rPr>
          <w:rFonts w:ascii="Arial" w:eastAsia="Calibri" w:hAnsi="Arial" w:cs="Arial"/>
          <w:i/>
          <w:sz w:val="20"/>
          <w:szCs w:val="20"/>
        </w:rPr>
        <w:t>del préstamo. […]</w:t>
      </w:r>
    </w:p>
    <w:p w14:paraId="731ACA84" w14:textId="77777777" w:rsidR="00997335" w:rsidRDefault="00997335" w:rsidP="00997335">
      <w:pPr>
        <w:spacing w:after="0" w:line="360" w:lineRule="auto"/>
        <w:ind w:left="567" w:right="-1"/>
        <w:jc w:val="both"/>
        <w:rPr>
          <w:rFonts w:ascii="Arial" w:eastAsia="Calibri" w:hAnsi="Arial" w:cs="Arial"/>
          <w:i/>
          <w:sz w:val="20"/>
          <w:szCs w:val="20"/>
        </w:rPr>
      </w:pPr>
    </w:p>
    <w:p w14:paraId="20396831" w14:textId="7D6A1FC1" w:rsidR="00BF620A" w:rsidRPr="00554476" w:rsidRDefault="00997335" w:rsidP="00997335">
      <w:pPr>
        <w:spacing w:after="0" w:line="360" w:lineRule="auto"/>
        <w:ind w:left="567" w:right="-1"/>
        <w:jc w:val="both"/>
        <w:rPr>
          <w:rFonts w:ascii="Arial" w:eastAsia="Calibri" w:hAnsi="Arial" w:cs="Arial"/>
          <w:i/>
          <w:sz w:val="20"/>
          <w:szCs w:val="20"/>
        </w:rPr>
      </w:pPr>
      <w:r>
        <w:rPr>
          <w:rFonts w:ascii="Arial" w:eastAsia="Calibri" w:hAnsi="Arial" w:cs="Arial"/>
          <w:i/>
          <w:sz w:val="20"/>
          <w:szCs w:val="20"/>
        </w:rPr>
        <w:t xml:space="preserve">[…] </w:t>
      </w:r>
      <w:r w:rsidRPr="00997335">
        <w:rPr>
          <w:rFonts w:ascii="Arial" w:eastAsia="Calibri" w:hAnsi="Arial" w:cs="Arial"/>
          <w:i/>
          <w:sz w:val="20"/>
          <w:szCs w:val="20"/>
        </w:rPr>
        <w:t>8. Lo anteriormente expuesto lleva a que el motivo deba</w:t>
      </w:r>
      <w:r>
        <w:rPr>
          <w:rFonts w:ascii="Arial" w:eastAsia="Calibri" w:hAnsi="Arial" w:cs="Arial"/>
          <w:i/>
          <w:sz w:val="20"/>
          <w:szCs w:val="20"/>
        </w:rPr>
        <w:t xml:space="preserve"> </w:t>
      </w:r>
      <w:r w:rsidRPr="00997335">
        <w:rPr>
          <w:rFonts w:ascii="Arial" w:eastAsia="Calibri" w:hAnsi="Arial" w:cs="Arial"/>
          <w:i/>
          <w:sz w:val="20"/>
          <w:szCs w:val="20"/>
        </w:rPr>
        <w:t>ser estimado y procede declarar la validez de la comisión de</w:t>
      </w:r>
      <w:r>
        <w:rPr>
          <w:rFonts w:ascii="Arial" w:eastAsia="Calibri" w:hAnsi="Arial" w:cs="Arial"/>
          <w:i/>
          <w:sz w:val="20"/>
          <w:szCs w:val="20"/>
        </w:rPr>
        <w:t xml:space="preserve"> </w:t>
      </w:r>
      <w:r w:rsidRPr="00997335">
        <w:rPr>
          <w:rFonts w:ascii="Arial" w:eastAsia="Calibri" w:hAnsi="Arial" w:cs="Arial"/>
          <w:i/>
          <w:sz w:val="20"/>
          <w:szCs w:val="20"/>
        </w:rPr>
        <w:t>apertura.</w:t>
      </w:r>
      <w:r w:rsidR="00BF620A" w:rsidRPr="00554476">
        <w:rPr>
          <w:rFonts w:ascii="Arial" w:eastAsia="Calibri" w:hAnsi="Arial" w:cs="Arial"/>
          <w:i/>
          <w:sz w:val="20"/>
          <w:szCs w:val="20"/>
        </w:rPr>
        <w:t>”.</w:t>
      </w:r>
    </w:p>
    <w:p w14:paraId="2527EBDB" w14:textId="7434AA26" w:rsidR="00BF620A" w:rsidRDefault="00BF620A" w:rsidP="00554476">
      <w:pPr>
        <w:spacing w:after="0" w:line="360" w:lineRule="auto"/>
        <w:jc w:val="both"/>
        <w:rPr>
          <w:rFonts w:ascii="Arial" w:eastAsia="Calibri" w:hAnsi="Arial" w:cs="Arial"/>
          <w:sz w:val="20"/>
          <w:szCs w:val="20"/>
        </w:rPr>
      </w:pPr>
    </w:p>
    <w:p w14:paraId="2370706A" w14:textId="5A0EB290" w:rsidR="006C2422" w:rsidRDefault="006C2422" w:rsidP="00554476">
      <w:pPr>
        <w:spacing w:after="0" w:line="360" w:lineRule="auto"/>
        <w:jc w:val="both"/>
        <w:rPr>
          <w:rFonts w:ascii="Arial" w:eastAsia="Calibri" w:hAnsi="Arial" w:cs="Arial"/>
          <w:sz w:val="20"/>
          <w:szCs w:val="20"/>
        </w:rPr>
      </w:pPr>
    </w:p>
    <w:p w14:paraId="082A64B0" w14:textId="620E4CCC" w:rsidR="006C2422" w:rsidRPr="00554476" w:rsidRDefault="006C2422" w:rsidP="006C2422">
      <w:pPr>
        <w:suppressAutoHyphens/>
        <w:autoSpaceDE w:val="0"/>
        <w:autoSpaceDN w:val="0"/>
        <w:adjustRightInd w:val="0"/>
        <w:spacing w:after="0" w:line="360" w:lineRule="auto"/>
        <w:contextualSpacing/>
        <w:jc w:val="both"/>
        <w:rPr>
          <w:rFonts w:ascii="Arial" w:eastAsia="Calibri" w:hAnsi="Arial" w:cs="Arial"/>
          <w:b/>
          <w:sz w:val="20"/>
          <w:szCs w:val="20"/>
        </w:rPr>
      </w:pPr>
      <w:r w:rsidRPr="000901AE">
        <w:rPr>
          <w:rFonts w:ascii="Arial" w:eastAsia="Calibri" w:hAnsi="Arial" w:cs="Arial"/>
          <w:b/>
          <w:sz w:val="20"/>
          <w:szCs w:val="20"/>
          <w:u w:val="single"/>
        </w:rPr>
        <w:t xml:space="preserve">Sentencia núm. 189/2021 de la Audiencia Provincial de Albacete, sección 1ª, de </w:t>
      </w:r>
      <w:r w:rsidR="00DC5DC8" w:rsidRPr="000901AE">
        <w:rPr>
          <w:rFonts w:ascii="Arial" w:eastAsia="Calibri" w:hAnsi="Arial" w:cs="Arial"/>
          <w:b/>
          <w:sz w:val="20"/>
          <w:szCs w:val="20"/>
          <w:u w:val="single"/>
        </w:rPr>
        <w:t>22</w:t>
      </w:r>
      <w:r w:rsidRPr="000901AE">
        <w:rPr>
          <w:rFonts w:ascii="Arial" w:eastAsia="Calibri" w:hAnsi="Arial" w:cs="Arial"/>
          <w:b/>
          <w:sz w:val="20"/>
          <w:szCs w:val="20"/>
          <w:u w:val="single"/>
        </w:rPr>
        <w:t xml:space="preserve"> de </w:t>
      </w:r>
      <w:r w:rsidR="00DC5DC8" w:rsidRPr="000901AE">
        <w:rPr>
          <w:rFonts w:ascii="Arial" w:eastAsia="Calibri" w:hAnsi="Arial" w:cs="Arial"/>
          <w:b/>
          <w:sz w:val="20"/>
          <w:szCs w:val="20"/>
          <w:u w:val="single"/>
        </w:rPr>
        <w:t>marzo de 2021</w:t>
      </w:r>
      <w:r w:rsidR="00DC5DC8">
        <w:rPr>
          <w:rFonts w:ascii="Arial" w:eastAsia="Calibri" w:hAnsi="Arial" w:cs="Arial"/>
          <w:b/>
          <w:sz w:val="20"/>
          <w:szCs w:val="20"/>
        </w:rPr>
        <w:t>:</w:t>
      </w:r>
    </w:p>
    <w:p w14:paraId="00E52A37" w14:textId="77777777" w:rsidR="006C2422" w:rsidRDefault="006C2422" w:rsidP="00554476">
      <w:pPr>
        <w:spacing w:after="0" w:line="360" w:lineRule="auto"/>
        <w:jc w:val="both"/>
        <w:rPr>
          <w:rFonts w:ascii="Arial" w:eastAsia="Calibri" w:hAnsi="Arial" w:cs="Arial"/>
          <w:sz w:val="20"/>
          <w:szCs w:val="20"/>
        </w:rPr>
      </w:pPr>
    </w:p>
    <w:p w14:paraId="7B7611A2" w14:textId="4FD2C110" w:rsidR="00DC5DC8" w:rsidRDefault="00DC5DC8" w:rsidP="00DC5DC8">
      <w:pPr>
        <w:spacing w:after="0" w:line="360" w:lineRule="auto"/>
        <w:ind w:left="567"/>
        <w:jc w:val="both"/>
        <w:rPr>
          <w:rFonts w:ascii="Arial" w:eastAsia="Calibri" w:hAnsi="Arial" w:cs="Arial"/>
          <w:i/>
          <w:sz w:val="20"/>
          <w:szCs w:val="20"/>
        </w:rPr>
      </w:pPr>
      <w:r>
        <w:rPr>
          <w:rFonts w:ascii="Arial" w:eastAsia="Calibri" w:hAnsi="Arial" w:cs="Arial"/>
          <w:i/>
          <w:sz w:val="20"/>
          <w:szCs w:val="20"/>
        </w:rPr>
        <w:t>“</w:t>
      </w:r>
      <w:r w:rsidRPr="00DC5DC8">
        <w:rPr>
          <w:rFonts w:ascii="Arial" w:eastAsia="Calibri" w:hAnsi="Arial" w:cs="Arial"/>
          <w:i/>
          <w:sz w:val="20"/>
          <w:szCs w:val="20"/>
        </w:rPr>
        <w:t xml:space="preserve">La Sentencia del Tribunal Supremo núm. 44/2019 de 23 enero, tras examinar la normativa sectorial aplicable al caso (tanto la nacional como la de la Unión Europea), considera que la comisión de apertura no es ajena al precio del préstamo; por el contrario, afirma, el interés remuneratorio y la comisión de apertura constituyen sendas partidas del precio del préstamo, en cuanto que son las principales retribuciones que recibe la entidad financiera por conceder el préstamo al prestatario y no corresponden a actuaciones o servicios eventuales. </w:t>
      </w:r>
    </w:p>
    <w:p w14:paraId="63456D5C" w14:textId="77777777" w:rsidR="00DC5DC8" w:rsidRPr="00DC5DC8" w:rsidRDefault="00DC5DC8" w:rsidP="00DC5DC8">
      <w:pPr>
        <w:spacing w:after="0" w:line="360" w:lineRule="auto"/>
        <w:ind w:left="567"/>
        <w:jc w:val="both"/>
        <w:rPr>
          <w:rFonts w:ascii="Arial" w:eastAsia="Calibri" w:hAnsi="Arial" w:cs="Arial"/>
          <w:i/>
          <w:sz w:val="20"/>
          <w:szCs w:val="20"/>
        </w:rPr>
      </w:pPr>
    </w:p>
    <w:p w14:paraId="77A9948D" w14:textId="0A8F322D" w:rsidR="002D63F5" w:rsidRPr="00C1183F" w:rsidRDefault="00DC5DC8" w:rsidP="00DC5DC8">
      <w:pPr>
        <w:spacing w:after="0" w:line="360" w:lineRule="auto"/>
        <w:ind w:left="567"/>
        <w:jc w:val="both"/>
        <w:rPr>
          <w:rFonts w:ascii="Arial" w:eastAsia="Calibri" w:hAnsi="Arial" w:cs="Arial"/>
          <w:i/>
          <w:sz w:val="20"/>
          <w:szCs w:val="20"/>
        </w:rPr>
      </w:pPr>
      <w:r w:rsidRPr="00DC5DC8">
        <w:rPr>
          <w:rFonts w:ascii="Arial" w:eastAsia="Calibri" w:hAnsi="Arial" w:cs="Arial"/>
          <w:i/>
          <w:sz w:val="20"/>
          <w:szCs w:val="20"/>
        </w:rPr>
        <w:t xml:space="preserve">Tanto el interés remuneratorio como la comisión de apertura deben incluirse en el cálculo de la TAE, que permite al consumidor conocer cuál será el coste efectivo del préstamo. </w:t>
      </w:r>
      <w:r w:rsidRPr="00DC5DC8">
        <w:rPr>
          <w:rFonts w:ascii="Arial" w:eastAsia="Calibri" w:hAnsi="Arial" w:cs="Arial"/>
          <w:i/>
          <w:sz w:val="20"/>
          <w:szCs w:val="20"/>
        </w:rPr>
        <w:lastRenderedPageBreak/>
        <w:t xml:space="preserve">Por esa razón, la Sala concluye que la comisión de apertura no es susceptible de control </w:t>
      </w:r>
      <w:r w:rsidRPr="00C1183F">
        <w:rPr>
          <w:rFonts w:ascii="Arial" w:eastAsia="Calibri" w:hAnsi="Arial" w:cs="Arial"/>
          <w:i/>
          <w:sz w:val="20"/>
          <w:szCs w:val="20"/>
        </w:rPr>
        <w:t xml:space="preserve">de </w:t>
      </w:r>
      <w:r w:rsidRPr="00C1183F">
        <w:rPr>
          <w:rFonts w:ascii="Arial" w:hAnsi="Arial" w:cs="Arial"/>
          <w:i/>
          <w:sz w:val="20"/>
          <w:szCs w:val="20"/>
        </w:rPr>
        <w:t>contenido, sino exclusivamente de control de transparencia, que considera superado o cumplido porque</w:t>
      </w:r>
      <w:r w:rsidRPr="00C1183F">
        <w:rPr>
          <w:rFonts w:ascii="Arial" w:hAnsi="Arial" w:cs="Arial"/>
          <w:sz w:val="20"/>
          <w:szCs w:val="20"/>
        </w:rPr>
        <w:t xml:space="preserve"> </w:t>
      </w:r>
      <w:r w:rsidRPr="00C1183F">
        <w:rPr>
          <w:rFonts w:ascii="Arial" w:hAnsi="Arial" w:cs="Arial"/>
          <w:i/>
          <w:iCs/>
          <w:sz w:val="20"/>
          <w:szCs w:val="20"/>
        </w:rPr>
        <w:t>"es de general conocimiento entre los consumidores interesados el hecho de que, en la gran mayoría de los préstamos hipotecarios, la entidad bancaria cobra una comisión de apertura además del interés remuneratorio; es uno de los extremos sobre los que la entidad bancaria está obligada a informar al potencial prestatario de acuerdo con la regulación de las fichas normalizadas de información y, de hecho, suele ser uno de los extremos sobre los que versa la publicidad de las entidades bancarias; se trata de una comisión que ha de pagarse por entero en el momento inicial del préstamo, lo que hace que el consumidor medio le preste especial atención como parte sustancial del sacrificio económico que le supone la obtención del préstamo; y la redacción, ubicación y estructura de la cláusula permiten apreciar que constituye un elemento esencial del contrato"</w:t>
      </w:r>
    </w:p>
    <w:p w14:paraId="3A115B32" w14:textId="4A050266" w:rsidR="00DC5DC8" w:rsidRDefault="00DC5DC8" w:rsidP="00554476">
      <w:pPr>
        <w:spacing w:after="0" w:line="360" w:lineRule="auto"/>
        <w:jc w:val="both"/>
        <w:rPr>
          <w:rFonts w:ascii="Arial" w:eastAsia="Calibri" w:hAnsi="Arial" w:cs="Arial"/>
          <w:sz w:val="20"/>
          <w:szCs w:val="20"/>
        </w:rPr>
      </w:pPr>
    </w:p>
    <w:p w14:paraId="38628A30" w14:textId="5D50F41B" w:rsidR="00C1183F" w:rsidRPr="00C1183F" w:rsidRDefault="00C1183F" w:rsidP="00C1183F">
      <w:pPr>
        <w:suppressAutoHyphens/>
        <w:spacing w:after="0" w:line="360" w:lineRule="auto"/>
        <w:contextualSpacing/>
        <w:jc w:val="both"/>
        <w:rPr>
          <w:rFonts w:ascii="Arial" w:eastAsia="Calibri" w:hAnsi="Arial" w:cs="Arial"/>
          <w:sz w:val="20"/>
          <w:szCs w:val="20"/>
        </w:rPr>
      </w:pPr>
      <w:r w:rsidRPr="000901AE">
        <w:rPr>
          <w:rFonts w:ascii="Arial" w:eastAsia="Calibri" w:hAnsi="Arial" w:cs="Arial"/>
          <w:b/>
          <w:sz w:val="20"/>
          <w:szCs w:val="20"/>
          <w:u w:val="single"/>
        </w:rPr>
        <w:t>Sentencia núm. 434/2021 de la Audiencia Provincial de Córdoba, sección 1ª, de 20 de abril</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375C287B" w14:textId="77777777" w:rsidR="00C1183F" w:rsidRPr="00554476" w:rsidRDefault="00C1183F" w:rsidP="00C1183F">
      <w:pPr>
        <w:suppressAutoHyphens/>
        <w:spacing w:after="0" w:line="360" w:lineRule="auto"/>
        <w:contextualSpacing/>
        <w:jc w:val="both"/>
        <w:rPr>
          <w:rFonts w:ascii="Arial" w:eastAsia="Calibri" w:hAnsi="Arial" w:cs="Arial"/>
          <w:sz w:val="20"/>
          <w:szCs w:val="20"/>
        </w:rPr>
      </w:pPr>
    </w:p>
    <w:p w14:paraId="5356C23D" w14:textId="5F27657B" w:rsidR="00305AEE" w:rsidRDefault="00C1183F" w:rsidP="00305AEE">
      <w:pPr>
        <w:autoSpaceDE w:val="0"/>
        <w:autoSpaceDN w:val="0"/>
        <w:adjustRightInd w:val="0"/>
        <w:spacing w:after="0" w:line="360" w:lineRule="auto"/>
        <w:ind w:left="708"/>
        <w:jc w:val="both"/>
        <w:rPr>
          <w:rFonts w:ascii="Arial" w:hAnsi="Arial" w:cs="Arial"/>
          <w:i/>
          <w:sz w:val="20"/>
          <w:szCs w:val="20"/>
        </w:rPr>
      </w:pPr>
      <w:r w:rsidRPr="00554476">
        <w:rPr>
          <w:rFonts w:ascii="Arial" w:hAnsi="Arial" w:cs="Arial"/>
          <w:sz w:val="20"/>
          <w:szCs w:val="20"/>
        </w:rPr>
        <w:t>“</w:t>
      </w:r>
      <w:r w:rsidR="0091402F" w:rsidRPr="0091402F">
        <w:rPr>
          <w:rFonts w:ascii="Arial" w:hAnsi="Arial" w:cs="Arial"/>
          <w:i/>
          <w:sz w:val="20"/>
          <w:szCs w:val="20"/>
        </w:rPr>
        <w:t>Aquí hay que estar a las diferentes normas que la tratan. Se trata de una comisión</w:t>
      </w:r>
      <w:r w:rsidR="0091402F">
        <w:rPr>
          <w:rFonts w:ascii="Arial" w:hAnsi="Arial" w:cs="Arial"/>
          <w:i/>
          <w:sz w:val="20"/>
          <w:szCs w:val="20"/>
        </w:rPr>
        <w:t xml:space="preserve"> </w:t>
      </w:r>
      <w:r w:rsidR="0091402F" w:rsidRPr="0091402F">
        <w:rPr>
          <w:rFonts w:ascii="Arial" w:hAnsi="Arial" w:cs="Arial"/>
          <w:i/>
          <w:sz w:val="20"/>
          <w:szCs w:val="20"/>
        </w:rPr>
        <w:t>regulada en cuanto a aquello a que se refiere y cómo se paga. No es que se pueda</w:t>
      </w:r>
      <w:r w:rsidR="0091402F">
        <w:rPr>
          <w:rFonts w:ascii="Arial" w:hAnsi="Arial" w:cs="Arial"/>
          <w:i/>
          <w:sz w:val="20"/>
          <w:szCs w:val="20"/>
        </w:rPr>
        <w:t xml:space="preserve"> </w:t>
      </w:r>
      <w:r w:rsidR="0091402F" w:rsidRPr="0091402F">
        <w:rPr>
          <w:rFonts w:ascii="Arial" w:hAnsi="Arial" w:cs="Arial"/>
          <w:i/>
          <w:sz w:val="20"/>
          <w:szCs w:val="20"/>
        </w:rPr>
        <w:t>presumir que responda a un servicio prestado, sino que efectivamente responde a un</w:t>
      </w:r>
      <w:r w:rsidR="0091402F">
        <w:rPr>
          <w:rFonts w:ascii="Arial" w:hAnsi="Arial" w:cs="Arial"/>
          <w:i/>
          <w:sz w:val="20"/>
          <w:szCs w:val="20"/>
        </w:rPr>
        <w:t xml:space="preserve"> </w:t>
      </w:r>
      <w:r w:rsidR="0091402F" w:rsidRPr="0091402F">
        <w:rPr>
          <w:rFonts w:ascii="Arial" w:hAnsi="Arial" w:cs="Arial"/>
          <w:i/>
          <w:sz w:val="20"/>
          <w:szCs w:val="20"/>
        </w:rPr>
        <w:t>servicio, aun inherente a la actividad bancaria, real, necesario y previo a que puedan</w:t>
      </w:r>
      <w:r w:rsidR="0091402F">
        <w:rPr>
          <w:rFonts w:ascii="Arial" w:hAnsi="Arial" w:cs="Arial"/>
          <w:i/>
          <w:sz w:val="20"/>
          <w:szCs w:val="20"/>
        </w:rPr>
        <w:t xml:space="preserve"> </w:t>
      </w:r>
      <w:r w:rsidR="0091402F" w:rsidRPr="0091402F">
        <w:rPr>
          <w:rFonts w:ascii="Arial" w:hAnsi="Arial" w:cs="Arial"/>
          <w:i/>
          <w:sz w:val="20"/>
          <w:szCs w:val="20"/>
        </w:rPr>
        <w:t>efectuarse las prestaciones propias del préstamo (entrega del capital a cargo del</w:t>
      </w:r>
      <w:r w:rsidR="0091402F">
        <w:rPr>
          <w:rFonts w:ascii="Arial" w:hAnsi="Arial" w:cs="Arial"/>
          <w:i/>
          <w:sz w:val="20"/>
          <w:szCs w:val="20"/>
        </w:rPr>
        <w:t xml:space="preserve"> </w:t>
      </w:r>
      <w:r w:rsidR="0091402F" w:rsidRPr="0091402F">
        <w:rPr>
          <w:rFonts w:ascii="Arial" w:hAnsi="Arial" w:cs="Arial"/>
          <w:i/>
          <w:sz w:val="20"/>
          <w:szCs w:val="20"/>
        </w:rPr>
        <w:t>prestamista, y restitución del mismo en plazos con abonos de intereses a cargo del</w:t>
      </w:r>
      <w:r w:rsidR="0091402F">
        <w:rPr>
          <w:rFonts w:ascii="Arial" w:hAnsi="Arial" w:cs="Arial"/>
          <w:i/>
          <w:sz w:val="20"/>
          <w:szCs w:val="20"/>
        </w:rPr>
        <w:t xml:space="preserve"> </w:t>
      </w:r>
      <w:r w:rsidR="0091402F" w:rsidRPr="0091402F">
        <w:rPr>
          <w:rFonts w:ascii="Arial" w:hAnsi="Arial" w:cs="Arial"/>
          <w:i/>
          <w:sz w:val="20"/>
          <w:szCs w:val="20"/>
        </w:rPr>
        <w:t>prestatario), por la que el banco puede pedir una compensación, y cuya existencia y</w:t>
      </w:r>
      <w:r w:rsidR="0091402F">
        <w:rPr>
          <w:rFonts w:ascii="Arial" w:hAnsi="Arial" w:cs="Arial"/>
          <w:i/>
          <w:sz w:val="20"/>
          <w:szCs w:val="20"/>
        </w:rPr>
        <w:t xml:space="preserve"> </w:t>
      </w:r>
      <w:r w:rsidR="0091402F" w:rsidRPr="0091402F">
        <w:rPr>
          <w:rFonts w:ascii="Arial" w:hAnsi="Arial" w:cs="Arial"/>
          <w:i/>
          <w:sz w:val="20"/>
          <w:szCs w:val="20"/>
        </w:rPr>
        <w:t>significado el consumidor medio, aquí perceptores de un préstamo, puede conocer, y</w:t>
      </w:r>
      <w:r w:rsidR="0091402F">
        <w:rPr>
          <w:rFonts w:ascii="Arial" w:hAnsi="Arial" w:cs="Arial"/>
          <w:i/>
          <w:sz w:val="20"/>
          <w:szCs w:val="20"/>
        </w:rPr>
        <w:t xml:space="preserve"> </w:t>
      </w:r>
      <w:r w:rsidR="0091402F" w:rsidRPr="0091402F">
        <w:rPr>
          <w:rFonts w:ascii="Arial" w:hAnsi="Arial" w:cs="Arial"/>
          <w:i/>
          <w:sz w:val="20"/>
          <w:szCs w:val="20"/>
        </w:rPr>
        <w:t>que en modo alguno puede considerarse desproporcionado atendido el importe</w:t>
      </w:r>
      <w:r w:rsidR="0091402F">
        <w:rPr>
          <w:rFonts w:ascii="Arial" w:hAnsi="Arial" w:cs="Arial"/>
          <w:i/>
          <w:sz w:val="20"/>
          <w:szCs w:val="20"/>
        </w:rPr>
        <w:t xml:space="preserve"> </w:t>
      </w:r>
      <w:r w:rsidR="0091402F" w:rsidRPr="0091402F">
        <w:rPr>
          <w:rFonts w:ascii="Arial" w:hAnsi="Arial" w:cs="Arial"/>
          <w:i/>
          <w:sz w:val="20"/>
          <w:szCs w:val="20"/>
        </w:rPr>
        <w:t>concedido (representa aproximadamente el 0’5%) y las obligaciones de las partes. Ya</w:t>
      </w:r>
      <w:r w:rsidR="0091402F">
        <w:rPr>
          <w:rFonts w:ascii="Arial" w:hAnsi="Arial" w:cs="Arial"/>
          <w:i/>
          <w:sz w:val="20"/>
          <w:szCs w:val="20"/>
        </w:rPr>
        <w:t xml:space="preserve"> </w:t>
      </w:r>
      <w:r w:rsidR="0091402F" w:rsidRPr="0091402F">
        <w:rPr>
          <w:rFonts w:ascii="Arial" w:hAnsi="Arial" w:cs="Arial"/>
          <w:i/>
          <w:sz w:val="20"/>
          <w:szCs w:val="20"/>
        </w:rPr>
        <w:t>dice la STS 44/2019 que “</w:t>
      </w:r>
      <w:r w:rsidR="0091402F" w:rsidRPr="0091402F">
        <w:rPr>
          <w:rFonts w:ascii="Arial" w:hAnsi="Arial" w:cs="Arial"/>
          <w:i/>
          <w:iCs/>
          <w:sz w:val="20"/>
          <w:szCs w:val="20"/>
        </w:rPr>
        <w:t>el principio de &lt;&lt;realidad del servicio remunerado&gt;&gt; no</w:t>
      </w:r>
      <w:r w:rsidR="0091402F">
        <w:rPr>
          <w:rFonts w:ascii="Arial" w:hAnsi="Arial" w:cs="Arial"/>
          <w:i/>
          <w:iCs/>
          <w:sz w:val="20"/>
          <w:szCs w:val="20"/>
        </w:rPr>
        <w:t xml:space="preserve"> </w:t>
      </w:r>
      <w:r w:rsidR="0091402F" w:rsidRPr="0091402F">
        <w:rPr>
          <w:rFonts w:ascii="Arial" w:hAnsi="Arial" w:cs="Arial"/>
          <w:i/>
          <w:iCs/>
          <w:sz w:val="20"/>
          <w:szCs w:val="20"/>
        </w:rPr>
        <w:t>exige, en el caso de la comisión de apertura, nada distinto de la propia concesión del</w:t>
      </w:r>
      <w:r w:rsidR="0091402F">
        <w:rPr>
          <w:rFonts w:ascii="Arial" w:hAnsi="Arial" w:cs="Arial"/>
          <w:i/>
          <w:iCs/>
          <w:sz w:val="20"/>
          <w:szCs w:val="20"/>
        </w:rPr>
        <w:t xml:space="preserve"> </w:t>
      </w:r>
      <w:r w:rsidR="0091402F" w:rsidRPr="0091402F">
        <w:rPr>
          <w:rFonts w:ascii="Arial" w:hAnsi="Arial" w:cs="Arial"/>
          <w:i/>
          <w:iCs/>
          <w:sz w:val="20"/>
          <w:szCs w:val="20"/>
        </w:rPr>
        <w:t>préstamo”</w:t>
      </w:r>
      <w:r w:rsidR="0091402F" w:rsidRPr="0091402F">
        <w:rPr>
          <w:rFonts w:ascii="Arial" w:hAnsi="Arial" w:cs="Arial"/>
          <w:i/>
          <w:sz w:val="20"/>
          <w:szCs w:val="20"/>
        </w:rPr>
        <w:t>, y que esas actuaciones previas “</w:t>
      </w:r>
      <w:r w:rsidR="0091402F" w:rsidRPr="0091402F">
        <w:rPr>
          <w:rFonts w:ascii="Arial" w:hAnsi="Arial" w:cs="Arial"/>
          <w:i/>
          <w:iCs/>
          <w:sz w:val="20"/>
          <w:szCs w:val="20"/>
        </w:rPr>
        <w:t>no son prescindibles para el banco porque</w:t>
      </w:r>
      <w:r w:rsidR="0091402F">
        <w:rPr>
          <w:rFonts w:ascii="Arial" w:hAnsi="Arial" w:cs="Arial"/>
          <w:i/>
          <w:iCs/>
          <w:sz w:val="20"/>
          <w:szCs w:val="20"/>
        </w:rPr>
        <w:t xml:space="preserve"> </w:t>
      </w:r>
      <w:r w:rsidR="0091402F" w:rsidRPr="0091402F">
        <w:rPr>
          <w:rFonts w:ascii="Arial" w:hAnsi="Arial" w:cs="Arial"/>
          <w:i/>
          <w:iCs/>
          <w:sz w:val="20"/>
          <w:szCs w:val="20"/>
        </w:rPr>
        <w:t>son exigidas tanto por las normas sobre solvencia bancaria como por las que protegen</w:t>
      </w:r>
      <w:r w:rsidR="0091402F">
        <w:rPr>
          <w:rFonts w:ascii="Arial" w:hAnsi="Arial" w:cs="Arial"/>
          <w:i/>
          <w:iCs/>
          <w:sz w:val="20"/>
          <w:szCs w:val="20"/>
        </w:rPr>
        <w:t xml:space="preserve"> </w:t>
      </w:r>
      <w:r w:rsidR="0091402F" w:rsidRPr="0091402F">
        <w:rPr>
          <w:rFonts w:ascii="Arial" w:hAnsi="Arial" w:cs="Arial"/>
          <w:i/>
          <w:iCs/>
          <w:sz w:val="20"/>
          <w:szCs w:val="20"/>
        </w:rPr>
        <w:t xml:space="preserve">al consumidor frente al sobreendeudamiento”. </w:t>
      </w:r>
      <w:r w:rsidR="0091402F" w:rsidRPr="0091402F">
        <w:rPr>
          <w:rFonts w:ascii="Arial" w:hAnsi="Arial" w:cs="Arial"/>
          <w:i/>
          <w:sz w:val="20"/>
          <w:szCs w:val="20"/>
        </w:rPr>
        <w:t>Son actuaciones propias de un diligente</w:t>
      </w:r>
      <w:r w:rsidR="0091402F">
        <w:rPr>
          <w:rFonts w:ascii="Arial" w:hAnsi="Arial" w:cs="Arial"/>
          <w:i/>
          <w:sz w:val="20"/>
          <w:szCs w:val="20"/>
        </w:rPr>
        <w:t xml:space="preserve"> </w:t>
      </w:r>
      <w:r w:rsidR="0091402F" w:rsidRPr="0091402F">
        <w:rPr>
          <w:rFonts w:ascii="Arial" w:hAnsi="Arial" w:cs="Arial"/>
          <w:i/>
          <w:sz w:val="20"/>
          <w:szCs w:val="20"/>
        </w:rPr>
        <w:t>desempeño de su actividad, que pasa por comprobar tanto la solvencia del cliente</w:t>
      </w:r>
      <w:r w:rsidR="0091402F">
        <w:rPr>
          <w:rFonts w:ascii="Arial" w:hAnsi="Arial" w:cs="Arial"/>
          <w:i/>
          <w:sz w:val="20"/>
          <w:szCs w:val="20"/>
        </w:rPr>
        <w:t xml:space="preserve"> </w:t>
      </w:r>
      <w:r w:rsidR="0091402F" w:rsidRPr="0091402F">
        <w:rPr>
          <w:rFonts w:ascii="Arial" w:hAnsi="Arial" w:cs="Arial"/>
          <w:i/>
          <w:sz w:val="20"/>
          <w:szCs w:val="20"/>
        </w:rPr>
        <w:t>recopilando y solicitando del cliente información, como si se trata de una operación que</w:t>
      </w:r>
      <w:r w:rsidR="0091402F">
        <w:rPr>
          <w:rFonts w:ascii="Arial" w:hAnsi="Arial" w:cs="Arial"/>
          <w:i/>
          <w:sz w:val="20"/>
          <w:szCs w:val="20"/>
        </w:rPr>
        <w:t xml:space="preserve"> </w:t>
      </w:r>
      <w:r w:rsidR="0091402F" w:rsidRPr="0091402F">
        <w:rPr>
          <w:rFonts w:ascii="Arial" w:hAnsi="Arial" w:cs="Arial"/>
          <w:i/>
          <w:sz w:val="20"/>
          <w:szCs w:val="20"/>
        </w:rPr>
        <w:t>conviene al banco, y en qué condiciones, y ello también en la fecha de firma de esta</w:t>
      </w:r>
      <w:r w:rsidR="0091402F">
        <w:rPr>
          <w:rFonts w:ascii="Arial" w:hAnsi="Arial" w:cs="Arial"/>
          <w:i/>
          <w:sz w:val="20"/>
          <w:szCs w:val="20"/>
        </w:rPr>
        <w:t xml:space="preserve"> </w:t>
      </w:r>
      <w:r w:rsidR="0091402F" w:rsidRPr="0091402F">
        <w:rPr>
          <w:rFonts w:ascii="Arial" w:hAnsi="Arial" w:cs="Arial"/>
          <w:i/>
          <w:sz w:val="20"/>
          <w:szCs w:val="20"/>
        </w:rPr>
        <w:t>operación antes de que se promulgara normativa para evitar el sobreendeudamiento del</w:t>
      </w:r>
      <w:r w:rsidR="0091402F">
        <w:rPr>
          <w:rFonts w:ascii="Arial" w:hAnsi="Arial" w:cs="Arial"/>
          <w:i/>
          <w:sz w:val="20"/>
          <w:szCs w:val="20"/>
        </w:rPr>
        <w:t xml:space="preserve"> </w:t>
      </w:r>
      <w:r w:rsidR="0091402F" w:rsidRPr="0091402F">
        <w:rPr>
          <w:rFonts w:ascii="Arial" w:hAnsi="Arial" w:cs="Arial"/>
          <w:i/>
          <w:sz w:val="20"/>
          <w:szCs w:val="20"/>
        </w:rPr>
        <w:t>consumidor y se hablara de “</w:t>
      </w:r>
      <w:r w:rsidR="0091402F" w:rsidRPr="0091402F">
        <w:rPr>
          <w:rFonts w:ascii="Arial" w:hAnsi="Arial" w:cs="Arial"/>
          <w:i/>
          <w:iCs/>
          <w:sz w:val="20"/>
          <w:szCs w:val="20"/>
        </w:rPr>
        <w:t>préstamo responsable</w:t>
      </w:r>
      <w:r w:rsidR="0091402F" w:rsidRPr="0091402F">
        <w:rPr>
          <w:rFonts w:ascii="Arial" w:hAnsi="Arial" w:cs="Arial"/>
          <w:i/>
          <w:sz w:val="20"/>
          <w:szCs w:val="20"/>
        </w:rPr>
        <w:t>.</w:t>
      </w:r>
      <w:r w:rsidRPr="00554476">
        <w:rPr>
          <w:rFonts w:ascii="Arial" w:hAnsi="Arial" w:cs="Arial"/>
          <w:i/>
          <w:sz w:val="20"/>
          <w:szCs w:val="20"/>
        </w:rPr>
        <w:t>”</w:t>
      </w:r>
      <w:r w:rsidR="00305AEE">
        <w:rPr>
          <w:rFonts w:ascii="Arial" w:hAnsi="Arial" w:cs="Arial"/>
          <w:i/>
          <w:sz w:val="20"/>
          <w:szCs w:val="20"/>
        </w:rPr>
        <w:t xml:space="preserve"> […]</w:t>
      </w:r>
    </w:p>
    <w:p w14:paraId="056CF807" w14:textId="54ABBF60" w:rsidR="00305AEE" w:rsidRDefault="00305AEE" w:rsidP="00305AEE">
      <w:pPr>
        <w:autoSpaceDE w:val="0"/>
        <w:autoSpaceDN w:val="0"/>
        <w:adjustRightInd w:val="0"/>
        <w:spacing w:after="0" w:line="360" w:lineRule="auto"/>
        <w:ind w:left="708"/>
        <w:jc w:val="both"/>
        <w:rPr>
          <w:rFonts w:ascii="Arial" w:hAnsi="Arial" w:cs="Arial"/>
          <w:i/>
          <w:sz w:val="20"/>
          <w:szCs w:val="20"/>
        </w:rPr>
      </w:pPr>
    </w:p>
    <w:p w14:paraId="5BD9B165" w14:textId="0C4B5672" w:rsidR="00305AEE" w:rsidRPr="00305AEE" w:rsidRDefault="00305AEE" w:rsidP="00305AEE">
      <w:pPr>
        <w:autoSpaceDE w:val="0"/>
        <w:autoSpaceDN w:val="0"/>
        <w:adjustRightInd w:val="0"/>
        <w:spacing w:after="0" w:line="360" w:lineRule="auto"/>
        <w:ind w:left="708"/>
        <w:jc w:val="both"/>
        <w:rPr>
          <w:rFonts w:ascii="Arial" w:hAnsi="Arial" w:cs="Arial"/>
          <w:i/>
          <w:sz w:val="20"/>
          <w:szCs w:val="20"/>
        </w:rPr>
      </w:pPr>
      <w:r>
        <w:rPr>
          <w:rFonts w:ascii="Arial" w:hAnsi="Arial" w:cs="Arial"/>
          <w:i/>
          <w:sz w:val="20"/>
          <w:szCs w:val="20"/>
        </w:rPr>
        <w:t xml:space="preserve">[…] </w:t>
      </w:r>
      <w:r w:rsidRPr="00305AEE">
        <w:rPr>
          <w:rFonts w:ascii="Arial" w:hAnsi="Arial" w:cs="Arial"/>
          <w:i/>
          <w:sz w:val="20"/>
          <w:szCs w:val="20"/>
        </w:rPr>
        <w:t>En definitiva, se entiende que no es abusiva la cláusula que establece esta</w:t>
      </w:r>
      <w:r>
        <w:rPr>
          <w:rFonts w:ascii="Arial" w:hAnsi="Arial" w:cs="Arial"/>
          <w:i/>
          <w:sz w:val="20"/>
          <w:szCs w:val="20"/>
        </w:rPr>
        <w:t xml:space="preserve"> </w:t>
      </w:r>
      <w:r w:rsidRPr="00305AEE">
        <w:rPr>
          <w:rFonts w:ascii="Arial" w:hAnsi="Arial" w:cs="Arial"/>
          <w:i/>
          <w:sz w:val="20"/>
          <w:szCs w:val="20"/>
        </w:rPr>
        <w:t>comisión de apertura, con estimación de este primer motivo de impugnación.</w:t>
      </w:r>
    </w:p>
    <w:p w14:paraId="3D39E6C9" w14:textId="0D885767" w:rsidR="00C1183F" w:rsidRDefault="00C1183F" w:rsidP="00554476">
      <w:pPr>
        <w:spacing w:after="0" w:line="360" w:lineRule="auto"/>
        <w:jc w:val="both"/>
        <w:rPr>
          <w:rFonts w:ascii="Arial" w:eastAsia="Calibri" w:hAnsi="Arial" w:cs="Arial"/>
          <w:sz w:val="20"/>
          <w:szCs w:val="20"/>
        </w:rPr>
      </w:pPr>
    </w:p>
    <w:p w14:paraId="1A0CC7F2" w14:textId="48008B00" w:rsidR="00305AEE" w:rsidRPr="00C1183F" w:rsidRDefault="00305AEE" w:rsidP="00305AEE">
      <w:pPr>
        <w:suppressAutoHyphens/>
        <w:spacing w:after="0" w:line="360" w:lineRule="auto"/>
        <w:contextualSpacing/>
        <w:jc w:val="both"/>
        <w:rPr>
          <w:rFonts w:ascii="Arial" w:eastAsia="Calibri" w:hAnsi="Arial" w:cs="Arial"/>
          <w:sz w:val="20"/>
          <w:szCs w:val="20"/>
        </w:rPr>
      </w:pPr>
      <w:r w:rsidRPr="000901AE">
        <w:rPr>
          <w:rFonts w:ascii="Arial" w:eastAsia="Calibri" w:hAnsi="Arial" w:cs="Arial"/>
          <w:b/>
          <w:sz w:val="20"/>
          <w:szCs w:val="20"/>
          <w:u w:val="single"/>
        </w:rPr>
        <w:t xml:space="preserve">Sentencia núm. </w:t>
      </w:r>
      <w:r w:rsidR="00D028E3" w:rsidRPr="000901AE">
        <w:rPr>
          <w:rFonts w:ascii="Arial" w:eastAsia="Calibri" w:hAnsi="Arial" w:cs="Arial"/>
          <w:b/>
          <w:sz w:val="20"/>
          <w:szCs w:val="20"/>
          <w:u w:val="single"/>
        </w:rPr>
        <w:t>62</w:t>
      </w:r>
      <w:r w:rsidRPr="000901AE">
        <w:rPr>
          <w:rFonts w:ascii="Arial" w:eastAsia="Calibri" w:hAnsi="Arial" w:cs="Arial"/>
          <w:b/>
          <w:sz w:val="20"/>
          <w:szCs w:val="20"/>
          <w:u w:val="single"/>
        </w:rPr>
        <w:t xml:space="preserve">/2021 de la Audiencia Provincial de </w:t>
      </w:r>
      <w:r w:rsidR="00D028E3" w:rsidRPr="000901AE">
        <w:rPr>
          <w:rFonts w:ascii="Arial" w:eastAsia="Calibri" w:hAnsi="Arial" w:cs="Arial"/>
          <w:b/>
          <w:sz w:val="20"/>
          <w:szCs w:val="20"/>
          <w:u w:val="single"/>
        </w:rPr>
        <w:t>Cuenca</w:t>
      </w:r>
      <w:r w:rsidRPr="000901AE">
        <w:rPr>
          <w:rFonts w:ascii="Arial" w:eastAsia="Calibri" w:hAnsi="Arial" w:cs="Arial"/>
          <w:b/>
          <w:sz w:val="20"/>
          <w:szCs w:val="20"/>
          <w:u w:val="single"/>
        </w:rPr>
        <w:t xml:space="preserve">, sección 1ª, de </w:t>
      </w:r>
      <w:r w:rsidR="00D028E3" w:rsidRPr="000901AE">
        <w:rPr>
          <w:rFonts w:ascii="Arial" w:eastAsia="Calibri" w:hAnsi="Arial" w:cs="Arial"/>
          <w:b/>
          <w:sz w:val="20"/>
          <w:szCs w:val="20"/>
          <w:u w:val="single"/>
        </w:rPr>
        <w:t>23 de febrero</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2C80433B" w14:textId="77777777" w:rsidR="00D028E3" w:rsidRPr="00554476" w:rsidRDefault="00D028E3" w:rsidP="00D028E3">
      <w:pPr>
        <w:suppressAutoHyphens/>
        <w:autoSpaceDE w:val="0"/>
        <w:autoSpaceDN w:val="0"/>
        <w:adjustRightInd w:val="0"/>
        <w:spacing w:after="0" w:line="360" w:lineRule="auto"/>
        <w:contextualSpacing/>
        <w:jc w:val="both"/>
        <w:rPr>
          <w:rFonts w:ascii="Arial" w:eastAsia="Calibri" w:hAnsi="Arial" w:cs="Arial"/>
          <w:sz w:val="20"/>
          <w:szCs w:val="20"/>
        </w:rPr>
      </w:pPr>
    </w:p>
    <w:p w14:paraId="35371A8E" w14:textId="3D9C3D4D" w:rsidR="00D028E3" w:rsidRPr="00FE4394" w:rsidRDefault="00D028E3" w:rsidP="00D028E3">
      <w:pPr>
        <w:spacing w:after="0" w:line="360" w:lineRule="auto"/>
        <w:ind w:left="709"/>
        <w:jc w:val="both"/>
        <w:rPr>
          <w:rFonts w:ascii="Arial" w:eastAsia="Calibri" w:hAnsi="Arial" w:cs="Arial"/>
          <w:i/>
          <w:sz w:val="20"/>
          <w:szCs w:val="20"/>
        </w:rPr>
      </w:pPr>
      <w:r w:rsidRPr="00FE4394">
        <w:rPr>
          <w:rFonts w:ascii="Arial" w:eastAsia="Calibri" w:hAnsi="Arial" w:cs="Arial"/>
          <w:i/>
          <w:sz w:val="20"/>
          <w:szCs w:val="20"/>
        </w:rPr>
        <w:t>“El pronunciamiento del TJUE sobre la comisión de apertura vuelve a replantear la cuestión en sede de control de transparencia y de control de contenido. En primer lugar, afirma la procedencia del control de transparencia tanto a las relativas al objeto principal del contrato como a las cláusulas accesorias. En segundo lugar, y en referencia al control de su contenido, entiende concurre desequilibrio en tanto no se demuestre que responde a servicios efectivamente prestados y gastos en los que haya incurrido.</w:t>
      </w:r>
    </w:p>
    <w:p w14:paraId="5824AEB2" w14:textId="5A0276C9" w:rsidR="00D028E3" w:rsidRPr="00FE4394" w:rsidRDefault="00D028E3" w:rsidP="00D028E3">
      <w:pPr>
        <w:spacing w:after="0" w:line="360" w:lineRule="auto"/>
        <w:ind w:left="709"/>
        <w:jc w:val="both"/>
        <w:rPr>
          <w:rFonts w:ascii="Arial" w:eastAsia="Calibri" w:hAnsi="Arial" w:cs="Arial"/>
          <w:i/>
          <w:sz w:val="20"/>
          <w:szCs w:val="20"/>
        </w:rPr>
      </w:pPr>
      <w:r w:rsidRPr="00FE4394">
        <w:rPr>
          <w:rFonts w:ascii="Arial" w:eastAsia="Calibri" w:hAnsi="Arial" w:cs="Arial"/>
          <w:i/>
          <w:sz w:val="20"/>
          <w:szCs w:val="20"/>
        </w:rPr>
        <w:t>Por lo tanto, la doctrina anteriormente expuesta, en consonancia con la ya fijada por el Tribunal Supremo, determina el necesario control de la suficiencia de la información precontractual, de obligada comprobación para el órgano jurisdiccional, sobre la constancia de los elementos suficientes para que adquiera el consumidor conocimiento de su contenido y funcionamiento de dicha cláusula.</w:t>
      </w:r>
    </w:p>
    <w:p w14:paraId="2B93E8EB" w14:textId="4BADC08C" w:rsidR="00FE4394" w:rsidRDefault="00FE4394" w:rsidP="00D028E3">
      <w:pPr>
        <w:spacing w:after="0" w:line="360" w:lineRule="auto"/>
        <w:ind w:left="709"/>
        <w:jc w:val="both"/>
        <w:rPr>
          <w:rFonts w:ascii="Arial" w:eastAsia="Calibri" w:hAnsi="Arial" w:cs="Arial"/>
          <w:sz w:val="20"/>
          <w:szCs w:val="20"/>
        </w:rPr>
      </w:pPr>
    </w:p>
    <w:p w14:paraId="772B401D" w14:textId="43251E3B" w:rsidR="00FE4394" w:rsidRDefault="00FE4394" w:rsidP="00FE4394">
      <w:pPr>
        <w:spacing w:after="0" w:line="360" w:lineRule="auto"/>
        <w:ind w:left="709"/>
        <w:jc w:val="both"/>
        <w:rPr>
          <w:rFonts w:ascii="Arial" w:eastAsia="Calibri" w:hAnsi="Arial" w:cs="Arial"/>
          <w:i/>
          <w:sz w:val="20"/>
          <w:szCs w:val="20"/>
        </w:rPr>
      </w:pPr>
      <w:r w:rsidRPr="00FE4394">
        <w:rPr>
          <w:rFonts w:ascii="Arial" w:eastAsia="Calibri" w:hAnsi="Arial" w:cs="Arial"/>
          <w:i/>
          <w:sz w:val="20"/>
          <w:szCs w:val="20"/>
        </w:rPr>
        <w:t>Lo argumentos de la Jurisprudencia del Tribunal Supremo son claros en</w:t>
      </w:r>
      <w:r>
        <w:rPr>
          <w:rFonts w:ascii="Arial" w:eastAsia="Calibri" w:hAnsi="Arial" w:cs="Arial"/>
          <w:i/>
          <w:sz w:val="20"/>
          <w:szCs w:val="20"/>
        </w:rPr>
        <w:t xml:space="preserve"> </w:t>
      </w:r>
      <w:r w:rsidRPr="00FE4394">
        <w:rPr>
          <w:rFonts w:ascii="Arial" w:eastAsia="Calibri" w:hAnsi="Arial" w:cs="Arial"/>
          <w:i/>
          <w:sz w:val="20"/>
          <w:szCs w:val="20"/>
        </w:rPr>
        <w:t>orden a la legalidad de la discutida comisión y los conceptos que remunera, tal</w:t>
      </w:r>
      <w:r>
        <w:rPr>
          <w:rFonts w:ascii="Arial" w:eastAsia="Calibri" w:hAnsi="Arial" w:cs="Arial"/>
          <w:i/>
          <w:sz w:val="20"/>
          <w:szCs w:val="20"/>
        </w:rPr>
        <w:t xml:space="preserve"> </w:t>
      </w:r>
      <w:r w:rsidRPr="00FE4394">
        <w:rPr>
          <w:rFonts w:ascii="Arial" w:eastAsia="Calibri" w:hAnsi="Arial" w:cs="Arial"/>
          <w:i/>
          <w:sz w:val="20"/>
          <w:szCs w:val="20"/>
        </w:rPr>
        <w:t>como ya ha quedado expuesto y conforme a la legislación aplicable en el</w:t>
      </w:r>
      <w:r>
        <w:rPr>
          <w:rFonts w:ascii="Arial" w:eastAsia="Calibri" w:hAnsi="Arial" w:cs="Arial"/>
          <w:i/>
          <w:sz w:val="20"/>
          <w:szCs w:val="20"/>
        </w:rPr>
        <w:t xml:space="preserve"> </w:t>
      </w:r>
      <w:r w:rsidRPr="00FE4394">
        <w:rPr>
          <w:rFonts w:ascii="Arial" w:eastAsia="Calibri" w:hAnsi="Arial" w:cs="Arial"/>
          <w:i/>
          <w:sz w:val="20"/>
          <w:szCs w:val="20"/>
        </w:rPr>
        <w:t>momento de la suscripción del préstamo</w:t>
      </w:r>
      <w:r>
        <w:rPr>
          <w:rFonts w:ascii="Arial" w:eastAsia="Calibri" w:hAnsi="Arial" w:cs="Arial"/>
          <w:i/>
          <w:sz w:val="20"/>
          <w:szCs w:val="20"/>
        </w:rPr>
        <w:t xml:space="preserve"> […] </w:t>
      </w:r>
      <w:r w:rsidRPr="00FE4394">
        <w:rPr>
          <w:rFonts w:ascii="Arial" w:eastAsia="Calibri" w:hAnsi="Arial" w:cs="Arial"/>
          <w:i/>
          <w:sz w:val="20"/>
          <w:szCs w:val="20"/>
        </w:rPr>
        <w:t>Sin embargo, el Tribunal de Justicia establece en el apartado 78 de la</w:t>
      </w:r>
      <w:r>
        <w:rPr>
          <w:rFonts w:ascii="Arial" w:eastAsia="Calibri" w:hAnsi="Arial" w:cs="Arial"/>
          <w:i/>
          <w:sz w:val="20"/>
          <w:szCs w:val="20"/>
        </w:rPr>
        <w:t xml:space="preserve"> </w:t>
      </w:r>
      <w:r w:rsidRPr="00FE4394">
        <w:rPr>
          <w:rFonts w:ascii="Arial" w:eastAsia="Calibri" w:hAnsi="Arial" w:cs="Arial"/>
          <w:i/>
          <w:sz w:val="20"/>
          <w:szCs w:val="20"/>
        </w:rPr>
        <w:t>Sentencia que una cláusula que surta el efecto</w:t>
      </w:r>
      <w:r>
        <w:rPr>
          <w:rFonts w:ascii="Arial" w:eastAsia="Calibri" w:hAnsi="Arial" w:cs="Arial"/>
          <w:i/>
          <w:sz w:val="20"/>
          <w:szCs w:val="20"/>
        </w:rPr>
        <w:t xml:space="preserve"> de eximir al profesional de la o</w:t>
      </w:r>
      <w:r w:rsidRPr="00FE4394">
        <w:rPr>
          <w:rFonts w:ascii="Arial" w:eastAsia="Calibri" w:hAnsi="Arial" w:cs="Arial"/>
          <w:i/>
          <w:sz w:val="20"/>
          <w:szCs w:val="20"/>
        </w:rPr>
        <w:t>bligación de demostrar que una comisión de apertura se corresponde con</w:t>
      </w:r>
      <w:r>
        <w:rPr>
          <w:rFonts w:ascii="Arial" w:eastAsia="Calibri" w:hAnsi="Arial" w:cs="Arial"/>
          <w:i/>
          <w:sz w:val="20"/>
          <w:szCs w:val="20"/>
        </w:rPr>
        <w:t xml:space="preserve"> </w:t>
      </w:r>
      <w:r w:rsidRPr="00FE4394">
        <w:rPr>
          <w:rFonts w:ascii="Arial" w:eastAsia="Calibri" w:hAnsi="Arial" w:cs="Arial"/>
          <w:i/>
          <w:sz w:val="20"/>
          <w:szCs w:val="20"/>
        </w:rPr>
        <w:t>servicios efectivamente prestados o a gastos habidos podría incidir</w:t>
      </w:r>
      <w:r>
        <w:rPr>
          <w:rFonts w:ascii="Arial" w:eastAsia="Calibri" w:hAnsi="Arial" w:cs="Arial"/>
          <w:i/>
          <w:sz w:val="20"/>
          <w:szCs w:val="20"/>
        </w:rPr>
        <w:t xml:space="preserve"> </w:t>
      </w:r>
      <w:r w:rsidRPr="00FE4394">
        <w:rPr>
          <w:rFonts w:ascii="Arial" w:eastAsia="Calibri" w:hAnsi="Arial" w:cs="Arial"/>
          <w:i/>
          <w:sz w:val="20"/>
          <w:szCs w:val="20"/>
        </w:rPr>
        <w:t>negativamente en la posición jurídica del consumidor y, en consecuencia, causar</w:t>
      </w:r>
      <w:r>
        <w:rPr>
          <w:rFonts w:ascii="Arial" w:eastAsia="Calibri" w:hAnsi="Arial" w:cs="Arial"/>
          <w:i/>
          <w:sz w:val="20"/>
          <w:szCs w:val="20"/>
        </w:rPr>
        <w:t xml:space="preserve"> </w:t>
      </w:r>
      <w:r w:rsidRPr="00FE4394">
        <w:rPr>
          <w:rFonts w:ascii="Arial" w:eastAsia="Calibri" w:hAnsi="Arial" w:cs="Arial"/>
          <w:i/>
          <w:sz w:val="20"/>
          <w:szCs w:val="20"/>
        </w:rPr>
        <w:t>en detrimento de este un desequilibrio importante, contrariamente a las</w:t>
      </w:r>
      <w:r>
        <w:rPr>
          <w:rFonts w:ascii="Arial" w:eastAsia="Calibri" w:hAnsi="Arial" w:cs="Arial"/>
          <w:i/>
          <w:sz w:val="20"/>
          <w:szCs w:val="20"/>
        </w:rPr>
        <w:t xml:space="preserve"> </w:t>
      </w:r>
      <w:r w:rsidRPr="00FE4394">
        <w:rPr>
          <w:rFonts w:ascii="Arial" w:eastAsia="Calibri" w:hAnsi="Arial" w:cs="Arial"/>
          <w:i/>
          <w:sz w:val="20"/>
          <w:szCs w:val="20"/>
        </w:rPr>
        <w:t>exigencias de la buena fe.</w:t>
      </w:r>
    </w:p>
    <w:p w14:paraId="02059421" w14:textId="77777777" w:rsidR="00FE4394" w:rsidRPr="00FE4394" w:rsidRDefault="00FE4394" w:rsidP="00FE4394">
      <w:pPr>
        <w:spacing w:after="0" w:line="360" w:lineRule="auto"/>
        <w:ind w:left="709"/>
        <w:jc w:val="both"/>
        <w:rPr>
          <w:rFonts w:ascii="Arial" w:eastAsia="Calibri" w:hAnsi="Arial" w:cs="Arial"/>
          <w:i/>
          <w:sz w:val="20"/>
          <w:szCs w:val="20"/>
        </w:rPr>
      </w:pPr>
    </w:p>
    <w:p w14:paraId="2391922D" w14:textId="22CFE999" w:rsidR="00FE4394" w:rsidRPr="00FE4394" w:rsidRDefault="00FE4394" w:rsidP="00FE4394">
      <w:pPr>
        <w:spacing w:after="0" w:line="360" w:lineRule="auto"/>
        <w:ind w:left="709"/>
        <w:jc w:val="both"/>
        <w:rPr>
          <w:rFonts w:ascii="Arial" w:eastAsia="Calibri" w:hAnsi="Arial" w:cs="Arial"/>
          <w:i/>
          <w:sz w:val="20"/>
          <w:szCs w:val="20"/>
        </w:rPr>
      </w:pPr>
      <w:r w:rsidRPr="00FE4394">
        <w:rPr>
          <w:rFonts w:ascii="Arial" w:eastAsia="Calibri" w:hAnsi="Arial" w:cs="Arial"/>
          <w:i/>
          <w:sz w:val="20"/>
          <w:szCs w:val="20"/>
        </w:rPr>
        <w:t>Este pronunciamiento no determina, sin embargo, de forma automática la</w:t>
      </w:r>
      <w:r>
        <w:rPr>
          <w:rFonts w:ascii="Arial" w:eastAsia="Calibri" w:hAnsi="Arial" w:cs="Arial"/>
          <w:i/>
          <w:sz w:val="20"/>
          <w:szCs w:val="20"/>
        </w:rPr>
        <w:t xml:space="preserve"> </w:t>
      </w:r>
      <w:proofErr w:type="spellStart"/>
      <w:r w:rsidRPr="00FE4394">
        <w:rPr>
          <w:rFonts w:ascii="Arial" w:eastAsia="Calibri" w:hAnsi="Arial" w:cs="Arial"/>
          <w:i/>
          <w:sz w:val="20"/>
          <w:szCs w:val="20"/>
        </w:rPr>
        <w:t>abusividad</w:t>
      </w:r>
      <w:proofErr w:type="spellEnd"/>
      <w:r w:rsidRPr="00FE4394">
        <w:rPr>
          <w:rFonts w:ascii="Arial" w:eastAsia="Calibri" w:hAnsi="Arial" w:cs="Arial"/>
          <w:i/>
          <w:sz w:val="20"/>
          <w:szCs w:val="20"/>
        </w:rPr>
        <w:t xml:space="preserve"> de la cláusula examinada ya que, debe ser puesto en relación con la</w:t>
      </w:r>
      <w:r>
        <w:rPr>
          <w:rFonts w:ascii="Arial" w:eastAsia="Calibri" w:hAnsi="Arial" w:cs="Arial"/>
          <w:i/>
          <w:sz w:val="20"/>
          <w:szCs w:val="20"/>
        </w:rPr>
        <w:t xml:space="preserve"> </w:t>
      </w:r>
      <w:r w:rsidRPr="00FE4394">
        <w:rPr>
          <w:rFonts w:ascii="Arial" w:eastAsia="Calibri" w:hAnsi="Arial" w:cs="Arial"/>
          <w:i/>
          <w:sz w:val="20"/>
          <w:szCs w:val="20"/>
        </w:rPr>
        <w:t>normativa aplicable en España, con arreglo a la cual, la comisión de apertura</w:t>
      </w:r>
      <w:r>
        <w:rPr>
          <w:rFonts w:ascii="Arial" w:eastAsia="Calibri" w:hAnsi="Arial" w:cs="Arial"/>
          <w:i/>
          <w:sz w:val="20"/>
          <w:szCs w:val="20"/>
        </w:rPr>
        <w:t xml:space="preserve"> </w:t>
      </w:r>
      <w:r w:rsidRPr="00FE4394">
        <w:rPr>
          <w:rFonts w:ascii="Arial" w:eastAsia="Calibri" w:hAnsi="Arial" w:cs="Arial"/>
          <w:i/>
          <w:sz w:val="20"/>
          <w:szCs w:val="20"/>
        </w:rPr>
        <w:t>remunera servicios de estudio, tramitación y concesión del préstamo. Estos</w:t>
      </w:r>
      <w:r>
        <w:rPr>
          <w:rFonts w:ascii="Arial" w:eastAsia="Calibri" w:hAnsi="Arial" w:cs="Arial"/>
          <w:i/>
          <w:sz w:val="20"/>
          <w:szCs w:val="20"/>
        </w:rPr>
        <w:t xml:space="preserve"> </w:t>
      </w:r>
      <w:r w:rsidRPr="00FE4394">
        <w:rPr>
          <w:rFonts w:ascii="Arial" w:eastAsia="Calibri" w:hAnsi="Arial" w:cs="Arial"/>
          <w:i/>
          <w:sz w:val="20"/>
          <w:szCs w:val="20"/>
        </w:rPr>
        <w:t>servicios remunerados, que no resultan prescindibles para la entidad bancaria,</w:t>
      </w:r>
      <w:r>
        <w:rPr>
          <w:rFonts w:ascii="Arial" w:eastAsia="Calibri" w:hAnsi="Arial" w:cs="Arial"/>
          <w:i/>
          <w:sz w:val="20"/>
          <w:szCs w:val="20"/>
        </w:rPr>
        <w:t xml:space="preserve"> </w:t>
      </w:r>
      <w:r w:rsidRPr="00FE4394">
        <w:rPr>
          <w:rFonts w:ascii="Arial" w:eastAsia="Calibri" w:hAnsi="Arial" w:cs="Arial"/>
          <w:i/>
          <w:sz w:val="20"/>
          <w:szCs w:val="20"/>
        </w:rPr>
        <w:t>conforme ha venido razonando la Jurisprudencia del Tribunal Supremo, por la</w:t>
      </w:r>
      <w:r>
        <w:rPr>
          <w:rFonts w:ascii="Arial" w:eastAsia="Calibri" w:hAnsi="Arial" w:cs="Arial"/>
          <w:i/>
          <w:sz w:val="20"/>
          <w:szCs w:val="20"/>
        </w:rPr>
        <w:t xml:space="preserve"> </w:t>
      </w:r>
      <w:r w:rsidRPr="00FE4394">
        <w:rPr>
          <w:rFonts w:ascii="Arial" w:eastAsia="Calibri" w:hAnsi="Arial" w:cs="Arial"/>
          <w:i/>
          <w:sz w:val="20"/>
          <w:szCs w:val="20"/>
        </w:rPr>
        <w:t>propia dinámica de la concesión del préstamo se han prestado en este caso, por</w:t>
      </w:r>
      <w:r>
        <w:rPr>
          <w:rFonts w:ascii="Arial" w:eastAsia="Calibri" w:hAnsi="Arial" w:cs="Arial"/>
          <w:i/>
          <w:sz w:val="20"/>
          <w:szCs w:val="20"/>
        </w:rPr>
        <w:t xml:space="preserve"> </w:t>
      </w:r>
      <w:r w:rsidRPr="00FE4394">
        <w:rPr>
          <w:rFonts w:ascii="Arial" w:eastAsia="Calibri" w:hAnsi="Arial" w:cs="Arial"/>
          <w:i/>
          <w:sz w:val="20"/>
          <w:szCs w:val="20"/>
        </w:rPr>
        <w:t xml:space="preserve">lo que no cabe concluir la </w:t>
      </w:r>
      <w:proofErr w:type="spellStart"/>
      <w:r w:rsidRPr="00FE4394">
        <w:rPr>
          <w:rFonts w:ascii="Arial" w:eastAsia="Calibri" w:hAnsi="Arial" w:cs="Arial"/>
          <w:i/>
          <w:sz w:val="20"/>
          <w:szCs w:val="20"/>
        </w:rPr>
        <w:t>abusividad</w:t>
      </w:r>
      <w:proofErr w:type="spellEnd"/>
      <w:r w:rsidRPr="00FE4394">
        <w:rPr>
          <w:rFonts w:ascii="Arial" w:eastAsia="Calibri" w:hAnsi="Arial" w:cs="Arial"/>
          <w:i/>
          <w:sz w:val="20"/>
          <w:szCs w:val="20"/>
        </w:rPr>
        <w:t xml:space="preserve"> de la comisión de apertura. Por lo demás,</w:t>
      </w:r>
      <w:r>
        <w:rPr>
          <w:rFonts w:ascii="Arial" w:eastAsia="Calibri" w:hAnsi="Arial" w:cs="Arial"/>
          <w:i/>
          <w:sz w:val="20"/>
          <w:szCs w:val="20"/>
        </w:rPr>
        <w:t xml:space="preserve"> </w:t>
      </w:r>
      <w:r w:rsidRPr="00FE4394">
        <w:rPr>
          <w:rFonts w:ascii="Arial" w:eastAsia="Calibri" w:hAnsi="Arial" w:cs="Arial"/>
          <w:i/>
          <w:sz w:val="20"/>
          <w:szCs w:val="20"/>
        </w:rPr>
        <w:t>no se discute su falta de transparencia, y de hecho, consta en autos la oferta</w:t>
      </w:r>
      <w:r>
        <w:rPr>
          <w:rFonts w:ascii="Arial" w:eastAsia="Calibri" w:hAnsi="Arial" w:cs="Arial"/>
          <w:i/>
          <w:sz w:val="20"/>
          <w:szCs w:val="20"/>
        </w:rPr>
        <w:t xml:space="preserve"> </w:t>
      </w:r>
      <w:r w:rsidRPr="00FE4394">
        <w:rPr>
          <w:rFonts w:ascii="Arial" w:eastAsia="Calibri" w:hAnsi="Arial" w:cs="Arial"/>
          <w:i/>
          <w:sz w:val="20"/>
          <w:szCs w:val="20"/>
        </w:rPr>
        <w:t>vinculante firmada por el prestatario, dentro de la cual se informaba sobre la</w:t>
      </w:r>
      <w:r>
        <w:rPr>
          <w:rFonts w:ascii="Arial" w:eastAsia="Calibri" w:hAnsi="Arial" w:cs="Arial"/>
          <w:i/>
          <w:sz w:val="20"/>
          <w:szCs w:val="20"/>
        </w:rPr>
        <w:t xml:space="preserve"> </w:t>
      </w:r>
      <w:r w:rsidRPr="00FE4394">
        <w:rPr>
          <w:rFonts w:ascii="Arial" w:eastAsia="Calibri" w:hAnsi="Arial" w:cs="Arial"/>
          <w:i/>
          <w:sz w:val="20"/>
          <w:szCs w:val="20"/>
        </w:rPr>
        <w:t>referida comisión.</w:t>
      </w:r>
    </w:p>
    <w:p w14:paraId="53780DD4" w14:textId="77777777" w:rsidR="00FE4394" w:rsidRDefault="00FE4394" w:rsidP="00FE4394">
      <w:pPr>
        <w:spacing w:after="0" w:line="360" w:lineRule="auto"/>
        <w:ind w:left="709"/>
        <w:jc w:val="both"/>
        <w:rPr>
          <w:rFonts w:ascii="Arial" w:eastAsia="Calibri" w:hAnsi="Arial" w:cs="Arial"/>
          <w:i/>
          <w:sz w:val="20"/>
          <w:szCs w:val="20"/>
        </w:rPr>
      </w:pPr>
    </w:p>
    <w:p w14:paraId="63C09153" w14:textId="2AB0CAE9" w:rsidR="00FE4394" w:rsidRDefault="00FE4394" w:rsidP="00FE4394">
      <w:pPr>
        <w:spacing w:after="0" w:line="360" w:lineRule="auto"/>
        <w:ind w:left="709"/>
        <w:jc w:val="both"/>
        <w:rPr>
          <w:rFonts w:ascii="Arial" w:eastAsia="Calibri" w:hAnsi="Arial" w:cs="Arial"/>
          <w:i/>
          <w:sz w:val="20"/>
          <w:szCs w:val="20"/>
        </w:rPr>
      </w:pPr>
      <w:r w:rsidRPr="00FE4394">
        <w:rPr>
          <w:rFonts w:ascii="Arial" w:eastAsia="Calibri" w:hAnsi="Arial" w:cs="Arial"/>
          <w:i/>
          <w:sz w:val="20"/>
          <w:szCs w:val="20"/>
        </w:rPr>
        <w:t>Por todo lo expuesto, el recurso debe ser desestimado</w:t>
      </w:r>
      <w:r>
        <w:rPr>
          <w:rFonts w:ascii="Arial" w:eastAsia="Calibri" w:hAnsi="Arial" w:cs="Arial"/>
          <w:i/>
          <w:sz w:val="20"/>
          <w:szCs w:val="20"/>
        </w:rPr>
        <w:t>”</w:t>
      </w:r>
      <w:r w:rsidRPr="00FE4394">
        <w:rPr>
          <w:rFonts w:ascii="Arial" w:eastAsia="Calibri" w:hAnsi="Arial" w:cs="Arial"/>
          <w:i/>
          <w:sz w:val="20"/>
          <w:szCs w:val="20"/>
        </w:rPr>
        <w:t>.</w:t>
      </w:r>
    </w:p>
    <w:p w14:paraId="5B650584" w14:textId="121CD501" w:rsidR="00AA6BC2" w:rsidRDefault="00AA6BC2" w:rsidP="00FE4394">
      <w:pPr>
        <w:spacing w:after="0" w:line="360" w:lineRule="auto"/>
        <w:ind w:left="709"/>
        <w:jc w:val="both"/>
        <w:rPr>
          <w:rFonts w:ascii="Arial" w:eastAsia="Calibri" w:hAnsi="Arial" w:cs="Arial"/>
          <w:i/>
          <w:sz w:val="20"/>
          <w:szCs w:val="20"/>
        </w:rPr>
      </w:pPr>
    </w:p>
    <w:p w14:paraId="3B42A862" w14:textId="237D541F" w:rsidR="00242088" w:rsidRPr="00C1183F" w:rsidRDefault="00242088" w:rsidP="00242088">
      <w:pPr>
        <w:suppressAutoHyphens/>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t>Sentencia núm. 617/2021 de la Audiencia Provincial de Vizcaya, sección 4ª, de 21 de abril</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7724354B" w14:textId="7FEE2206" w:rsidR="002F7893" w:rsidRDefault="002F7893" w:rsidP="00FE4394">
      <w:pPr>
        <w:spacing w:after="0" w:line="360" w:lineRule="auto"/>
        <w:ind w:left="709"/>
        <w:jc w:val="both"/>
        <w:rPr>
          <w:rFonts w:ascii="Arial" w:eastAsia="Calibri" w:hAnsi="Arial" w:cs="Arial"/>
          <w:i/>
          <w:sz w:val="20"/>
          <w:szCs w:val="20"/>
        </w:rPr>
      </w:pPr>
    </w:p>
    <w:p w14:paraId="44F2758C" w14:textId="51134E63" w:rsidR="00242088" w:rsidRPr="00DB55B3" w:rsidRDefault="00242088" w:rsidP="00242088">
      <w:pPr>
        <w:spacing w:after="0" w:line="360" w:lineRule="auto"/>
        <w:ind w:left="709"/>
        <w:jc w:val="both"/>
        <w:rPr>
          <w:rFonts w:ascii="Arial" w:eastAsia="Calibri" w:hAnsi="Arial" w:cs="Arial"/>
          <w:i/>
          <w:sz w:val="20"/>
          <w:szCs w:val="20"/>
        </w:rPr>
      </w:pPr>
      <w:r w:rsidRPr="00DB55B3">
        <w:rPr>
          <w:rFonts w:ascii="Arial" w:eastAsia="Calibri" w:hAnsi="Arial" w:cs="Arial"/>
          <w:i/>
          <w:sz w:val="20"/>
          <w:szCs w:val="20"/>
        </w:rPr>
        <w:t xml:space="preserve">Sobre esta materia indicó la STS 44/2019, de 23 enero, </w:t>
      </w:r>
      <w:proofErr w:type="spellStart"/>
      <w:r w:rsidRPr="00DB55B3">
        <w:rPr>
          <w:rFonts w:ascii="Arial" w:eastAsia="Calibri" w:hAnsi="Arial" w:cs="Arial"/>
          <w:i/>
          <w:sz w:val="20"/>
          <w:szCs w:val="20"/>
        </w:rPr>
        <w:t>rec.</w:t>
      </w:r>
      <w:proofErr w:type="spellEnd"/>
      <w:r w:rsidRPr="00DB55B3">
        <w:rPr>
          <w:rFonts w:ascii="Arial" w:eastAsia="Calibri" w:hAnsi="Arial" w:cs="Arial"/>
          <w:i/>
          <w:sz w:val="20"/>
          <w:szCs w:val="20"/>
        </w:rPr>
        <w:t xml:space="preserve"> 2982/2018, ECLI:ES:TS:2019:102, que no cabe control de transparencia de sus previsiones porque </w:t>
      </w:r>
      <w:r w:rsidRPr="00DB55B3">
        <w:rPr>
          <w:rFonts w:ascii="Arial" w:eastAsia="Calibri" w:hAnsi="Arial" w:cs="Arial"/>
          <w:i/>
          <w:sz w:val="20"/>
          <w:szCs w:val="20"/>
        </w:rPr>
        <w:lastRenderedPageBreak/>
        <w:t>dice el FJ 3º “</w:t>
      </w:r>
      <w:r w:rsidRPr="00DB55B3">
        <w:rPr>
          <w:rFonts w:ascii="Arial" w:eastAsia="Calibri" w:hAnsi="Arial" w:cs="Arial"/>
          <w:i/>
          <w:iCs/>
          <w:sz w:val="20"/>
          <w:szCs w:val="20"/>
        </w:rPr>
        <w:t>22.- La comisión de apertura no es uno más de los posibles pagos que eventualmente deba realizar el prestatario por el disfrute del préstamo (como era el caso de la "comisión de riesgo" objeto de la citada sentencia del TJUE de 26 febrero de 2015) sino que constituye, junto con el interés remuneratorio, uno de los dos principales pagos que el prestatario ha de pagar por la concesión y disfrute del préstamo, por lo que entra de lleno en la previsión del art. 4.2 de la Directiva 93/13 interpretado en los términos estrictos que exige el TJUE</w:t>
      </w:r>
      <w:r w:rsidRPr="00DB55B3">
        <w:rPr>
          <w:rFonts w:ascii="Arial" w:eastAsia="Calibri" w:hAnsi="Arial" w:cs="Arial"/>
          <w:i/>
          <w:sz w:val="20"/>
          <w:szCs w:val="20"/>
        </w:rPr>
        <w:t>”.</w:t>
      </w:r>
    </w:p>
    <w:p w14:paraId="368D78D2" w14:textId="661CDCCD" w:rsidR="00242088" w:rsidRPr="00DB55B3" w:rsidRDefault="00242088" w:rsidP="00242088">
      <w:pPr>
        <w:spacing w:after="0" w:line="360" w:lineRule="auto"/>
        <w:ind w:left="709"/>
        <w:jc w:val="both"/>
        <w:rPr>
          <w:rFonts w:ascii="Arial" w:eastAsia="Calibri" w:hAnsi="Arial" w:cs="Arial"/>
          <w:i/>
          <w:sz w:val="20"/>
          <w:szCs w:val="20"/>
        </w:rPr>
      </w:pPr>
      <w:r w:rsidRPr="00DB55B3">
        <w:rPr>
          <w:rFonts w:ascii="Arial" w:eastAsia="Calibri" w:hAnsi="Arial" w:cs="Arial"/>
          <w:i/>
          <w:sz w:val="20"/>
          <w:szCs w:val="20"/>
        </w:rPr>
        <w:t xml:space="preserve">Luego la STJUE 16 julio 2020, C-224/19 y C-259/19, ECLI:EU:C:2020:578, CY contra </w:t>
      </w:r>
      <w:proofErr w:type="spellStart"/>
      <w:r w:rsidRPr="00DB55B3">
        <w:rPr>
          <w:rFonts w:ascii="Arial" w:eastAsia="Calibri" w:hAnsi="Arial" w:cs="Arial"/>
          <w:i/>
          <w:sz w:val="20"/>
          <w:szCs w:val="20"/>
        </w:rPr>
        <w:t>Caixabank</w:t>
      </w:r>
      <w:proofErr w:type="spellEnd"/>
      <w:r w:rsidRPr="00DB55B3">
        <w:rPr>
          <w:rFonts w:ascii="Arial" w:eastAsia="Calibri" w:hAnsi="Arial" w:cs="Arial"/>
          <w:i/>
          <w:sz w:val="20"/>
          <w:szCs w:val="20"/>
        </w:rPr>
        <w:t xml:space="preserve">, S. A., y LG y PK contra Banco Bilbao Vizcaya Argentaria, S. A., aclaró en sus §63 </w:t>
      </w:r>
      <w:r w:rsidR="00DB55B3" w:rsidRPr="00DB55B3">
        <w:rPr>
          <w:rFonts w:ascii="Arial" w:eastAsia="Calibri" w:hAnsi="Arial" w:cs="Arial"/>
          <w:i/>
          <w:sz w:val="20"/>
          <w:szCs w:val="20"/>
        </w:rPr>
        <w:t>y ss.</w:t>
      </w:r>
      <w:r w:rsidRPr="00DB55B3">
        <w:rPr>
          <w:rFonts w:ascii="Arial" w:eastAsia="Calibri" w:hAnsi="Arial" w:cs="Arial"/>
          <w:i/>
          <w:sz w:val="20"/>
          <w:szCs w:val="20"/>
        </w:rPr>
        <w:t>, que pese a constituir parte del precio la comisión de apertura puede ser analizada por</w:t>
      </w:r>
      <w:r w:rsidR="00DB55B3" w:rsidRPr="00DB55B3">
        <w:rPr>
          <w:rFonts w:ascii="Arial" w:eastAsia="Calibri" w:hAnsi="Arial" w:cs="Arial"/>
          <w:i/>
          <w:sz w:val="20"/>
          <w:szCs w:val="20"/>
        </w:rPr>
        <w:t xml:space="preserve"> </w:t>
      </w:r>
      <w:r w:rsidRPr="00DB55B3">
        <w:rPr>
          <w:rFonts w:ascii="Arial" w:eastAsia="Calibri" w:hAnsi="Arial" w:cs="Arial"/>
          <w:i/>
          <w:sz w:val="20"/>
          <w:szCs w:val="20"/>
        </w:rPr>
        <w:t>los tribunales, para ponderar si ha habido incorporación transparente al contrato. Así dice el §69</w:t>
      </w:r>
      <w:r w:rsidR="00DB55B3" w:rsidRPr="00DB55B3">
        <w:rPr>
          <w:rFonts w:ascii="Arial" w:eastAsia="Calibri" w:hAnsi="Arial" w:cs="Arial"/>
          <w:i/>
          <w:sz w:val="20"/>
          <w:szCs w:val="20"/>
        </w:rPr>
        <w:t xml:space="preserve"> </w:t>
      </w:r>
      <w:r w:rsidRPr="00DB55B3">
        <w:rPr>
          <w:rFonts w:ascii="Arial" w:eastAsia="Calibri" w:hAnsi="Arial" w:cs="Arial"/>
          <w:i/>
          <w:sz w:val="20"/>
          <w:szCs w:val="20"/>
        </w:rPr>
        <w:t>que “</w:t>
      </w:r>
      <w:r w:rsidRPr="00DB55B3">
        <w:rPr>
          <w:rFonts w:ascii="Arial" w:eastAsia="Calibri" w:hAnsi="Arial" w:cs="Arial"/>
          <w:i/>
          <w:iCs/>
          <w:sz w:val="20"/>
          <w:szCs w:val="20"/>
        </w:rPr>
        <w:t>De ello se sigue que el artículo 4, apartado 2, de la Directiva 93/13 y el artículo 5 de esta</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se oponen a una jurisprudencia según la cual una cláusula contractual se considera en sí misma</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transparente, sin que sea necesario llevar a cabo un examen como el descrito en el anterior</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apartado</w:t>
      </w:r>
      <w:r w:rsidRPr="00DB55B3">
        <w:rPr>
          <w:rFonts w:ascii="Arial" w:eastAsia="Calibri" w:hAnsi="Arial" w:cs="Arial"/>
          <w:i/>
          <w:sz w:val="20"/>
          <w:szCs w:val="20"/>
        </w:rPr>
        <w:t>”.</w:t>
      </w:r>
    </w:p>
    <w:p w14:paraId="2C7A1BD9" w14:textId="5B7FCDBB" w:rsidR="00242088" w:rsidRPr="00DB55B3" w:rsidRDefault="00242088" w:rsidP="00242088">
      <w:pPr>
        <w:spacing w:after="0" w:line="360" w:lineRule="auto"/>
        <w:ind w:left="709"/>
        <w:jc w:val="both"/>
        <w:rPr>
          <w:rFonts w:ascii="Arial" w:eastAsia="Calibri" w:hAnsi="Arial" w:cs="Arial"/>
          <w:i/>
          <w:iCs/>
          <w:sz w:val="20"/>
          <w:szCs w:val="20"/>
        </w:rPr>
      </w:pPr>
      <w:r w:rsidRPr="00DB55B3">
        <w:rPr>
          <w:rFonts w:ascii="Arial" w:eastAsia="Calibri" w:hAnsi="Arial" w:cs="Arial"/>
          <w:i/>
          <w:sz w:val="20"/>
          <w:szCs w:val="20"/>
        </w:rPr>
        <w:t>Después de tal pronunciamiento, este tribunal ha decidido en SAP Bizkaia, Secc. 4ª,</w:t>
      </w:r>
      <w:r w:rsidR="00DB55B3" w:rsidRPr="00DB55B3">
        <w:rPr>
          <w:rFonts w:ascii="Arial" w:eastAsia="Calibri" w:hAnsi="Arial" w:cs="Arial"/>
          <w:i/>
          <w:sz w:val="20"/>
          <w:szCs w:val="20"/>
        </w:rPr>
        <w:t xml:space="preserve"> </w:t>
      </w:r>
      <w:r w:rsidRPr="00DB55B3">
        <w:rPr>
          <w:rFonts w:ascii="Arial" w:eastAsia="Calibri" w:hAnsi="Arial" w:cs="Arial"/>
          <w:i/>
          <w:sz w:val="20"/>
          <w:szCs w:val="20"/>
        </w:rPr>
        <w:t xml:space="preserve">218/2020, de 22 de febrero, </w:t>
      </w:r>
      <w:proofErr w:type="spellStart"/>
      <w:r w:rsidRPr="00DB55B3">
        <w:rPr>
          <w:rFonts w:ascii="Arial" w:eastAsia="Calibri" w:hAnsi="Arial" w:cs="Arial"/>
          <w:i/>
          <w:sz w:val="20"/>
          <w:szCs w:val="20"/>
        </w:rPr>
        <w:t>rec.</w:t>
      </w:r>
      <w:proofErr w:type="spellEnd"/>
      <w:r w:rsidRPr="00DB55B3">
        <w:rPr>
          <w:rFonts w:ascii="Arial" w:eastAsia="Calibri" w:hAnsi="Arial" w:cs="Arial"/>
          <w:i/>
          <w:sz w:val="20"/>
          <w:szCs w:val="20"/>
        </w:rPr>
        <w:t xml:space="preserve"> 1315/2020, siguiendo a otras Audiencias, que la comisión de</w:t>
      </w:r>
      <w:r w:rsidR="00DB55B3" w:rsidRPr="00DB55B3">
        <w:rPr>
          <w:rFonts w:ascii="Arial" w:eastAsia="Calibri" w:hAnsi="Arial" w:cs="Arial"/>
          <w:i/>
          <w:sz w:val="20"/>
          <w:szCs w:val="20"/>
        </w:rPr>
        <w:t xml:space="preserve"> </w:t>
      </w:r>
      <w:r w:rsidRPr="00DB55B3">
        <w:rPr>
          <w:rFonts w:ascii="Arial" w:eastAsia="Calibri" w:hAnsi="Arial" w:cs="Arial"/>
          <w:i/>
          <w:sz w:val="20"/>
          <w:szCs w:val="20"/>
        </w:rPr>
        <w:t>apertura no es abusiva porque “</w:t>
      </w:r>
      <w:r w:rsidRPr="00DB55B3">
        <w:rPr>
          <w:rFonts w:ascii="Arial" w:eastAsia="Calibri" w:hAnsi="Arial" w:cs="Arial"/>
          <w:i/>
          <w:iCs/>
          <w:sz w:val="20"/>
          <w:szCs w:val="20"/>
        </w:rPr>
        <w:t>a falta de pronunciamiento del Tribunal Supremo en aplicación</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de la misma, para fundamentar la validez de la cláusula de comisión de apertura vamos a</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producir parcialmente lo recogido en la Sentencia de la Audiencia Provincial de Madrid de 13</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de noviembre de 20</w:t>
      </w:r>
      <w:r w:rsidR="00DB55B3" w:rsidRPr="00DB55B3">
        <w:rPr>
          <w:rFonts w:ascii="Arial" w:eastAsia="Calibri" w:hAnsi="Arial" w:cs="Arial"/>
          <w:i/>
          <w:iCs/>
          <w:sz w:val="20"/>
          <w:szCs w:val="20"/>
        </w:rPr>
        <w:t>20 al resolver esta controversia</w:t>
      </w:r>
      <w:r w:rsidRPr="00DB55B3">
        <w:rPr>
          <w:rFonts w:ascii="Arial" w:eastAsia="Calibri" w:hAnsi="Arial" w:cs="Arial"/>
          <w:i/>
          <w:sz w:val="20"/>
          <w:szCs w:val="20"/>
        </w:rPr>
        <w:t>, que dice “</w:t>
      </w:r>
      <w:r w:rsidRPr="00DB55B3">
        <w:rPr>
          <w:rFonts w:ascii="Arial" w:eastAsia="Calibri" w:hAnsi="Arial" w:cs="Arial"/>
          <w:i/>
          <w:iCs/>
          <w:sz w:val="20"/>
          <w:szCs w:val="20"/>
        </w:rPr>
        <w:t>el hecho de que el prestatario se</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obligue a pagar una suma concreta en concepto de comisión de apertura no merece reproche</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alguno</w:t>
      </w:r>
      <w:r w:rsidRPr="00DB55B3">
        <w:rPr>
          <w:rFonts w:ascii="Arial" w:eastAsia="Calibri" w:hAnsi="Arial" w:cs="Arial"/>
          <w:i/>
          <w:sz w:val="20"/>
          <w:szCs w:val="20"/>
        </w:rPr>
        <w:t>”. También dice la mencionada resolución de esta sección que “</w:t>
      </w:r>
      <w:r w:rsidRPr="00DB55B3">
        <w:rPr>
          <w:rFonts w:ascii="Arial" w:eastAsia="Calibri" w:hAnsi="Arial" w:cs="Arial"/>
          <w:i/>
          <w:iCs/>
          <w:sz w:val="20"/>
          <w:szCs w:val="20"/>
        </w:rPr>
        <w:t>en igual sentido se</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pronuncia la Sentencia de la Audiencia Provincial de Barcelona de 10 de diciembre de 2020,</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que declara válida la comisión de apertura en que es parte también la aquí demandada BBVA,</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S.A., de la que únicamente vamos a destacar el final de sus razonamientos para sostener la</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validez de la cláusula de comisión de apertura al recoger</w:t>
      </w:r>
      <w:r w:rsidRPr="00DB55B3">
        <w:rPr>
          <w:rFonts w:ascii="Arial" w:eastAsia="Calibri" w:hAnsi="Arial" w:cs="Arial"/>
          <w:i/>
          <w:sz w:val="20"/>
          <w:szCs w:val="20"/>
        </w:rPr>
        <w:t>”, sentencia que indica “</w:t>
      </w:r>
      <w:r w:rsidRPr="00DB55B3">
        <w:rPr>
          <w:rFonts w:ascii="Arial" w:eastAsia="Calibri" w:hAnsi="Arial" w:cs="Arial"/>
          <w:i/>
          <w:iCs/>
          <w:sz w:val="20"/>
          <w:szCs w:val="20"/>
        </w:rPr>
        <w:t>de</w:t>
      </w:r>
      <w:r w:rsidR="00DB55B3" w:rsidRPr="00DB55B3">
        <w:rPr>
          <w:rFonts w:ascii="Arial" w:eastAsia="Calibri" w:hAnsi="Arial" w:cs="Arial"/>
          <w:i/>
          <w:iCs/>
          <w:sz w:val="20"/>
          <w:szCs w:val="20"/>
        </w:rPr>
        <w:t xml:space="preserve"> </w:t>
      </w:r>
      <w:r w:rsidRPr="00DB55B3">
        <w:rPr>
          <w:rFonts w:ascii="Arial" w:eastAsia="Calibri" w:hAnsi="Arial" w:cs="Arial"/>
          <w:i/>
          <w:iCs/>
          <w:sz w:val="20"/>
          <w:szCs w:val="20"/>
        </w:rPr>
        <w:t>conformidad con nuestro TS, el principio de "realidad del servicio remunerado" se cumple, en el</w:t>
      </w:r>
    </w:p>
    <w:p w14:paraId="638B0F2C" w14:textId="77777777" w:rsidR="00242088" w:rsidRPr="00DB55B3" w:rsidRDefault="00242088" w:rsidP="00242088">
      <w:pPr>
        <w:spacing w:after="0" w:line="360" w:lineRule="auto"/>
        <w:ind w:left="709"/>
        <w:jc w:val="both"/>
        <w:rPr>
          <w:rFonts w:ascii="Arial" w:eastAsia="Calibri" w:hAnsi="Arial" w:cs="Arial"/>
          <w:i/>
          <w:sz w:val="20"/>
          <w:szCs w:val="20"/>
        </w:rPr>
      </w:pPr>
      <w:r w:rsidRPr="00DB55B3">
        <w:rPr>
          <w:rFonts w:ascii="Arial" w:eastAsia="Calibri" w:hAnsi="Arial" w:cs="Arial"/>
          <w:i/>
          <w:iCs/>
          <w:sz w:val="20"/>
          <w:szCs w:val="20"/>
        </w:rPr>
        <w:t>caso de la comisión de apertura, con la concesión del préstamo o crédito</w:t>
      </w:r>
      <w:r w:rsidRPr="00DB55B3">
        <w:rPr>
          <w:rFonts w:ascii="Arial" w:eastAsia="Calibri" w:hAnsi="Arial" w:cs="Arial"/>
          <w:i/>
          <w:sz w:val="20"/>
          <w:szCs w:val="20"/>
        </w:rPr>
        <w:t>”.</w:t>
      </w:r>
    </w:p>
    <w:p w14:paraId="6D9C38E3" w14:textId="1031BCC9" w:rsidR="00242088" w:rsidRPr="00DB55B3" w:rsidRDefault="00242088" w:rsidP="00242088">
      <w:pPr>
        <w:spacing w:after="0" w:line="360" w:lineRule="auto"/>
        <w:ind w:left="709"/>
        <w:jc w:val="both"/>
        <w:rPr>
          <w:rFonts w:ascii="Arial" w:eastAsia="Calibri" w:hAnsi="Arial" w:cs="Arial"/>
          <w:i/>
          <w:sz w:val="20"/>
          <w:szCs w:val="20"/>
        </w:rPr>
      </w:pPr>
      <w:r w:rsidRPr="00DB55B3">
        <w:rPr>
          <w:rFonts w:ascii="Arial" w:eastAsia="Calibri" w:hAnsi="Arial" w:cs="Arial"/>
          <w:i/>
          <w:sz w:val="20"/>
          <w:szCs w:val="20"/>
        </w:rPr>
        <w:t>A la vista de los pronunciamientos previos de este tribunal, y en tanto no existan</w:t>
      </w:r>
      <w:r w:rsidR="00DB55B3" w:rsidRPr="00DB55B3">
        <w:rPr>
          <w:rFonts w:ascii="Arial" w:eastAsia="Calibri" w:hAnsi="Arial" w:cs="Arial"/>
          <w:i/>
          <w:sz w:val="20"/>
          <w:szCs w:val="20"/>
        </w:rPr>
        <w:t xml:space="preserve"> </w:t>
      </w:r>
      <w:r w:rsidRPr="00DB55B3">
        <w:rPr>
          <w:rFonts w:ascii="Arial" w:eastAsia="Calibri" w:hAnsi="Arial" w:cs="Arial"/>
          <w:i/>
          <w:sz w:val="20"/>
          <w:szCs w:val="20"/>
        </w:rPr>
        <w:t>otros del Tribunal Supremo que los desmientan, deben ser acogidos los argumentos del apelante</w:t>
      </w:r>
      <w:r w:rsidR="00DB55B3" w:rsidRPr="00DB55B3">
        <w:rPr>
          <w:rFonts w:ascii="Arial" w:eastAsia="Calibri" w:hAnsi="Arial" w:cs="Arial"/>
          <w:i/>
          <w:sz w:val="20"/>
          <w:szCs w:val="20"/>
        </w:rPr>
        <w:t xml:space="preserve"> </w:t>
      </w:r>
      <w:r w:rsidRPr="00DB55B3">
        <w:rPr>
          <w:rFonts w:ascii="Arial" w:eastAsia="Calibri" w:hAnsi="Arial" w:cs="Arial"/>
          <w:i/>
          <w:sz w:val="20"/>
          <w:szCs w:val="20"/>
        </w:rPr>
        <w:t>y apartados los del apelado</w:t>
      </w:r>
      <w:r w:rsidR="00DB55B3" w:rsidRPr="00DB55B3">
        <w:rPr>
          <w:rFonts w:ascii="Arial" w:eastAsia="Calibri" w:hAnsi="Arial" w:cs="Arial"/>
          <w:i/>
          <w:sz w:val="20"/>
          <w:szCs w:val="20"/>
        </w:rPr>
        <w:t>”</w:t>
      </w:r>
      <w:r w:rsidRPr="00DB55B3">
        <w:rPr>
          <w:rFonts w:ascii="Arial" w:eastAsia="Calibri" w:hAnsi="Arial" w:cs="Arial"/>
          <w:i/>
          <w:sz w:val="20"/>
          <w:szCs w:val="20"/>
        </w:rPr>
        <w:t>.</w:t>
      </w:r>
    </w:p>
    <w:p w14:paraId="5A7CF6E4" w14:textId="77777777" w:rsidR="00242088" w:rsidRDefault="00242088" w:rsidP="00FE4394">
      <w:pPr>
        <w:spacing w:after="0" w:line="360" w:lineRule="auto"/>
        <w:ind w:left="709"/>
        <w:jc w:val="both"/>
        <w:rPr>
          <w:rFonts w:ascii="Arial" w:eastAsia="Calibri" w:hAnsi="Arial" w:cs="Arial"/>
          <w:i/>
          <w:sz w:val="20"/>
          <w:szCs w:val="20"/>
        </w:rPr>
      </w:pPr>
    </w:p>
    <w:p w14:paraId="6413E98A" w14:textId="77777777" w:rsidR="002F7893" w:rsidRPr="00C1183F" w:rsidRDefault="002F7893" w:rsidP="002F7893">
      <w:pPr>
        <w:suppressAutoHyphens/>
        <w:spacing w:after="0" w:line="360" w:lineRule="auto"/>
        <w:contextualSpacing/>
        <w:jc w:val="both"/>
        <w:rPr>
          <w:rFonts w:ascii="Arial" w:eastAsia="Calibri" w:hAnsi="Arial" w:cs="Arial"/>
          <w:sz w:val="20"/>
          <w:szCs w:val="20"/>
        </w:rPr>
      </w:pPr>
      <w:r w:rsidRPr="00C1183F">
        <w:rPr>
          <w:rFonts w:ascii="Arial" w:eastAsia="Calibri" w:hAnsi="Arial" w:cs="Arial"/>
          <w:b/>
          <w:sz w:val="20"/>
          <w:szCs w:val="20"/>
        </w:rPr>
        <w:t>Sentencia</w:t>
      </w:r>
      <w:r>
        <w:rPr>
          <w:rFonts w:ascii="Arial" w:eastAsia="Calibri" w:hAnsi="Arial" w:cs="Arial"/>
          <w:b/>
          <w:sz w:val="20"/>
          <w:szCs w:val="20"/>
        </w:rPr>
        <w:t xml:space="preserve"> núm. 218/2021</w:t>
      </w:r>
      <w:r w:rsidRPr="00C1183F">
        <w:rPr>
          <w:rFonts w:ascii="Arial" w:eastAsia="Calibri" w:hAnsi="Arial" w:cs="Arial"/>
          <w:b/>
          <w:sz w:val="20"/>
          <w:szCs w:val="20"/>
        </w:rPr>
        <w:t xml:space="preserve"> de la Audiencia Provincial de </w:t>
      </w:r>
      <w:r>
        <w:rPr>
          <w:rFonts w:ascii="Arial" w:eastAsia="Calibri" w:hAnsi="Arial" w:cs="Arial"/>
          <w:b/>
          <w:sz w:val="20"/>
          <w:szCs w:val="20"/>
        </w:rPr>
        <w:t>Pontevedra</w:t>
      </w:r>
      <w:r w:rsidRPr="00C1183F">
        <w:rPr>
          <w:rFonts w:ascii="Arial" w:eastAsia="Calibri" w:hAnsi="Arial" w:cs="Arial"/>
          <w:b/>
          <w:sz w:val="20"/>
          <w:szCs w:val="20"/>
        </w:rPr>
        <w:t>,</w:t>
      </w:r>
      <w:r>
        <w:rPr>
          <w:rFonts w:ascii="Arial" w:eastAsia="Calibri" w:hAnsi="Arial" w:cs="Arial"/>
          <w:b/>
          <w:sz w:val="20"/>
          <w:szCs w:val="20"/>
        </w:rPr>
        <w:t xml:space="preserve"> sección 1ª,</w:t>
      </w:r>
      <w:r w:rsidRPr="00C1183F">
        <w:rPr>
          <w:rFonts w:ascii="Arial" w:eastAsia="Calibri" w:hAnsi="Arial" w:cs="Arial"/>
          <w:b/>
          <w:sz w:val="20"/>
          <w:szCs w:val="20"/>
        </w:rPr>
        <w:t xml:space="preserve"> de </w:t>
      </w:r>
      <w:r>
        <w:rPr>
          <w:rFonts w:ascii="Arial" w:eastAsia="Calibri" w:hAnsi="Arial" w:cs="Arial"/>
          <w:b/>
          <w:sz w:val="20"/>
          <w:szCs w:val="20"/>
        </w:rPr>
        <w:t>15 de abril</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6AF33B48" w14:textId="77777777" w:rsidR="002F7893" w:rsidRDefault="002F7893" w:rsidP="002F7893">
      <w:pPr>
        <w:spacing w:after="0" w:line="360" w:lineRule="auto"/>
        <w:jc w:val="both"/>
        <w:rPr>
          <w:rFonts w:ascii="Arial" w:eastAsia="Calibri" w:hAnsi="Arial" w:cs="Arial"/>
          <w:sz w:val="20"/>
          <w:szCs w:val="20"/>
        </w:rPr>
      </w:pPr>
    </w:p>
    <w:p w14:paraId="1036256E" w14:textId="77777777" w:rsidR="002F7893" w:rsidRDefault="002F7893" w:rsidP="002F7893">
      <w:pPr>
        <w:spacing w:after="0" w:line="360" w:lineRule="auto"/>
        <w:ind w:left="709"/>
        <w:jc w:val="both"/>
        <w:rPr>
          <w:rFonts w:ascii="Arial" w:eastAsia="Calibri" w:hAnsi="Arial" w:cs="Arial"/>
          <w:i/>
          <w:iCs/>
          <w:sz w:val="20"/>
          <w:szCs w:val="20"/>
        </w:rPr>
      </w:pPr>
      <w:r w:rsidRPr="002F7893">
        <w:rPr>
          <w:rFonts w:ascii="Arial" w:eastAsia="Calibri" w:hAnsi="Arial" w:cs="Arial"/>
          <w:i/>
          <w:iCs/>
          <w:sz w:val="20"/>
          <w:szCs w:val="20"/>
        </w:rPr>
        <w:t xml:space="preserve">Por de pronto, nos resulta muy discutible que la STJ de 16.7.2020 corrija la interpretación que hizo el TS en su sentencia 44/2019. En esta sentencia, el TS afirmó que la cláusula que establece la comisión de apertura no es abusiva si supera el control de </w:t>
      </w:r>
      <w:r w:rsidRPr="002F7893">
        <w:rPr>
          <w:rFonts w:ascii="Arial" w:eastAsia="Calibri" w:hAnsi="Arial" w:cs="Arial"/>
          <w:i/>
          <w:iCs/>
          <w:sz w:val="20"/>
          <w:szCs w:val="20"/>
        </w:rPr>
        <w:lastRenderedPageBreak/>
        <w:t xml:space="preserve">transparencia. La sentencia no afirmó que la comisión constituyera un objeto esencial del contrato, de manera que no resultara posible el control de </w:t>
      </w:r>
      <w:proofErr w:type="spellStart"/>
      <w:r w:rsidRPr="002F7893">
        <w:rPr>
          <w:rFonts w:ascii="Arial" w:eastAsia="Calibri" w:hAnsi="Arial" w:cs="Arial"/>
          <w:i/>
          <w:iCs/>
          <w:sz w:val="20"/>
          <w:szCs w:val="20"/>
        </w:rPr>
        <w:t>abusividad</w:t>
      </w:r>
      <w:proofErr w:type="spellEnd"/>
      <w:r w:rsidRPr="002F7893">
        <w:rPr>
          <w:rFonts w:ascii="Arial" w:eastAsia="Calibri" w:hAnsi="Arial" w:cs="Arial"/>
          <w:i/>
          <w:iCs/>
          <w:sz w:val="20"/>
          <w:szCs w:val="20"/>
        </w:rPr>
        <w:t xml:space="preserve">; en todo caso, esta afirmación resultaría inocua, porque como es conocido, también los elementos esenciales del contrato están sujetos al control de transparencia material, y caso de que no superen esta exigencia, serán objeto de control de </w:t>
      </w:r>
      <w:proofErr w:type="spellStart"/>
      <w:r w:rsidRPr="002F7893">
        <w:rPr>
          <w:rFonts w:ascii="Arial" w:eastAsia="Calibri" w:hAnsi="Arial" w:cs="Arial"/>
          <w:i/>
          <w:iCs/>
          <w:sz w:val="20"/>
          <w:szCs w:val="20"/>
        </w:rPr>
        <w:t>abusividad</w:t>
      </w:r>
      <w:proofErr w:type="spellEnd"/>
      <w:r w:rsidRPr="002F7893">
        <w:rPr>
          <w:rFonts w:ascii="Arial" w:eastAsia="Calibri" w:hAnsi="Arial" w:cs="Arial"/>
          <w:i/>
          <w:iCs/>
          <w:sz w:val="20"/>
          <w:szCs w:val="20"/>
        </w:rPr>
        <w:t>.</w:t>
      </w:r>
      <w:r>
        <w:rPr>
          <w:rFonts w:ascii="Arial" w:eastAsia="Calibri" w:hAnsi="Arial" w:cs="Arial"/>
          <w:i/>
          <w:iCs/>
          <w:sz w:val="20"/>
          <w:szCs w:val="20"/>
        </w:rPr>
        <w:t xml:space="preserve"> […]</w:t>
      </w:r>
    </w:p>
    <w:p w14:paraId="0846B293" w14:textId="77777777" w:rsidR="002F7893" w:rsidRDefault="002F7893" w:rsidP="002F7893">
      <w:pPr>
        <w:spacing w:after="0" w:line="360" w:lineRule="auto"/>
        <w:ind w:left="709"/>
        <w:jc w:val="both"/>
        <w:rPr>
          <w:rFonts w:ascii="Arial" w:eastAsia="Calibri" w:hAnsi="Arial" w:cs="Arial"/>
          <w:i/>
          <w:iCs/>
          <w:sz w:val="20"/>
          <w:szCs w:val="20"/>
        </w:rPr>
      </w:pPr>
    </w:p>
    <w:p w14:paraId="1E98975B" w14:textId="77777777" w:rsidR="006452D2" w:rsidRDefault="002F7893" w:rsidP="002F7893">
      <w:pPr>
        <w:spacing w:after="0" w:line="360" w:lineRule="auto"/>
        <w:ind w:left="709"/>
        <w:jc w:val="both"/>
        <w:rPr>
          <w:rFonts w:ascii="Arial" w:eastAsia="Calibri" w:hAnsi="Arial" w:cs="Arial"/>
          <w:i/>
          <w:iCs/>
          <w:sz w:val="20"/>
          <w:szCs w:val="20"/>
        </w:rPr>
      </w:pPr>
      <w:r>
        <w:rPr>
          <w:rFonts w:ascii="Arial" w:eastAsia="Calibri" w:hAnsi="Arial" w:cs="Arial"/>
          <w:i/>
          <w:iCs/>
          <w:sz w:val="20"/>
          <w:szCs w:val="20"/>
        </w:rPr>
        <w:t xml:space="preserve">[…] </w:t>
      </w:r>
      <w:r w:rsidRPr="002F7893">
        <w:rPr>
          <w:rFonts w:ascii="Arial" w:eastAsia="Calibri" w:hAnsi="Arial" w:cs="Arial"/>
          <w:i/>
          <w:iCs/>
          <w:sz w:val="20"/>
          <w:szCs w:val="20"/>
        </w:rPr>
        <w:t xml:space="preserve">En consecuencia, si la celebración del préstamo cumplió con dichas previsiones de información, y teniendo en cuenta que la comisión de apertura no genera ninguna dificultad de comprensión, y resulta de conocimiento general, el contrato debía entenderse como transparente desde el punto de vista material, (vid. párrafo 70 de la STJ 16.7.2020). En todo caso, dicha normativa, que facultaba al banco a cobrar una comisión de apertura de una sola vez, que englobara toda la actividad accesoria inherente a su concesión, implicaba también la superación del control de </w:t>
      </w:r>
      <w:proofErr w:type="spellStart"/>
      <w:r w:rsidRPr="002F7893">
        <w:rPr>
          <w:rFonts w:ascii="Arial" w:eastAsia="Calibri" w:hAnsi="Arial" w:cs="Arial"/>
          <w:i/>
          <w:iCs/>
          <w:sz w:val="20"/>
          <w:szCs w:val="20"/>
        </w:rPr>
        <w:t>abusividad</w:t>
      </w:r>
      <w:proofErr w:type="spellEnd"/>
      <w:r w:rsidRPr="002F7893">
        <w:rPr>
          <w:rFonts w:ascii="Arial" w:eastAsia="Calibri" w:hAnsi="Arial" w:cs="Arial"/>
          <w:i/>
          <w:iCs/>
          <w:sz w:val="20"/>
          <w:szCs w:val="20"/>
        </w:rPr>
        <w:t>, únicamente posible si se entendiera que la estipulación no atendía la exigencia de transparencia.</w:t>
      </w:r>
    </w:p>
    <w:p w14:paraId="5056A183" w14:textId="77777777" w:rsidR="006452D2" w:rsidRDefault="006452D2" w:rsidP="002F7893">
      <w:pPr>
        <w:spacing w:after="0" w:line="360" w:lineRule="auto"/>
        <w:ind w:left="709"/>
        <w:jc w:val="both"/>
        <w:rPr>
          <w:rFonts w:ascii="Arial" w:eastAsia="Calibri" w:hAnsi="Arial" w:cs="Arial"/>
          <w:i/>
          <w:iCs/>
          <w:sz w:val="20"/>
          <w:szCs w:val="20"/>
        </w:rPr>
      </w:pPr>
    </w:p>
    <w:p w14:paraId="7FA2225C" w14:textId="3A8A7BAB" w:rsidR="002F7893" w:rsidRPr="00FB264C" w:rsidRDefault="006452D2" w:rsidP="00FB264C">
      <w:pPr>
        <w:spacing w:after="0" w:line="360" w:lineRule="auto"/>
        <w:ind w:left="709"/>
        <w:jc w:val="both"/>
        <w:rPr>
          <w:rFonts w:ascii="Arial" w:eastAsia="Calibri" w:hAnsi="Arial" w:cs="Arial"/>
          <w:i/>
          <w:iCs/>
          <w:sz w:val="20"/>
          <w:szCs w:val="20"/>
        </w:rPr>
      </w:pPr>
      <w:r w:rsidRPr="006452D2">
        <w:rPr>
          <w:rFonts w:ascii="Arial" w:eastAsia="Calibri" w:hAnsi="Arial" w:cs="Arial"/>
          <w:i/>
          <w:iCs/>
          <w:sz w:val="20"/>
          <w:szCs w:val="20"/>
        </w:rPr>
        <w:t>En consecuencia, procede estimar el recurso manteniendo la validez de la comisión de apertura</w:t>
      </w:r>
      <w:r w:rsidR="002F7893" w:rsidRPr="006452D2">
        <w:rPr>
          <w:rFonts w:ascii="Arial" w:eastAsia="Calibri" w:hAnsi="Arial" w:cs="Arial"/>
          <w:i/>
          <w:iCs/>
          <w:sz w:val="20"/>
          <w:szCs w:val="20"/>
        </w:rPr>
        <w:t>”</w:t>
      </w:r>
    </w:p>
    <w:p w14:paraId="01323523" w14:textId="66D223A3" w:rsidR="00AA6BC2" w:rsidRPr="00C1183F" w:rsidRDefault="00AA6BC2" w:rsidP="00AA6BC2">
      <w:pPr>
        <w:suppressAutoHyphens/>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t xml:space="preserve">Sentencia núm. </w:t>
      </w:r>
      <w:r w:rsidR="00F824B9" w:rsidRPr="00FB264C">
        <w:rPr>
          <w:rFonts w:ascii="Arial" w:eastAsia="Calibri" w:hAnsi="Arial" w:cs="Arial"/>
          <w:b/>
          <w:sz w:val="20"/>
          <w:szCs w:val="20"/>
          <w:u w:val="single"/>
        </w:rPr>
        <w:t>90</w:t>
      </w:r>
      <w:r w:rsidRPr="00FB264C">
        <w:rPr>
          <w:rFonts w:ascii="Arial" w:eastAsia="Calibri" w:hAnsi="Arial" w:cs="Arial"/>
          <w:b/>
          <w:sz w:val="20"/>
          <w:szCs w:val="20"/>
          <w:u w:val="single"/>
        </w:rPr>
        <w:t xml:space="preserve">/2021 de la Audiencia Provincial de </w:t>
      </w:r>
      <w:r w:rsidR="00F824B9" w:rsidRPr="00FB264C">
        <w:rPr>
          <w:rFonts w:ascii="Arial" w:eastAsia="Calibri" w:hAnsi="Arial" w:cs="Arial"/>
          <w:b/>
          <w:sz w:val="20"/>
          <w:szCs w:val="20"/>
          <w:u w:val="single"/>
        </w:rPr>
        <w:t>Palencia</w:t>
      </w:r>
      <w:r w:rsidRPr="00FB264C">
        <w:rPr>
          <w:rFonts w:ascii="Arial" w:eastAsia="Calibri" w:hAnsi="Arial" w:cs="Arial"/>
          <w:b/>
          <w:sz w:val="20"/>
          <w:szCs w:val="20"/>
          <w:u w:val="single"/>
        </w:rPr>
        <w:t xml:space="preserve">, sección 1ª, de </w:t>
      </w:r>
      <w:r w:rsidR="00F824B9" w:rsidRPr="00FB264C">
        <w:rPr>
          <w:rFonts w:ascii="Arial" w:eastAsia="Calibri" w:hAnsi="Arial" w:cs="Arial"/>
          <w:b/>
          <w:sz w:val="20"/>
          <w:szCs w:val="20"/>
          <w:u w:val="single"/>
        </w:rPr>
        <w:t>15</w:t>
      </w:r>
      <w:r w:rsidRPr="00FB264C">
        <w:rPr>
          <w:rFonts w:ascii="Arial" w:eastAsia="Calibri" w:hAnsi="Arial" w:cs="Arial"/>
          <w:b/>
          <w:sz w:val="20"/>
          <w:szCs w:val="20"/>
          <w:u w:val="single"/>
        </w:rPr>
        <w:t xml:space="preserve"> de febrero</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5506A520" w14:textId="4F120523" w:rsidR="00AA6BC2" w:rsidRDefault="00AA6BC2" w:rsidP="00FE4394">
      <w:pPr>
        <w:spacing w:after="0" w:line="360" w:lineRule="auto"/>
        <w:ind w:left="709"/>
        <w:jc w:val="both"/>
        <w:rPr>
          <w:rFonts w:ascii="Arial" w:eastAsia="Calibri" w:hAnsi="Arial" w:cs="Arial"/>
          <w:i/>
          <w:sz w:val="20"/>
          <w:szCs w:val="20"/>
        </w:rPr>
      </w:pPr>
    </w:p>
    <w:p w14:paraId="015C01AF" w14:textId="3ED44E0D" w:rsidR="00AA6BC2" w:rsidRPr="00AA6BC2" w:rsidRDefault="00AA6BC2" w:rsidP="00AA6BC2">
      <w:pPr>
        <w:spacing w:after="0" w:line="360" w:lineRule="auto"/>
        <w:ind w:left="709"/>
        <w:jc w:val="both"/>
        <w:rPr>
          <w:rFonts w:ascii="Arial" w:eastAsia="Calibri" w:hAnsi="Arial" w:cs="Arial"/>
          <w:i/>
          <w:sz w:val="20"/>
          <w:szCs w:val="20"/>
        </w:rPr>
      </w:pPr>
      <w:r>
        <w:rPr>
          <w:rFonts w:ascii="Arial" w:eastAsia="Calibri" w:hAnsi="Arial" w:cs="Arial"/>
          <w:i/>
          <w:sz w:val="20"/>
          <w:szCs w:val="20"/>
        </w:rPr>
        <w:t>“S</w:t>
      </w:r>
      <w:r w:rsidRPr="00AA6BC2">
        <w:rPr>
          <w:rFonts w:ascii="Arial" w:eastAsia="Calibri" w:hAnsi="Arial" w:cs="Arial"/>
          <w:i/>
          <w:sz w:val="20"/>
          <w:szCs w:val="20"/>
        </w:rPr>
        <w:t>e nos planteó la cuestión acerca de la compatibilidad de esta doctrina emanada del Tribunal europeo con la mantenida por el Tribunal Supremo y, por ende, por esta Sala, o procedía apartarse de la misma, al ser ambas resoluciones contradictorias. Pues bien, esta Audiencia Provincial, en sentencias 20/2021 de 19 de enero y 46/2021 de 29 de enero, hemos adoptado el criterio de mantener la validez de la comisión de apertura en la medida en que es factible una interpretación acorde con el planteamiento del TJUE, siendo este criterio el que va a ser seguida en la presente resolución.</w:t>
      </w:r>
      <w:r>
        <w:rPr>
          <w:rFonts w:ascii="Arial" w:eastAsia="Calibri" w:hAnsi="Arial" w:cs="Arial"/>
          <w:i/>
          <w:sz w:val="20"/>
          <w:szCs w:val="20"/>
        </w:rPr>
        <w:t xml:space="preserve"> […]</w:t>
      </w:r>
    </w:p>
    <w:p w14:paraId="0A94A676" w14:textId="63893B0E" w:rsidR="00F824B9" w:rsidRDefault="00AA6BC2" w:rsidP="00AA6BC2">
      <w:pPr>
        <w:spacing w:after="0" w:line="360" w:lineRule="auto"/>
        <w:ind w:left="709"/>
        <w:jc w:val="both"/>
        <w:rPr>
          <w:rFonts w:ascii="Arial" w:eastAsia="Calibri" w:hAnsi="Arial" w:cs="Arial"/>
          <w:i/>
          <w:sz w:val="20"/>
          <w:szCs w:val="20"/>
        </w:rPr>
      </w:pPr>
      <w:r>
        <w:rPr>
          <w:rFonts w:ascii="Arial" w:eastAsia="Calibri" w:hAnsi="Arial" w:cs="Arial"/>
          <w:i/>
          <w:sz w:val="20"/>
          <w:szCs w:val="20"/>
        </w:rPr>
        <w:t xml:space="preserve">[…] </w:t>
      </w:r>
      <w:r w:rsidRPr="00AA6BC2">
        <w:rPr>
          <w:rFonts w:ascii="Arial" w:eastAsia="Calibri" w:hAnsi="Arial" w:cs="Arial"/>
          <w:i/>
          <w:sz w:val="20"/>
          <w:szCs w:val="20"/>
        </w:rPr>
        <w:t>Esta Sala, tras analizar las distintas posturas y las sentencias referidas, llega a la conclusión de que ambas resoluciones no son incompatibles y que se puede seguir manteniendo el criterio que hasta ahora se seguía y considerar válida la comisión de apertura. Para ello, asumimos los argumentos esgrimidos al respecto por las sentencias nº 437/2020 de 18 de septiembre, de la Sección 28 de la Audiencia Provincial de Madrid y nº 2548/2020 de 1 de diciembre, de la Sección 15 de la de Barcelona</w:t>
      </w:r>
      <w:r w:rsidR="00F824B9">
        <w:rPr>
          <w:rFonts w:ascii="Arial" w:eastAsia="Calibri" w:hAnsi="Arial" w:cs="Arial"/>
          <w:i/>
          <w:sz w:val="20"/>
          <w:szCs w:val="20"/>
        </w:rPr>
        <w:t xml:space="preserve"> […]</w:t>
      </w:r>
    </w:p>
    <w:p w14:paraId="1C106901" w14:textId="77777777" w:rsidR="00F824B9" w:rsidRDefault="00F824B9" w:rsidP="00AA6BC2">
      <w:pPr>
        <w:spacing w:after="0" w:line="360" w:lineRule="auto"/>
        <w:ind w:left="709"/>
        <w:jc w:val="both"/>
        <w:rPr>
          <w:rFonts w:ascii="Arial" w:eastAsia="Calibri" w:hAnsi="Arial" w:cs="Arial"/>
          <w:i/>
          <w:sz w:val="20"/>
          <w:szCs w:val="20"/>
        </w:rPr>
      </w:pPr>
    </w:p>
    <w:p w14:paraId="7682E2C9" w14:textId="4AFA8E92" w:rsidR="00AA6BC2" w:rsidRDefault="00F824B9" w:rsidP="00AA6BC2">
      <w:pPr>
        <w:spacing w:after="0" w:line="360" w:lineRule="auto"/>
        <w:ind w:left="709"/>
        <w:jc w:val="both"/>
        <w:rPr>
          <w:rFonts w:ascii="Arial" w:eastAsia="Calibri" w:hAnsi="Arial" w:cs="Arial"/>
          <w:i/>
          <w:sz w:val="20"/>
          <w:szCs w:val="20"/>
        </w:rPr>
      </w:pPr>
      <w:r>
        <w:rPr>
          <w:rFonts w:ascii="Arial" w:eastAsia="Calibri" w:hAnsi="Arial" w:cs="Arial"/>
          <w:i/>
          <w:sz w:val="20"/>
          <w:szCs w:val="20"/>
        </w:rPr>
        <w:t xml:space="preserve">[…] </w:t>
      </w:r>
      <w:r w:rsidRPr="00F824B9">
        <w:rPr>
          <w:rFonts w:ascii="Arial" w:eastAsia="Calibri" w:hAnsi="Arial" w:cs="Arial"/>
          <w:i/>
          <w:sz w:val="20"/>
          <w:szCs w:val="20"/>
        </w:rPr>
        <w:t>Por todo cuanto ha sido expuesto, debemos estimar, en este punto, el recurso de apelación y revocar la sentencia recurrida, afirmando la validez, en este caso, de la denominada comisión de apertura.</w:t>
      </w:r>
      <w:r w:rsidR="00AA6BC2" w:rsidRPr="00F824B9">
        <w:rPr>
          <w:rFonts w:ascii="Arial" w:eastAsia="Calibri" w:hAnsi="Arial" w:cs="Arial"/>
          <w:i/>
          <w:sz w:val="20"/>
          <w:szCs w:val="20"/>
        </w:rPr>
        <w:t>”</w:t>
      </w:r>
      <w:r w:rsidR="00AA6BC2">
        <w:rPr>
          <w:rFonts w:ascii="Arial" w:eastAsia="Calibri" w:hAnsi="Arial" w:cs="Arial"/>
          <w:i/>
          <w:sz w:val="20"/>
          <w:szCs w:val="20"/>
        </w:rPr>
        <w:t>.</w:t>
      </w:r>
    </w:p>
    <w:p w14:paraId="093C4A37" w14:textId="3A7041BD" w:rsidR="006452D2" w:rsidRDefault="006452D2" w:rsidP="00AA6BC2">
      <w:pPr>
        <w:spacing w:after="0" w:line="360" w:lineRule="auto"/>
        <w:ind w:left="709"/>
        <w:jc w:val="both"/>
        <w:rPr>
          <w:rFonts w:ascii="Arial" w:eastAsia="Calibri" w:hAnsi="Arial" w:cs="Arial"/>
          <w:i/>
          <w:sz w:val="20"/>
          <w:szCs w:val="20"/>
        </w:rPr>
      </w:pPr>
    </w:p>
    <w:p w14:paraId="7F96CE5E" w14:textId="153AC681" w:rsidR="006452D2" w:rsidRDefault="006452D2" w:rsidP="00AA6BC2">
      <w:pPr>
        <w:spacing w:after="0" w:line="360" w:lineRule="auto"/>
        <w:ind w:left="709"/>
        <w:jc w:val="both"/>
        <w:rPr>
          <w:rFonts w:ascii="Arial" w:eastAsia="Calibri" w:hAnsi="Arial" w:cs="Arial"/>
          <w:i/>
          <w:sz w:val="20"/>
          <w:szCs w:val="20"/>
        </w:rPr>
      </w:pPr>
    </w:p>
    <w:p w14:paraId="318E760B" w14:textId="6EEE36D0" w:rsidR="006452D2" w:rsidRPr="00C1183F" w:rsidRDefault="006452D2" w:rsidP="006452D2">
      <w:pPr>
        <w:suppressAutoHyphens/>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lastRenderedPageBreak/>
        <w:t>Sentencia núm. 71/2021 de la Audiencia Provincial de Tarragona, sección 3ª, de 11 de febrero</w:t>
      </w:r>
      <w:r w:rsidRPr="00C1183F">
        <w:rPr>
          <w:rFonts w:ascii="Arial" w:eastAsia="Calibri" w:hAnsi="Arial" w:cs="Arial"/>
          <w:b/>
          <w:sz w:val="20"/>
          <w:szCs w:val="20"/>
        </w:rPr>
        <w:t>:</w:t>
      </w:r>
      <w:r w:rsidRPr="00C1183F">
        <w:rPr>
          <w:rFonts w:ascii="Arial" w:eastAsia="Calibri" w:hAnsi="Arial" w:cs="Arial"/>
          <w:sz w:val="20"/>
          <w:szCs w:val="20"/>
        </w:rPr>
        <w:t xml:space="preserve"> </w:t>
      </w:r>
    </w:p>
    <w:p w14:paraId="0ADE0674" w14:textId="77777777" w:rsidR="006452D2" w:rsidRDefault="006452D2" w:rsidP="00AA6BC2">
      <w:pPr>
        <w:spacing w:after="0" w:line="360" w:lineRule="auto"/>
        <w:ind w:left="709"/>
        <w:jc w:val="both"/>
        <w:rPr>
          <w:rFonts w:ascii="Arial" w:eastAsia="Calibri" w:hAnsi="Arial" w:cs="Arial"/>
          <w:i/>
          <w:sz w:val="20"/>
          <w:szCs w:val="20"/>
        </w:rPr>
      </w:pPr>
    </w:p>
    <w:p w14:paraId="1B1BF079" w14:textId="31A4CA19" w:rsidR="006452D2" w:rsidRPr="00AA6BC2" w:rsidRDefault="006452D2" w:rsidP="006452D2">
      <w:pPr>
        <w:spacing w:after="0" w:line="360" w:lineRule="auto"/>
        <w:ind w:left="709"/>
        <w:jc w:val="both"/>
        <w:rPr>
          <w:rFonts w:ascii="Arial" w:eastAsia="Calibri" w:hAnsi="Arial" w:cs="Arial"/>
          <w:i/>
          <w:sz w:val="20"/>
          <w:szCs w:val="20"/>
        </w:rPr>
      </w:pPr>
      <w:r>
        <w:rPr>
          <w:rFonts w:ascii="Arial" w:eastAsia="Calibri" w:hAnsi="Arial" w:cs="Arial"/>
          <w:i/>
          <w:sz w:val="20"/>
          <w:szCs w:val="20"/>
        </w:rPr>
        <w:t>“</w:t>
      </w:r>
      <w:r w:rsidRPr="006452D2">
        <w:rPr>
          <w:rFonts w:ascii="Arial" w:eastAsia="Calibri" w:hAnsi="Arial" w:cs="Arial"/>
          <w:i/>
          <w:sz w:val="20"/>
          <w:szCs w:val="20"/>
        </w:rPr>
        <w:t>Respecto a la comisión de apertura, aunque ciertos pronunciamientos</w:t>
      </w:r>
      <w:r>
        <w:rPr>
          <w:rFonts w:ascii="Arial" w:eastAsia="Calibri" w:hAnsi="Arial" w:cs="Arial"/>
          <w:i/>
          <w:sz w:val="20"/>
          <w:szCs w:val="20"/>
        </w:rPr>
        <w:t xml:space="preserve"> </w:t>
      </w:r>
      <w:r w:rsidRPr="006452D2">
        <w:rPr>
          <w:rFonts w:ascii="Arial" w:eastAsia="Calibri" w:hAnsi="Arial" w:cs="Arial"/>
          <w:i/>
          <w:sz w:val="20"/>
          <w:szCs w:val="20"/>
        </w:rPr>
        <w:t xml:space="preserve">judiciales se habían inclinado por reconocer su </w:t>
      </w:r>
      <w:proofErr w:type="spellStart"/>
      <w:r w:rsidRPr="006452D2">
        <w:rPr>
          <w:rFonts w:ascii="Arial" w:eastAsia="Calibri" w:hAnsi="Arial" w:cs="Arial"/>
          <w:i/>
          <w:sz w:val="20"/>
          <w:szCs w:val="20"/>
        </w:rPr>
        <w:t>abusividad</w:t>
      </w:r>
      <w:proofErr w:type="spellEnd"/>
      <w:r w:rsidRPr="006452D2">
        <w:rPr>
          <w:rFonts w:ascii="Arial" w:eastAsia="Calibri" w:hAnsi="Arial" w:cs="Arial"/>
          <w:i/>
          <w:sz w:val="20"/>
          <w:szCs w:val="20"/>
        </w:rPr>
        <w:t>, la última doctrina, entre ella la sentada por la</w:t>
      </w:r>
      <w:r>
        <w:rPr>
          <w:rFonts w:ascii="Arial" w:eastAsia="Calibri" w:hAnsi="Arial" w:cs="Arial"/>
          <w:i/>
          <w:sz w:val="20"/>
          <w:szCs w:val="20"/>
        </w:rPr>
        <w:t xml:space="preserve"> </w:t>
      </w:r>
      <w:r w:rsidRPr="006452D2">
        <w:rPr>
          <w:rFonts w:ascii="Arial" w:eastAsia="Calibri" w:hAnsi="Arial" w:cs="Arial"/>
          <w:i/>
          <w:sz w:val="20"/>
          <w:szCs w:val="20"/>
        </w:rPr>
        <w:t>Audiencia Provincial de Tarragona, Sección 3, en el auto de 14 de mayo de 2020, recurso de apelación nº</w:t>
      </w:r>
      <w:r>
        <w:rPr>
          <w:rFonts w:ascii="Arial" w:eastAsia="Calibri" w:hAnsi="Arial" w:cs="Arial"/>
          <w:i/>
          <w:sz w:val="20"/>
          <w:szCs w:val="20"/>
        </w:rPr>
        <w:t xml:space="preserve"> </w:t>
      </w:r>
      <w:r w:rsidRPr="006452D2">
        <w:rPr>
          <w:rFonts w:ascii="Arial" w:eastAsia="Calibri" w:hAnsi="Arial" w:cs="Arial"/>
          <w:i/>
          <w:sz w:val="20"/>
          <w:szCs w:val="20"/>
        </w:rPr>
        <w:t>752/18 , se inclina por admitir su validez y en este sentido se dan por reproducidos los argumentos de la SAP</w:t>
      </w:r>
      <w:r>
        <w:rPr>
          <w:rFonts w:ascii="Arial" w:eastAsia="Calibri" w:hAnsi="Arial" w:cs="Arial"/>
          <w:i/>
          <w:sz w:val="20"/>
          <w:szCs w:val="20"/>
        </w:rPr>
        <w:t xml:space="preserve"> </w:t>
      </w:r>
      <w:r w:rsidRPr="006452D2">
        <w:rPr>
          <w:rFonts w:ascii="Arial" w:eastAsia="Calibri" w:hAnsi="Arial" w:cs="Arial"/>
          <w:i/>
          <w:sz w:val="20"/>
          <w:szCs w:val="20"/>
        </w:rPr>
        <w:t xml:space="preserve">de Barcelona, sección 15, del 28 de octubre de 2019 (ROJ: SAP B 12683/2019 </w:t>
      </w:r>
      <w:r w:rsidRPr="006452D2">
        <w:rPr>
          <w:rFonts w:ascii="Arial" w:eastAsia="Calibri" w:hAnsi="Arial" w:cs="Arial"/>
          <w:i/>
          <w:iCs/>
          <w:sz w:val="20"/>
          <w:szCs w:val="20"/>
        </w:rPr>
        <w:t>)</w:t>
      </w:r>
      <w:r w:rsidRPr="006452D2">
        <w:rPr>
          <w:rFonts w:ascii="Arial" w:eastAsia="Calibri" w:hAnsi="Arial" w:cs="Arial"/>
          <w:i/>
          <w:sz w:val="20"/>
          <w:szCs w:val="20"/>
        </w:rPr>
        <w:t>, que además invoca la última</w:t>
      </w:r>
      <w:r>
        <w:rPr>
          <w:rFonts w:ascii="Arial" w:eastAsia="Calibri" w:hAnsi="Arial" w:cs="Arial"/>
          <w:i/>
          <w:sz w:val="20"/>
          <w:szCs w:val="20"/>
        </w:rPr>
        <w:t xml:space="preserve"> </w:t>
      </w:r>
      <w:r w:rsidRPr="006452D2">
        <w:rPr>
          <w:rFonts w:ascii="Arial" w:eastAsia="Calibri" w:hAnsi="Arial" w:cs="Arial"/>
          <w:i/>
          <w:sz w:val="20"/>
          <w:szCs w:val="20"/>
        </w:rPr>
        <w:t>doctrina del Tribunal Supremo en la materia</w:t>
      </w:r>
      <w:r>
        <w:rPr>
          <w:rFonts w:ascii="Arial" w:eastAsia="Calibri" w:hAnsi="Arial" w:cs="Arial"/>
          <w:i/>
          <w:sz w:val="20"/>
          <w:szCs w:val="20"/>
        </w:rPr>
        <w:t>”.</w:t>
      </w:r>
    </w:p>
    <w:p w14:paraId="08C47DA8" w14:textId="1C090E35" w:rsidR="00D028E3" w:rsidRDefault="00D028E3" w:rsidP="00D028E3">
      <w:pPr>
        <w:spacing w:after="0" w:line="360" w:lineRule="auto"/>
        <w:jc w:val="both"/>
        <w:rPr>
          <w:rFonts w:ascii="Arial" w:eastAsia="Calibri" w:hAnsi="Arial" w:cs="Arial"/>
          <w:i/>
          <w:sz w:val="20"/>
          <w:szCs w:val="20"/>
        </w:rPr>
      </w:pPr>
    </w:p>
    <w:p w14:paraId="2D8B5246" w14:textId="77777777" w:rsidR="00F824B9" w:rsidRPr="00554476" w:rsidRDefault="00F824B9" w:rsidP="00D028E3">
      <w:pPr>
        <w:spacing w:after="0" w:line="360" w:lineRule="auto"/>
        <w:jc w:val="both"/>
        <w:rPr>
          <w:rFonts w:ascii="Arial" w:eastAsia="Calibri" w:hAnsi="Arial" w:cs="Arial"/>
          <w:sz w:val="20"/>
          <w:szCs w:val="20"/>
        </w:rPr>
      </w:pPr>
    </w:p>
    <w:p w14:paraId="482DCECC" w14:textId="7609C98E" w:rsidR="00B62948" w:rsidRPr="00554476" w:rsidRDefault="00B62948" w:rsidP="00554476">
      <w:pPr>
        <w:suppressAutoHyphens/>
        <w:autoSpaceDE w:val="0"/>
        <w:autoSpaceDN w:val="0"/>
        <w:adjustRightInd w:val="0"/>
        <w:spacing w:after="0" w:line="360" w:lineRule="auto"/>
        <w:contextualSpacing/>
        <w:jc w:val="both"/>
        <w:rPr>
          <w:rFonts w:ascii="Arial" w:eastAsia="Calibri" w:hAnsi="Arial" w:cs="Arial"/>
          <w:b/>
          <w:sz w:val="20"/>
          <w:szCs w:val="20"/>
        </w:rPr>
      </w:pPr>
      <w:r w:rsidRPr="00FB264C">
        <w:rPr>
          <w:rFonts w:ascii="Arial" w:eastAsia="Calibri" w:hAnsi="Arial" w:cs="Arial"/>
          <w:b/>
          <w:sz w:val="20"/>
          <w:szCs w:val="20"/>
          <w:u w:val="single"/>
        </w:rPr>
        <w:t xml:space="preserve">Sentencia </w:t>
      </w:r>
      <w:r w:rsidR="00DB55B3" w:rsidRPr="00FB264C">
        <w:rPr>
          <w:rFonts w:ascii="Arial" w:eastAsia="Calibri" w:hAnsi="Arial" w:cs="Arial"/>
          <w:b/>
          <w:sz w:val="20"/>
          <w:szCs w:val="20"/>
          <w:u w:val="single"/>
        </w:rPr>
        <w:t xml:space="preserve">núm. 836/2020 </w:t>
      </w:r>
      <w:r w:rsidRPr="00FB264C">
        <w:rPr>
          <w:rFonts w:ascii="Arial" w:eastAsia="Calibri" w:hAnsi="Arial" w:cs="Arial"/>
          <w:b/>
          <w:sz w:val="20"/>
          <w:szCs w:val="20"/>
          <w:u w:val="single"/>
        </w:rPr>
        <w:t>de la Audiencia Provincial de León,</w:t>
      </w:r>
      <w:r w:rsidR="00DB55B3" w:rsidRPr="00FB264C">
        <w:rPr>
          <w:rFonts w:ascii="Arial" w:eastAsia="Calibri" w:hAnsi="Arial" w:cs="Arial"/>
          <w:b/>
          <w:sz w:val="20"/>
          <w:szCs w:val="20"/>
          <w:u w:val="single"/>
        </w:rPr>
        <w:t xml:space="preserve"> sección 1ª,</w:t>
      </w:r>
      <w:r w:rsidRPr="00FB264C">
        <w:rPr>
          <w:rFonts w:ascii="Arial" w:eastAsia="Calibri" w:hAnsi="Arial" w:cs="Arial"/>
          <w:b/>
          <w:sz w:val="20"/>
          <w:szCs w:val="20"/>
          <w:u w:val="single"/>
        </w:rPr>
        <w:t xml:space="preserve"> de </w:t>
      </w:r>
      <w:r w:rsidR="00F06949" w:rsidRPr="00FB264C">
        <w:rPr>
          <w:rFonts w:ascii="Arial" w:eastAsia="Calibri" w:hAnsi="Arial" w:cs="Arial"/>
          <w:b/>
          <w:sz w:val="20"/>
          <w:szCs w:val="20"/>
          <w:u w:val="single"/>
        </w:rPr>
        <w:t>27 de noviembre de 2020</w:t>
      </w:r>
      <w:r w:rsidRPr="00554476">
        <w:rPr>
          <w:rFonts w:ascii="Arial" w:eastAsia="Calibri" w:hAnsi="Arial" w:cs="Arial"/>
          <w:b/>
          <w:sz w:val="20"/>
          <w:szCs w:val="20"/>
        </w:rPr>
        <w:t>:</w:t>
      </w:r>
    </w:p>
    <w:p w14:paraId="2063336A" w14:textId="77777777" w:rsidR="00B62948" w:rsidRPr="00554476" w:rsidRDefault="00B62948" w:rsidP="0067486A">
      <w:pPr>
        <w:suppressAutoHyphens/>
        <w:autoSpaceDE w:val="0"/>
        <w:autoSpaceDN w:val="0"/>
        <w:adjustRightInd w:val="0"/>
        <w:spacing w:after="0" w:line="360" w:lineRule="auto"/>
        <w:contextualSpacing/>
        <w:jc w:val="both"/>
        <w:rPr>
          <w:rFonts w:ascii="Arial" w:eastAsia="Calibri" w:hAnsi="Arial" w:cs="Arial"/>
          <w:sz w:val="20"/>
          <w:szCs w:val="20"/>
        </w:rPr>
      </w:pPr>
    </w:p>
    <w:p w14:paraId="7872ABA7" w14:textId="61393B2F" w:rsidR="00F06949" w:rsidRDefault="00B62948" w:rsidP="00F06949">
      <w:pPr>
        <w:spacing w:after="0" w:line="360" w:lineRule="auto"/>
        <w:ind w:left="709" w:hanging="1"/>
        <w:jc w:val="both"/>
        <w:rPr>
          <w:rFonts w:ascii="Arial" w:eastAsia="Calibri" w:hAnsi="Arial" w:cs="Arial"/>
          <w:i/>
          <w:sz w:val="20"/>
          <w:szCs w:val="20"/>
        </w:rPr>
      </w:pPr>
      <w:r w:rsidRPr="00F06949">
        <w:rPr>
          <w:rFonts w:ascii="Arial" w:eastAsia="Calibri" w:hAnsi="Arial" w:cs="Arial"/>
          <w:i/>
          <w:sz w:val="20"/>
          <w:szCs w:val="20"/>
        </w:rPr>
        <w:t>“</w:t>
      </w:r>
      <w:r w:rsidR="00F06949" w:rsidRPr="00F06949">
        <w:rPr>
          <w:rFonts w:ascii="Arial" w:eastAsia="Calibri" w:hAnsi="Arial" w:cs="Arial"/>
          <w:i/>
          <w:sz w:val="20"/>
          <w:szCs w:val="20"/>
        </w:rPr>
        <w:t>tal como expresa la sentencia del TJUE, incumbe a los tribunales nacionales la comprobación de la correspondencia de la comisión con servicios efectivamente prestados y gastos incurridos, lo que supone que deba estarse al criterio sentado sobre el particular por el Tribunal Supremo, que como se ha visto deduce de la previsión de la comisión por la normativa nacional su correspondencia con gastos inherentes a la actividad ocasionada por la fase previa a la concesión del préstamo.</w:t>
      </w:r>
      <w:r w:rsidR="00F06949">
        <w:rPr>
          <w:rFonts w:ascii="Arial" w:eastAsia="Calibri" w:hAnsi="Arial" w:cs="Arial"/>
          <w:i/>
          <w:sz w:val="20"/>
          <w:szCs w:val="20"/>
        </w:rPr>
        <w:t xml:space="preserve"> […]</w:t>
      </w:r>
    </w:p>
    <w:p w14:paraId="6BA0758E" w14:textId="7F95F20F" w:rsidR="00F06949" w:rsidRDefault="00F06949" w:rsidP="00F06949">
      <w:pPr>
        <w:spacing w:after="0" w:line="360" w:lineRule="auto"/>
        <w:ind w:left="709" w:hanging="1"/>
        <w:jc w:val="both"/>
        <w:rPr>
          <w:rFonts w:ascii="Arial" w:eastAsia="Calibri" w:hAnsi="Arial" w:cs="Arial"/>
          <w:i/>
          <w:sz w:val="20"/>
          <w:szCs w:val="20"/>
        </w:rPr>
      </w:pPr>
    </w:p>
    <w:p w14:paraId="70E22437" w14:textId="571A86B8" w:rsidR="00F06949" w:rsidRPr="00F06949" w:rsidRDefault="00F06949" w:rsidP="00F06949">
      <w:pPr>
        <w:spacing w:after="0" w:line="360" w:lineRule="auto"/>
        <w:ind w:left="709" w:hanging="1"/>
        <w:jc w:val="both"/>
        <w:rPr>
          <w:rFonts w:ascii="Arial" w:eastAsia="Calibri" w:hAnsi="Arial" w:cs="Arial"/>
          <w:i/>
          <w:iCs/>
          <w:sz w:val="20"/>
          <w:szCs w:val="20"/>
        </w:rPr>
      </w:pPr>
      <w:r>
        <w:rPr>
          <w:rFonts w:ascii="Arial" w:eastAsia="Calibri" w:hAnsi="Arial" w:cs="Arial"/>
          <w:i/>
          <w:sz w:val="20"/>
          <w:szCs w:val="20"/>
        </w:rPr>
        <w:t xml:space="preserve">[…] </w:t>
      </w:r>
      <w:r w:rsidRPr="00F06949">
        <w:rPr>
          <w:rFonts w:ascii="Arial" w:eastAsia="Calibri" w:hAnsi="Arial" w:cs="Arial"/>
          <w:i/>
          <w:sz w:val="20"/>
          <w:szCs w:val="20"/>
        </w:rPr>
        <w:t>Es por ello que este tribunal entiende que los razonamientos contenidos en la STJUE de 16 de julio de 2020</w:t>
      </w:r>
      <w:r>
        <w:rPr>
          <w:rFonts w:ascii="Arial" w:eastAsia="Calibri" w:hAnsi="Arial" w:cs="Arial"/>
          <w:i/>
          <w:sz w:val="20"/>
          <w:szCs w:val="20"/>
        </w:rPr>
        <w:t xml:space="preserve"> </w:t>
      </w:r>
      <w:r w:rsidRPr="00F06949">
        <w:rPr>
          <w:rFonts w:ascii="Arial" w:eastAsia="Calibri" w:hAnsi="Arial" w:cs="Arial"/>
          <w:i/>
          <w:sz w:val="20"/>
          <w:szCs w:val="20"/>
        </w:rPr>
        <w:t xml:space="preserve">resultan compatibles con los que ha venido realizando con anterioridad desde la sentencia de 1 de febrero de 2018 (rollo nº 579/2017), en la que se expresaba que " </w:t>
      </w:r>
      <w:r w:rsidRPr="00F06949">
        <w:rPr>
          <w:rFonts w:ascii="Arial" w:eastAsia="Calibri" w:hAnsi="Arial" w:cs="Arial"/>
          <w:i/>
          <w:iCs/>
          <w:sz w:val="20"/>
          <w:szCs w:val="20"/>
        </w:rPr>
        <w:t xml:space="preserve">El coste de </w:t>
      </w:r>
      <w:r w:rsidRPr="00F06949">
        <w:rPr>
          <w:rFonts w:ascii="Arial" w:eastAsia="Calibri" w:hAnsi="Arial" w:cs="Arial"/>
          <w:bCs/>
          <w:i/>
          <w:iCs/>
          <w:sz w:val="20"/>
          <w:szCs w:val="20"/>
        </w:rPr>
        <w:t xml:space="preserve">apertura </w:t>
      </w:r>
      <w:r w:rsidRPr="00F06949">
        <w:rPr>
          <w:rFonts w:ascii="Arial" w:eastAsia="Calibri" w:hAnsi="Arial" w:cs="Arial"/>
          <w:i/>
          <w:iCs/>
          <w:sz w:val="20"/>
          <w:szCs w:val="20"/>
        </w:rPr>
        <w:t xml:space="preserve">no es un acto vinculado a la formalización del contrato de préstamo; se sustenta en el coste de gestiones y servicios financieros previos a él, y, aunque tenga como finalidad principal suscribirlo, la </w:t>
      </w:r>
      <w:r w:rsidRPr="00F06949">
        <w:rPr>
          <w:rFonts w:ascii="Arial" w:eastAsia="Calibri" w:hAnsi="Arial" w:cs="Arial"/>
          <w:bCs/>
          <w:i/>
          <w:iCs/>
          <w:sz w:val="20"/>
          <w:szCs w:val="20"/>
        </w:rPr>
        <w:t xml:space="preserve">comisión </w:t>
      </w:r>
      <w:r w:rsidRPr="00F06949">
        <w:rPr>
          <w:rFonts w:ascii="Arial" w:eastAsia="Calibri" w:hAnsi="Arial" w:cs="Arial"/>
          <w:i/>
          <w:iCs/>
          <w:sz w:val="20"/>
          <w:szCs w:val="20"/>
        </w:rPr>
        <w:t xml:space="preserve">de </w:t>
      </w:r>
      <w:r w:rsidRPr="00F06949">
        <w:rPr>
          <w:rFonts w:ascii="Arial" w:eastAsia="Calibri" w:hAnsi="Arial" w:cs="Arial"/>
          <w:bCs/>
          <w:i/>
          <w:iCs/>
          <w:sz w:val="20"/>
          <w:szCs w:val="20"/>
        </w:rPr>
        <w:t xml:space="preserve">apertura </w:t>
      </w:r>
      <w:r w:rsidRPr="00F06949">
        <w:rPr>
          <w:rFonts w:ascii="Arial" w:eastAsia="Calibri" w:hAnsi="Arial" w:cs="Arial"/>
          <w:i/>
          <w:iCs/>
          <w:sz w:val="20"/>
          <w:szCs w:val="20"/>
        </w:rPr>
        <w:t xml:space="preserve">no se vincula con el acto de formalización del contrato, porque el servicio financiero del que se deriva la </w:t>
      </w:r>
      <w:r w:rsidRPr="00F06949">
        <w:rPr>
          <w:rFonts w:ascii="Arial" w:eastAsia="Calibri" w:hAnsi="Arial" w:cs="Arial"/>
          <w:bCs/>
          <w:i/>
          <w:iCs/>
          <w:sz w:val="20"/>
          <w:szCs w:val="20"/>
        </w:rPr>
        <w:t xml:space="preserve">comisión </w:t>
      </w:r>
      <w:r w:rsidRPr="00F06949">
        <w:rPr>
          <w:rFonts w:ascii="Arial" w:eastAsia="Calibri" w:hAnsi="Arial" w:cs="Arial"/>
          <w:i/>
          <w:iCs/>
          <w:sz w:val="20"/>
          <w:szCs w:val="20"/>
        </w:rPr>
        <w:t xml:space="preserve">de </w:t>
      </w:r>
      <w:r w:rsidRPr="00F06949">
        <w:rPr>
          <w:rFonts w:ascii="Arial" w:eastAsia="Calibri" w:hAnsi="Arial" w:cs="Arial"/>
          <w:bCs/>
          <w:i/>
          <w:iCs/>
          <w:sz w:val="20"/>
          <w:szCs w:val="20"/>
        </w:rPr>
        <w:t xml:space="preserve">apertura </w:t>
      </w:r>
      <w:r w:rsidRPr="00F06949">
        <w:rPr>
          <w:rFonts w:ascii="Arial" w:eastAsia="Calibri" w:hAnsi="Arial" w:cs="Arial"/>
          <w:i/>
          <w:iCs/>
          <w:sz w:val="20"/>
          <w:szCs w:val="20"/>
        </w:rPr>
        <w:t xml:space="preserve">no tiene como finalidad dar forma al contrato y validarlo con su inscripción u otros actos precisos para su eficacia jurídica", y que " La </w:t>
      </w:r>
      <w:r w:rsidRPr="00F06949">
        <w:rPr>
          <w:rFonts w:ascii="Arial" w:eastAsia="Calibri" w:hAnsi="Arial" w:cs="Arial"/>
          <w:bCs/>
          <w:i/>
          <w:iCs/>
          <w:sz w:val="20"/>
          <w:szCs w:val="20"/>
        </w:rPr>
        <w:t xml:space="preserve">comisión </w:t>
      </w:r>
      <w:r w:rsidRPr="00F06949">
        <w:rPr>
          <w:rFonts w:ascii="Arial" w:eastAsia="Calibri" w:hAnsi="Arial" w:cs="Arial"/>
          <w:i/>
          <w:iCs/>
          <w:sz w:val="20"/>
          <w:szCs w:val="20"/>
        </w:rPr>
        <w:t xml:space="preserve">de </w:t>
      </w:r>
      <w:r w:rsidRPr="00F06949">
        <w:rPr>
          <w:rFonts w:ascii="Arial" w:eastAsia="Calibri" w:hAnsi="Arial" w:cs="Arial"/>
          <w:bCs/>
          <w:i/>
          <w:iCs/>
          <w:sz w:val="20"/>
          <w:szCs w:val="20"/>
        </w:rPr>
        <w:t xml:space="preserve">apertura </w:t>
      </w:r>
      <w:r w:rsidRPr="00F06949">
        <w:rPr>
          <w:rFonts w:ascii="Arial" w:eastAsia="Calibri" w:hAnsi="Arial" w:cs="Arial"/>
          <w:i/>
          <w:iCs/>
          <w:sz w:val="20"/>
          <w:szCs w:val="20"/>
        </w:rPr>
        <w:t>se genera por actos previos propiamente a la firma del contrato (distintos de</w:t>
      </w:r>
    </w:p>
    <w:p w14:paraId="3F48C20F" w14:textId="540299C4" w:rsidR="00B62948" w:rsidRPr="00F06949" w:rsidRDefault="00F06949" w:rsidP="0067486A">
      <w:pPr>
        <w:spacing w:after="0" w:line="360" w:lineRule="auto"/>
        <w:ind w:left="709" w:hanging="1"/>
        <w:jc w:val="both"/>
        <w:rPr>
          <w:rFonts w:ascii="Arial" w:eastAsia="Calibri" w:hAnsi="Arial" w:cs="Arial"/>
          <w:sz w:val="20"/>
          <w:szCs w:val="20"/>
        </w:rPr>
      </w:pPr>
      <w:r w:rsidRPr="00F06949">
        <w:rPr>
          <w:rFonts w:ascii="Arial" w:eastAsia="Calibri" w:hAnsi="Arial" w:cs="Arial"/>
          <w:i/>
          <w:iCs/>
          <w:sz w:val="20"/>
          <w:szCs w:val="20"/>
        </w:rPr>
        <w:t>otros como el otorgamiento de escritura pública o posteriores), remunerando servicios efectivamente prestados que suponen unos costes", a lo que debe añadirse que el importe abonado por los apelantes no excede del 1% del capital del préstamo, por lo que en modo alguno puede considerarse desproporcionado al coste de los servicios remunerados, por lo que, en suma, debe desestimarse el recurso interpuesto</w:t>
      </w:r>
      <w:r w:rsidR="00B62948" w:rsidRPr="00F06949">
        <w:rPr>
          <w:rFonts w:ascii="Arial" w:eastAsia="Calibri" w:hAnsi="Arial" w:cs="Arial"/>
          <w:sz w:val="20"/>
          <w:szCs w:val="20"/>
        </w:rPr>
        <w:t>”</w:t>
      </w:r>
      <w:r w:rsidRPr="00F06949">
        <w:rPr>
          <w:rFonts w:ascii="Arial" w:eastAsia="Calibri" w:hAnsi="Arial" w:cs="Arial"/>
          <w:sz w:val="20"/>
          <w:szCs w:val="20"/>
        </w:rPr>
        <w:t>.</w:t>
      </w:r>
    </w:p>
    <w:p w14:paraId="55BD0D60" w14:textId="77777777" w:rsidR="00664CF8" w:rsidRDefault="00664CF8" w:rsidP="00554476">
      <w:pPr>
        <w:suppressAutoHyphens/>
        <w:autoSpaceDE w:val="0"/>
        <w:autoSpaceDN w:val="0"/>
        <w:adjustRightInd w:val="0"/>
        <w:spacing w:after="0" w:line="360" w:lineRule="auto"/>
        <w:contextualSpacing/>
        <w:jc w:val="both"/>
        <w:rPr>
          <w:rFonts w:ascii="Arial" w:eastAsia="Calibri" w:hAnsi="Arial" w:cs="Arial"/>
          <w:sz w:val="20"/>
          <w:szCs w:val="20"/>
        </w:rPr>
      </w:pPr>
    </w:p>
    <w:p w14:paraId="162DDB25" w14:textId="77777777" w:rsidR="00F06949" w:rsidRDefault="00F06949" w:rsidP="00554476">
      <w:pPr>
        <w:suppressAutoHyphens/>
        <w:autoSpaceDE w:val="0"/>
        <w:autoSpaceDN w:val="0"/>
        <w:adjustRightInd w:val="0"/>
        <w:spacing w:after="0" w:line="360" w:lineRule="auto"/>
        <w:contextualSpacing/>
        <w:jc w:val="both"/>
        <w:rPr>
          <w:rFonts w:ascii="Arial" w:eastAsia="Calibri" w:hAnsi="Arial" w:cs="Arial"/>
          <w:b/>
          <w:sz w:val="20"/>
          <w:szCs w:val="20"/>
        </w:rPr>
      </w:pPr>
    </w:p>
    <w:p w14:paraId="65499024" w14:textId="635D87C1" w:rsidR="00B62948" w:rsidRPr="00554476" w:rsidRDefault="00F06949" w:rsidP="00554476">
      <w:pPr>
        <w:suppressAutoHyphens/>
        <w:autoSpaceDE w:val="0"/>
        <w:autoSpaceDN w:val="0"/>
        <w:adjustRightInd w:val="0"/>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lastRenderedPageBreak/>
        <w:t>S</w:t>
      </w:r>
      <w:r w:rsidR="00B62948" w:rsidRPr="00FB264C">
        <w:rPr>
          <w:rFonts w:ascii="Arial" w:eastAsia="Calibri" w:hAnsi="Arial" w:cs="Arial"/>
          <w:b/>
          <w:sz w:val="20"/>
          <w:szCs w:val="20"/>
          <w:u w:val="single"/>
        </w:rPr>
        <w:t>entencia de la Audiencia Provincial de Girona de fecha 21 de julio de 2020, dictada por la Sección 1ª</w:t>
      </w:r>
      <w:r w:rsidR="00B62948" w:rsidRPr="00554476">
        <w:rPr>
          <w:rFonts w:ascii="Arial" w:eastAsia="Calibri" w:hAnsi="Arial" w:cs="Arial"/>
          <w:b/>
          <w:sz w:val="20"/>
          <w:szCs w:val="20"/>
        </w:rPr>
        <w:t>:</w:t>
      </w:r>
    </w:p>
    <w:p w14:paraId="522B94FC" w14:textId="77777777" w:rsidR="00B62948" w:rsidRPr="00554476" w:rsidRDefault="00B62948" w:rsidP="00554476">
      <w:pPr>
        <w:suppressAutoHyphens/>
        <w:autoSpaceDE w:val="0"/>
        <w:autoSpaceDN w:val="0"/>
        <w:adjustRightInd w:val="0"/>
        <w:spacing w:after="0" w:line="360" w:lineRule="auto"/>
        <w:contextualSpacing/>
        <w:jc w:val="both"/>
        <w:rPr>
          <w:rFonts w:ascii="Arial" w:eastAsia="Calibri" w:hAnsi="Arial" w:cs="Arial"/>
          <w:i/>
          <w:sz w:val="20"/>
          <w:szCs w:val="20"/>
        </w:rPr>
      </w:pPr>
    </w:p>
    <w:p w14:paraId="0045D7C5" w14:textId="53F138CA" w:rsidR="00B62948" w:rsidRPr="00A34478" w:rsidRDefault="00B62948" w:rsidP="00A34478">
      <w:pPr>
        <w:autoSpaceDE w:val="0"/>
        <w:autoSpaceDN w:val="0"/>
        <w:adjustRightInd w:val="0"/>
        <w:spacing w:after="0" w:line="360" w:lineRule="auto"/>
        <w:ind w:left="708"/>
        <w:jc w:val="both"/>
        <w:rPr>
          <w:rFonts w:ascii="Arial" w:hAnsi="Arial" w:cs="Arial"/>
          <w:i/>
          <w:sz w:val="20"/>
          <w:szCs w:val="20"/>
        </w:rPr>
      </w:pPr>
      <w:r w:rsidRPr="00554476">
        <w:rPr>
          <w:rFonts w:ascii="Arial" w:hAnsi="Arial" w:cs="Arial"/>
          <w:i/>
          <w:sz w:val="20"/>
          <w:szCs w:val="20"/>
        </w:rPr>
        <w:t>“En consecuencia debe rechazarse la nulidad solicitada, como ya dijimos en</w:t>
      </w:r>
      <w:r w:rsidR="00A34478">
        <w:rPr>
          <w:rFonts w:ascii="Arial" w:hAnsi="Arial" w:cs="Arial"/>
          <w:i/>
          <w:sz w:val="20"/>
          <w:szCs w:val="20"/>
        </w:rPr>
        <w:t xml:space="preserve"> </w:t>
      </w:r>
      <w:r w:rsidRPr="00554476">
        <w:rPr>
          <w:rFonts w:ascii="Arial" w:hAnsi="Arial" w:cs="Arial"/>
          <w:i/>
          <w:sz w:val="20"/>
          <w:szCs w:val="20"/>
        </w:rPr>
        <w:t>nuestra sentencia de 29 de</w:t>
      </w:r>
      <w:r w:rsidR="00A34478">
        <w:rPr>
          <w:rFonts w:ascii="Arial" w:hAnsi="Arial" w:cs="Arial"/>
          <w:i/>
          <w:sz w:val="20"/>
          <w:szCs w:val="20"/>
        </w:rPr>
        <w:t xml:space="preserve"> abril de 2019 (Rollo 768/2018) “</w:t>
      </w:r>
      <w:r w:rsidRPr="00554476">
        <w:rPr>
          <w:rFonts w:ascii="Arial" w:eastAsia="LiberationSans-Italic" w:hAnsi="Arial" w:cs="Arial"/>
          <w:i/>
          <w:iCs/>
          <w:sz w:val="20"/>
          <w:szCs w:val="20"/>
        </w:rPr>
        <w:t xml:space="preserve">Habida cuenta de la doctrina expresada por el Pleno del Tribunal Supremo, se llega a las siguientes conclusiones: 1) que la comisión de apertura forma parte integrante del precio cobrado por la entidad como es el caso de los intereses retributivos; 2) que esto no es un mes de gasto de la operación; 3) que esto lo sitúe fuera del control de los contenidos porque si no entramos en el control jurisdiccional de los precios, que queda excluido de la protección del artículo 4.2 de la Directiva 93/13; y 4) sólo está sujeto al control de transparencia (formal) y por lo tanto obliga i) a agrupar todos los costos de los esfuerzos realizados para la concesión del producto en un solo </w:t>
      </w:r>
      <w:proofErr w:type="spellStart"/>
      <w:r w:rsidRPr="00554476">
        <w:rPr>
          <w:rFonts w:ascii="Arial" w:eastAsia="LiberationSans-Italic" w:hAnsi="Arial" w:cs="Arial"/>
          <w:i/>
          <w:iCs/>
          <w:sz w:val="20"/>
          <w:szCs w:val="20"/>
        </w:rPr>
        <w:t>comissio</w:t>
      </w:r>
      <w:proofErr w:type="spellEnd"/>
      <w:r w:rsidRPr="00554476">
        <w:rPr>
          <w:rFonts w:ascii="Arial" w:eastAsia="LiberationSans-Italic" w:hAnsi="Arial" w:cs="Arial"/>
          <w:i/>
          <w:iCs/>
          <w:sz w:val="20"/>
          <w:szCs w:val="20"/>
        </w:rPr>
        <w:t xml:space="preserve">; </w:t>
      </w:r>
      <w:proofErr w:type="spellStart"/>
      <w:r w:rsidRPr="00554476">
        <w:rPr>
          <w:rFonts w:ascii="Arial" w:eastAsia="LiberationSans-Italic" w:hAnsi="Arial" w:cs="Arial"/>
          <w:i/>
          <w:iCs/>
          <w:sz w:val="20"/>
          <w:szCs w:val="20"/>
        </w:rPr>
        <w:t>ii</w:t>
      </w:r>
      <w:proofErr w:type="spellEnd"/>
      <w:r w:rsidRPr="00554476">
        <w:rPr>
          <w:rFonts w:ascii="Arial" w:eastAsia="LiberationSans-Italic" w:hAnsi="Arial" w:cs="Arial"/>
          <w:i/>
          <w:iCs/>
          <w:sz w:val="20"/>
          <w:szCs w:val="20"/>
        </w:rPr>
        <w:t>) que se acumulará sólo una vez (excepto para retiros posteriores en caso de un crédito); iii) que previamente se le informó de su existencia al cliente y iv) que su coste está incluido en la TAE.""</w:t>
      </w:r>
    </w:p>
    <w:p w14:paraId="12735A1D" w14:textId="77777777" w:rsidR="00B62948" w:rsidRPr="00554476" w:rsidRDefault="00B62948" w:rsidP="00A34478">
      <w:pPr>
        <w:autoSpaceDE w:val="0"/>
        <w:autoSpaceDN w:val="0"/>
        <w:adjustRightInd w:val="0"/>
        <w:spacing w:after="0" w:line="360" w:lineRule="auto"/>
        <w:jc w:val="both"/>
        <w:rPr>
          <w:rFonts w:ascii="Arial" w:eastAsia="LiberationSans-Italic" w:hAnsi="Arial" w:cs="Arial"/>
          <w:i/>
          <w:iCs/>
          <w:sz w:val="20"/>
          <w:szCs w:val="20"/>
        </w:rPr>
      </w:pPr>
    </w:p>
    <w:p w14:paraId="6E54D131" w14:textId="77777777" w:rsidR="00B62948" w:rsidRPr="00554476" w:rsidRDefault="00B62948" w:rsidP="00A34478">
      <w:pPr>
        <w:autoSpaceDE w:val="0"/>
        <w:autoSpaceDN w:val="0"/>
        <w:adjustRightInd w:val="0"/>
        <w:spacing w:after="0" w:line="360" w:lineRule="auto"/>
        <w:jc w:val="both"/>
        <w:rPr>
          <w:rFonts w:ascii="Arial" w:eastAsia="Calibri" w:hAnsi="Arial" w:cs="Arial"/>
          <w:sz w:val="20"/>
          <w:szCs w:val="20"/>
        </w:rPr>
      </w:pP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r>
      <w:r w:rsidRPr="00554476">
        <w:rPr>
          <w:rFonts w:ascii="Arial" w:eastAsia="LiberationSans-Italic" w:hAnsi="Arial" w:cs="Arial"/>
          <w:i/>
          <w:iCs/>
          <w:sz w:val="20"/>
          <w:szCs w:val="20"/>
        </w:rPr>
        <w:tab/>
        <w:t>(Traducción realizada por esta parte)</w:t>
      </w:r>
    </w:p>
    <w:p w14:paraId="46EA3806" w14:textId="5ABF3CF8" w:rsidR="00B62948" w:rsidRDefault="00B62948" w:rsidP="00554476">
      <w:pPr>
        <w:suppressAutoHyphens/>
        <w:autoSpaceDE w:val="0"/>
        <w:autoSpaceDN w:val="0"/>
        <w:adjustRightInd w:val="0"/>
        <w:spacing w:after="0" w:line="360" w:lineRule="auto"/>
        <w:contextualSpacing/>
        <w:jc w:val="both"/>
        <w:rPr>
          <w:rFonts w:ascii="Arial" w:eastAsia="Calibri" w:hAnsi="Arial" w:cs="Arial"/>
          <w:sz w:val="20"/>
          <w:szCs w:val="20"/>
        </w:rPr>
      </w:pPr>
    </w:p>
    <w:p w14:paraId="08F3DB23" w14:textId="77777777" w:rsidR="00F06949" w:rsidRDefault="00F06949" w:rsidP="00F06949">
      <w:pPr>
        <w:suppressAutoHyphens/>
        <w:autoSpaceDE w:val="0"/>
        <w:autoSpaceDN w:val="0"/>
        <w:adjustRightInd w:val="0"/>
        <w:spacing w:after="0" w:line="360" w:lineRule="auto"/>
        <w:contextualSpacing/>
        <w:jc w:val="both"/>
        <w:rPr>
          <w:rFonts w:ascii="Arial" w:eastAsia="Calibri" w:hAnsi="Arial" w:cs="Arial"/>
          <w:b/>
          <w:sz w:val="20"/>
          <w:szCs w:val="20"/>
        </w:rPr>
      </w:pPr>
    </w:p>
    <w:p w14:paraId="7D05B1AE" w14:textId="2E799272" w:rsidR="00F06949" w:rsidRPr="00554476" w:rsidRDefault="00F06949" w:rsidP="00F06949">
      <w:pPr>
        <w:suppressAutoHyphens/>
        <w:autoSpaceDE w:val="0"/>
        <w:autoSpaceDN w:val="0"/>
        <w:adjustRightInd w:val="0"/>
        <w:spacing w:after="0" w:line="360" w:lineRule="auto"/>
        <w:contextualSpacing/>
        <w:jc w:val="both"/>
        <w:rPr>
          <w:rFonts w:ascii="Arial" w:eastAsia="Calibri" w:hAnsi="Arial" w:cs="Arial"/>
          <w:b/>
          <w:sz w:val="20"/>
          <w:szCs w:val="20"/>
        </w:rPr>
      </w:pPr>
      <w:r w:rsidRPr="00FB264C">
        <w:rPr>
          <w:rFonts w:ascii="Arial" w:eastAsia="Calibri" w:hAnsi="Arial" w:cs="Arial"/>
          <w:b/>
          <w:sz w:val="20"/>
          <w:szCs w:val="20"/>
          <w:u w:val="single"/>
        </w:rPr>
        <w:t>Sentencia de la Audiencia Provincial de Oviedo, de fecha 29 de septiembre de 2020, dictada por la Sección 1ª</w:t>
      </w:r>
      <w:r w:rsidRPr="00554476">
        <w:rPr>
          <w:rFonts w:ascii="Arial" w:eastAsia="Calibri" w:hAnsi="Arial" w:cs="Arial"/>
          <w:b/>
          <w:sz w:val="20"/>
          <w:szCs w:val="20"/>
        </w:rPr>
        <w:t>:</w:t>
      </w:r>
    </w:p>
    <w:p w14:paraId="5E7E64C2" w14:textId="77777777" w:rsidR="00F06949" w:rsidRPr="00554476" w:rsidRDefault="00F06949" w:rsidP="00F06949">
      <w:pPr>
        <w:suppressAutoHyphens/>
        <w:autoSpaceDE w:val="0"/>
        <w:autoSpaceDN w:val="0"/>
        <w:adjustRightInd w:val="0"/>
        <w:spacing w:after="0" w:line="360" w:lineRule="auto"/>
        <w:contextualSpacing/>
        <w:jc w:val="both"/>
        <w:rPr>
          <w:rFonts w:ascii="Arial" w:eastAsia="Calibri" w:hAnsi="Arial" w:cs="Arial"/>
          <w:b/>
          <w:sz w:val="20"/>
          <w:szCs w:val="20"/>
        </w:rPr>
      </w:pPr>
    </w:p>
    <w:p w14:paraId="31EC4CC1" w14:textId="77777777" w:rsidR="00F06949" w:rsidRPr="00554476" w:rsidRDefault="00F06949" w:rsidP="00F06949">
      <w:pPr>
        <w:suppressAutoHyphens/>
        <w:autoSpaceDE w:val="0"/>
        <w:autoSpaceDN w:val="0"/>
        <w:adjustRightInd w:val="0"/>
        <w:spacing w:after="0" w:line="360" w:lineRule="auto"/>
        <w:ind w:left="708"/>
        <w:contextualSpacing/>
        <w:jc w:val="both"/>
        <w:rPr>
          <w:rFonts w:ascii="Arial" w:eastAsia="Calibri" w:hAnsi="Arial" w:cs="Arial"/>
          <w:i/>
          <w:sz w:val="20"/>
          <w:szCs w:val="20"/>
        </w:rPr>
      </w:pPr>
      <w:r w:rsidRPr="00554476">
        <w:rPr>
          <w:rFonts w:ascii="Arial" w:eastAsia="Calibri" w:hAnsi="Arial" w:cs="Arial"/>
          <w:i/>
          <w:sz w:val="20"/>
          <w:szCs w:val="20"/>
        </w:rPr>
        <w:t xml:space="preserve">“La cláusula que contiene la expresada </w:t>
      </w:r>
      <w:r w:rsidRPr="00554476">
        <w:rPr>
          <w:rFonts w:ascii="Arial" w:eastAsia="Calibri" w:hAnsi="Arial" w:cs="Arial"/>
          <w:bCs/>
          <w:i/>
          <w:sz w:val="20"/>
          <w:szCs w:val="20"/>
        </w:rPr>
        <w:t xml:space="preserve">comisión </w:t>
      </w:r>
      <w:r w:rsidRPr="00554476">
        <w:rPr>
          <w:rFonts w:ascii="Arial" w:eastAsia="Calibri" w:hAnsi="Arial" w:cs="Arial"/>
          <w:i/>
          <w:sz w:val="20"/>
          <w:szCs w:val="20"/>
        </w:rPr>
        <w:t xml:space="preserve">no es abusiva si supera el control de transparencia, al constituir junto al interés remuneratorio, las dos partidas principales del precio del préstamo, en cuanto que son las principales retribuciones que recibe la entidad financiera por conceder el préstamo al prestatario, y no corresponden a actuaciones o servicios eventuales. Por ello está excluida del control de contenido, mientras que respecto del de transparencia debe recordarse que, como razona la reseñada sentencia del TS, es de general conocimiento entre los consumidores interesados en contratar un préstamo hipotecario el hecho de que, en la gran mayoría de los préstamos hipotecarios, la entidad bancaria cobra una </w:t>
      </w:r>
      <w:r w:rsidRPr="00554476">
        <w:rPr>
          <w:rFonts w:ascii="Arial" w:eastAsia="Calibri" w:hAnsi="Arial" w:cs="Arial"/>
          <w:bCs/>
          <w:i/>
          <w:sz w:val="20"/>
          <w:szCs w:val="20"/>
        </w:rPr>
        <w:t xml:space="preserve">comisión </w:t>
      </w:r>
      <w:r w:rsidRPr="00554476">
        <w:rPr>
          <w:rFonts w:ascii="Arial" w:eastAsia="Calibri" w:hAnsi="Arial" w:cs="Arial"/>
          <w:i/>
          <w:sz w:val="20"/>
          <w:szCs w:val="20"/>
        </w:rPr>
        <w:t xml:space="preserve">de </w:t>
      </w:r>
      <w:r w:rsidRPr="00554476">
        <w:rPr>
          <w:rFonts w:ascii="Arial" w:eastAsia="Calibri" w:hAnsi="Arial" w:cs="Arial"/>
          <w:bCs/>
          <w:i/>
          <w:sz w:val="20"/>
          <w:szCs w:val="20"/>
        </w:rPr>
        <w:t>apertura</w:t>
      </w:r>
      <w:r w:rsidRPr="00554476">
        <w:rPr>
          <w:rFonts w:ascii="Arial" w:eastAsia="Calibri" w:hAnsi="Arial" w:cs="Arial"/>
          <w:i/>
          <w:sz w:val="20"/>
          <w:szCs w:val="20"/>
        </w:rPr>
        <w:t>, así como que ha de pagarse por entero en el momento inicial del préstamo, lo que hace que el consumidor medio le preste especial atención como parte sustancial del sacrificio económico que le supone la obtención del préstamo. Y en el presente caso, en todos los contratos que son objeto de estudio, su redacción resulta clara y comprensible, lo que obliga a estimar el recurso presentado y desestimar la demanda.”</w:t>
      </w:r>
    </w:p>
    <w:p w14:paraId="7592E150" w14:textId="77777777" w:rsidR="00F06949" w:rsidRPr="00554476" w:rsidRDefault="00F06949" w:rsidP="00554476">
      <w:pPr>
        <w:suppressAutoHyphens/>
        <w:autoSpaceDE w:val="0"/>
        <w:autoSpaceDN w:val="0"/>
        <w:adjustRightInd w:val="0"/>
        <w:spacing w:after="0" w:line="360" w:lineRule="auto"/>
        <w:contextualSpacing/>
        <w:jc w:val="both"/>
        <w:rPr>
          <w:rFonts w:ascii="Arial" w:eastAsia="Calibri" w:hAnsi="Arial" w:cs="Arial"/>
          <w:sz w:val="20"/>
          <w:szCs w:val="20"/>
        </w:rPr>
      </w:pPr>
    </w:p>
    <w:p w14:paraId="711CD3FA" w14:textId="77777777" w:rsidR="00112354" w:rsidRDefault="00112354" w:rsidP="00554476">
      <w:pPr>
        <w:suppressAutoHyphens/>
        <w:autoSpaceDE w:val="0"/>
        <w:autoSpaceDN w:val="0"/>
        <w:adjustRightInd w:val="0"/>
        <w:spacing w:after="0" w:line="360" w:lineRule="auto"/>
        <w:contextualSpacing/>
        <w:jc w:val="both"/>
        <w:rPr>
          <w:rFonts w:ascii="Arial" w:eastAsia="Calibri" w:hAnsi="Arial" w:cs="Arial"/>
          <w:sz w:val="20"/>
          <w:szCs w:val="20"/>
        </w:rPr>
      </w:pPr>
    </w:p>
    <w:p w14:paraId="22740789" w14:textId="65044D78" w:rsidR="00B62948" w:rsidRPr="00554476" w:rsidRDefault="00B62948" w:rsidP="00554476">
      <w:pPr>
        <w:suppressAutoHyphens/>
        <w:autoSpaceDE w:val="0"/>
        <w:autoSpaceDN w:val="0"/>
        <w:adjustRightInd w:val="0"/>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t>Sentencia de la Audiencia Provincial de Valencia, de fecha 5 de marzo de 2018, dictada por la Sección 9ª</w:t>
      </w:r>
      <w:r w:rsidRPr="00FB264C">
        <w:rPr>
          <w:rFonts w:ascii="Arial" w:eastAsia="Calibri" w:hAnsi="Arial" w:cs="Arial"/>
          <w:sz w:val="20"/>
          <w:szCs w:val="20"/>
          <w:u w:val="single"/>
        </w:rPr>
        <w:t>, dictamina que</w:t>
      </w:r>
      <w:r w:rsidRPr="00554476">
        <w:rPr>
          <w:rFonts w:ascii="Arial" w:eastAsia="Calibri" w:hAnsi="Arial" w:cs="Arial"/>
          <w:sz w:val="20"/>
          <w:szCs w:val="20"/>
        </w:rPr>
        <w:t>:</w:t>
      </w:r>
    </w:p>
    <w:p w14:paraId="5851E5F0" w14:textId="77777777" w:rsidR="00B62948" w:rsidRPr="00554476" w:rsidRDefault="00B62948" w:rsidP="00554476">
      <w:pPr>
        <w:autoSpaceDE w:val="0"/>
        <w:autoSpaceDN w:val="0"/>
        <w:adjustRightInd w:val="0"/>
        <w:spacing w:after="0" w:line="360" w:lineRule="auto"/>
        <w:ind w:left="720"/>
        <w:contextualSpacing/>
        <w:jc w:val="both"/>
        <w:rPr>
          <w:rFonts w:ascii="Arial" w:eastAsia="Calibri" w:hAnsi="Arial" w:cs="Arial"/>
          <w:sz w:val="20"/>
          <w:szCs w:val="20"/>
        </w:rPr>
      </w:pPr>
    </w:p>
    <w:p w14:paraId="58EF19DA" w14:textId="77777777" w:rsidR="00B62948" w:rsidRPr="00554476" w:rsidRDefault="00B62948" w:rsidP="0067486A">
      <w:pPr>
        <w:autoSpaceDE w:val="0"/>
        <w:autoSpaceDN w:val="0"/>
        <w:adjustRightInd w:val="0"/>
        <w:spacing w:after="0" w:line="360" w:lineRule="auto"/>
        <w:ind w:left="708"/>
        <w:jc w:val="both"/>
        <w:rPr>
          <w:rFonts w:ascii="Arial" w:eastAsia="Calibri" w:hAnsi="Arial" w:cs="Arial"/>
          <w:i/>
          <w:sz w:val="20"/>
          <w:szCs w:val="20"/>
        </w:rPr>
      </w:pPr>
      <w:r w:rsidRPr="00554476">
        <w:rPr>
          <w:rFonts w:ascii="Arial" w:eastAsia="Calibri" w:hAnsi="Arial" w:cs="Arial"/>
          <w:i/>
          <w:sz w:val="20"/>
          <w:szCs w:val="20"/>
        </w:rPr>
        <w:t xml:space="preserve">“No es este el supuesto examinado aquí, por lo que, concluimos, haciendo propios los argumentos que hemos reproducido anteriormente, que la misma se prevé en normativa nacional y comunitaria, que la cláusula supera el doble control de transparencia, era conocida, y estaba determinado su alcance económico, siendo abonada y aceptada, sin protesta alguna, como parte del precio del contrato, por lo que no cabe sustentar su nulidad, como efectúa la parte demandante, en la mera existencia en el contrato, puesto que no se observa desequilibrio, obedece a actuaciones de averiguación pre-contractuales e, igualmente, deriva de solicitud promovida por la parte que interesa la concesión del préstamo, lo que nos lleva al rechazo de la nulidad acordada y del reintegro subsiguiente, acogiendo tal motivo de recurso”. </w:t>
      </w:r>
    </w:p>
    <w:p w14:paraId="28079C49" w14:textId="5845FA66" w:rsidR="00B62948" w:rsidRPr="00554476" w:rsidRDefault="00B62948" w:rsidP="00554476">
      <w:pPr>
        <w:suppressAutoHyphens/>
        <w:spacing w:after="0" w:line="360" w:lineRule="auto"/>
        <w:contextualSpacing/>
        <w:jc w:val="both"/>
        <w:rPr>
          <w:rFonts w:ascii="Arial" w:eastAsia="Calibri" w:hAnsi="Arial" w:cs="Arial"/>
          <w:b/>
          <w:sz w:val="20"/>
          <w:szCs w:val="20"/>
        </w:rPr>
      </w:pPr>
    </w:p>
    <w:p w14:paraId="6EE27E65" w14:textId="77777777" w:rsidR="00112354" w:rsidRDefault="00112354" w:rsidP="00554476">
      <w:pPr>
        <w:suppressAutoHyphens/>
        <w:spacing w:after="0" w:line="360" w:lineRule="auto"/>
        <w:contextualSpacing/>
        <w:jc w:val="both"/>
        <w:rPr>
          <w:rFonts w:ascii="Arial" w:eastAsia="Calibri" w:hAnsi="Arial" w:cs="Arial"/>
          <w:b/>
          <w:sz w:val="20"/>
          <w:szCs w:val="20"/>
        </w:rPr>
      </w:pPr>
    </w:p>
    <w:p w14:paraId="47036174" w14:textId="143C785F" w:rsidR="00B62948" w:rsidRPr="00FB264C" w:rsidRDefault="00B62948" w:rsidP="00554476">
      <w:pPr>
        <w:suppressAutoHyphens/>
        <w:spacing w:after="0" w:line="360" w:lineRule="auto"/>
        <w:contextualSpacing/>
        <w:jc w:val="both"/>
        <w:rPr>
          <w:rFonts w:ascii="Arial" w:eastAsia="Calibri" w:hAnsi="Arial" w:cs="Arial"/>
          <w:sz w:val="20"/>
          <w:szCs w:val="20"/>
          <w:u w:val="single"/>
        </w:rPr>
      </w:pPr>
      <w:r w:rsidRPr="00FB264C">
        <w:rPr>
          <w:rFonts w:ascii="Arial" w:eastAsia="Calibri" w:hAnsi="Arial" w:cs="Arial"/>
          <w:b/>
          <w:sz w:val="20"/>
          <w:szCs w:val="20"/>
          <w:u w:val="single"/>
        </w:rPr>
        <w:t>Sentencia de la Audiencia Provincial de Lleida, de fecha 9 de julio de 2020, dictada por la Sección ª:</w:t>
      </w:r>
      <w:r w:rsidRPr="00FB264C">
        <w:rPr>
          <w:rFonts w:ascii="Arial" w:eastAsia="Calibri" w:hAnsi="Arial" w:cs="Arial"/>
          <w:sz w:val="20"/>
          <w:szCs w:val="20"/>
          <w:u w:val="single"/>
        </w:rPr>
        <w:t xml:space="preserve"> </w:t>
      </w:r>
    </w:p>
    <w:p w14:paraId="67BE7D2C" w14:textId="77777777" w:rsidR="00B62948" w:rsidRPr="00554476" w:rsidRDefault="00B62948" w:rsidP="00554476">
      <w:pPr>
        <w:suppressAutoHyphens/>
        <w:spacing w:after="0" w:line="360" w:lineRule="auto"/>
        <w:contextualSpacing/>
        <w:jc w:val="both"/>
        <w:rPr>
          <w:rFonts w:ascii="Arial" w:eastAsia="Calibri" w:hAnsi="Arial" w:cs="Arial"/>
          <w:b/>
          <w:i/>
          <w:sz w:val="20"/>
          <w:szCs w:val="20"/>
        </w:rPr>
      </w:pPr>
    </w:p>
    <w:p w14:paraId="11D4FF9E" w14:textId="77777777" w:rsidR="00B62948" w:rsidRPr="00554476" w:rsidRDefault="00B62948" w:rsidP="0067486A">
      <w:pPr>
        <w:autoSpaceDE w:val="0"/>
        <w:autoSpaceDN w:val="0"/>
        <w:adjustRightInd w:val="0"/>
        <w:spacing w:after="0" w:line="360" w:lineRule="auto"/>
        <w:ind w:left="708"/>
        <w:jc w:val="both"/>
        <w:rPr>
          <w:rFonts w:ascii="Arial" w:hAnsi="Arial" w:cs="Arial"/>
          <w:i/>
          <w:sz w:val="20"/>
          <w:szCs w:val="20"/>
        </w:rPr>
      </w:pPr>
      <w:r w:rsidRPr="00554476">
        <w:rPr>
          <w:rFonts w:ascii="Arial" w:hAnsi="Arial" w:cs="Arial"/>
          <w:i/>
          <w:sz w:val="20"/>
          <w:szCs w:val="20"/>
        </w:rPr>
        <w:t>En primer lugar, resulta contradictorio que la Audiencia afirme que la comisión de apertura corresponde a actividades internas inherentes al negocio bancario, lo que implicaría el carácter abusivo de la misma, para a continuación afirmar que no ha quedado probada la realización de tales actividades, y justificar también la improcedencia de cobrar dicha comisión con base en esa ausencia de prueba.</w:t>
      </w:r>
    </w:p>
    <w:p w14:paraId="335F02D4" w14:textId="77777777" w:rsidR="00B62948" w:rsidRPr="00554476" w:rsidRDefault="00B62948" w:rsidP="0067486A">
      <w:pPr>
        <w:autoSpaceDE w:val="0"/>
        <w:autoSpaceDN w:val="0"/>
        <w:adjustRightInd w:val="0"/>
        <w:spacing w:after="0" w:line="360" w:lineRule="auto"/>
        <w:ind w:left="708"/>
        <w:jc w:val="both"/>
        <w:rPr>
          <w:rFonts w:ascii="Arial" w:hAnsi="Arial" w:cs="Arial"/>
          <w:i/>
          <w:sz w:val="20"/>
          <w:szCs w:val="20"/>
        </w:rPr>
      </w:pPr>
    </w:p>
    <w:p w14:paraId="5EFC3BDB" w14:textId="77777777" w:rsidR="00B62948" w:rsidRPr="00554476" w:rsidRDefault="00B62948" w:rsidP="0067486A">
      <w:pPr>
        <w:autoSpaceDE w:val="0"/>
        <w:autoSpaceDN w:val="0"/>
        <w:adjustRightInd w:val="0"/>
        <w:spacing w:after="0" w:line="360" w:lineRule="auto"/>
        <w:ind w:left="708"/>
        <w:jc w:val="both"/>
        <w:rPr>
          <w:rFonts w:ascii="Arial" w:hAnsi="Arial" w:cs="Arial"/>
          <w:i/>
          <w:sz w:val="20"/>
          <w:szCs w:val="20"/>
        </w:rPr>
      </w:pPr>
      <w:r w:rsidRPr="00554476">
        <w:rPr>
          <w:rFonts w:ascii="Arial" w:hAnsi="Arial" w:cs="Arial"/>
          <w:i/>
          <w:sz w:val="20"/>
          <w:szCs w:val="20"/>
        </w:rPr>
        <w:t>En segundo lugar, no puede exigirse que la entidad bancaria, para justificar el cobro de esa parte del precio, haya de probar, en cada préstamo, la existencia de esas actuaciones. La mayoría de estas actuaciones no son prescindibles para el banco porque son exigidas tanto por las normas sobre solvencia bancaria como por las que protegen al consumidor frente al sobreendeudamiento (actualmente, art. 29 de la Ley 2/2011, de 4 de marzo y capítulo 6 de la Directiva 2014/17/UE). Y, en todo caso, la mayor parte de estas actuaciones son imprescindibles para la concesión del préstamo.</w:t>
      </w:r>
    </w:p>
    <w:p w14:paraId="5AA9D168" w14:textId="77777777" w:rsidR="00B62948" w:rsidRPr="00554476" w:rsidRDefault="00B62948" w:rsidP="00554476">
      <w:pPr>
        <w:autoSpaceDE w:val="0"/>
        <w:autoSpaceDN w:val="0"/>
        <w:adjustRightInd w:val="0"/>
        <w:spacing w:after="0" w:line="360" w:lineRule="auto"/>
        <w:jc w:val="both"/>
        <w:rPr>
          <w:rFonts w:ascii="Arial" w:hAnsi="Arial" w:cs="Arial"/>
          <w:sz w:val="20"/>
          <w:szCs w:val="20"/>
        </w:rPr>
      </w:pPr>
    </w:p>
    <w:p w14:paraId="677AA3A0" w14:textId="77777777" w:rsidR="00B62948" w:rsidRPr="00554476" w:rsidRDefault="00B62948" w:rsidP="00554476">
      <w:pPr>
        <w:suppressAutoHyphens/>
        <w:spacing w:after="0" w:line="360" w:lineRule="auto"/>
        <w:contextualSpacing/>
        <w:jc w:val="both"/>
        <w:rPr>
          <w:rFonts w:ascii="Arial" w:hAnsi="Arial" w:cs="Arial"/>
          <w:sz w:val="20"/>
          <w:szCs w:val="20"/>
        </w:rPr>
      </w:pPr>
    </w:p>
    <w:p w14:paraId="66E41048" w14:textId="690AB285" w:rsidR="00B62948" w:rsidRPr="00112354" w:rsidRDefault="00B62948" w:rsidP="00554476">
      <w:pPr>
        <w:suppressAutoHyphens/>
        <w:spacing w:after="0" w:line="360" w:lineRule="auto"/>
        <w:contextualSpacing/>
        <w:jc w:val="both"/>
        <w:rPr>
          <w:rFonts w:ascii="Arial" w:eastAsia="Calibri" w:hAnsi="Arial" w:cs="Arial"/>
          <w:sz w:val="20"/>
          <w:szCs w:val="20"/>
        </w:rPr>
      </w:pPr>
      <w:r w:rsidRPr="00FB264C">
        <w:rPr>
          <w:rFonts w:ascii="Arial" w:eastAsia="Calibri" w:hAnsi="Arial" w:cs="Arial"/>
          <w:b/>
          <w:sz w:val="20"/>
          <w:szCs w:val="20"/>
          <w:u w:val="single"/>
        </w:rPr>
        <w:t>Sentencia de la Audiencia Provincial de Guadalajara, de fecha 18 de diciembre de 2020, dictada por la Sección 1</w:t>
      </w:r>
      <w:r w:rsidRPr="00112354">
        <w:rPr>
          <w:rFonts w:ascii="Arial" w:eastAsia="Calibri" w:hAnsi="Arial" w:cs="Arial"/>
          <w:b/>
          <w:sz w:val="20"/>
          <w:szCs w:val="20"/>
        </w:rPr>
        <w:t xml:space="preserve"> ª:</w:t>
      </w:r>
      <w:r w:rsidRPr="00112354">
        <w:rPr>
          <w:rFonts w:ascii="Arial" w:eastAsia="Calibri" w:hAnsi="Arial" w:cs="Arial"/>
          <w:sz w:val="20"/>
          <w:szCs w:val="20"/>
        </w:rPr>
        <w:t xml:space="preserve"> </w:t>
      </w:r>
    </w:p>
    <w:p w14:paraId="56518E38" w14:textId="77777777" w:rsidR="00B62948" w:rsidRPr="00554476" w:rsidRDefault="00B62948" w:rsidP="00554476">
      <w:pPr>
        <w:suppressAutoHyphens/>
        <w:spacing w:after="0" w:line="360" w:lineRule="auto"/>
        <w:contextualSpacing/>
        <w:jc w:val="both"/>
        <w:rPr>
          <w:rFonts w:ascii="Arial" w:eastAsia="Calibri" w:hAnsi="Arial" w:cs="Arial"/>
          <w:b/>
          <w:sz w:val="20"/>
          <w:szCs w:val="20"/>
        </w:rPr>
      </w:pPr>
    </w:p>
    <w:p w14:paraId="11C9E20C" w14:textId="77777777" w:rsidR="00B62948" w:rsidRPr="00554476" w:rsidRDefault="00B62948" w:rsidP="0067486A">
      <w:pPr>
        <w:spacing w:after="0" w:line="360" w:lineRule="auto"/>
        <w:ind w:left="567" w:right="-1"/>
        <w:jc w:val="both"/>
        <w:rPr>
          <w:rFonts w:ascii="Arial" w:eastAsia="Calibri" w:hAnsi="Arial" w:cs="Arial"/>
          <w:i/>
          <w:sz w:val="20"/>
          <w:szCs w:val="20"/>
        </w:rPr>
      </w:pPr>
      <w:r w:rsidRPr="00554476">
        <w:rPr>
          <w:rFonts w:ascii="Arial" w:eastAsia="Calibri" w:hAnsi="Arial" w:cs="Arial"/>
          <w:i/>
          <w:iCs/>
          <w:sz w:val="20"/>
          <w:szCs w:val="20"/>
        </w:rPr>
        <w:t xml:space="preserve">“En definitiva y como conclusión, de acuerdo con la doctrina del Tribunal Supremo, ajustada a los criterios de la Sentencia del TJUE de 16 de julio de 2020, la comisión de apertura, en atención a su naturaleza y contexto jurídico, es un componente sustancial del precio del préstamo que retribuye un servicio definido normativamente. Mientras que la comisión de apertura, según su configuración legal, compensa todos los servicios </w:t>
      </w:r>
      <w:r w:rsidRPr="00554476">
        <w:rPr>
          <w:rFonts w:ascii="Arial" w:eastAsia="Calibri" w:hAnsi="Arial" w:cs="Arial"/>
          <w:i/>
          <w:iCs/>
          <w:sz w:val="20"/>
          <w:szCs w:val="20"/>
        </w:rPr>
        <w:lastRenderedPageBreak/>
        <w:t xml:space="preserve">necesarios para la preparación y concesión del préstamo, el interés remuneratorio retribuye la disposición del dinero por el prestatario durante la duración del préstamo. </w:t>
      </w:r>
    </w:p>
    <w:p w14:paraId="08F1A8D3" w14:textId="77777777" w:rsidR="00B62948" w:rsidRPr="00554476" w:rsidRDefault="00B62948" w:rsidP="0067486A">
      <w:pPr>
        <w:spacing w:after="0" w:line="360" w:lineRule="auto"/>
        <w:ind w:left="567" w:right="-1"/>
        <w:jc w:val="both"/>
        <w:rPr>
          <w:rFonts w:ascii="Arial" w:eastAsia="Calibri" w:hAnsi="Arial" w:cs="Arial"/>
          <w:i/>
          <w:sz w:val="20"/>
          <w:szCs w:val="20"/>
        </w:rPr>
      </w:pPr>
      <w:r w:rsidRPr="00554476">
        <w:rPr>
          <w:rFonts w:ascii="Arial" w:eastAsia="Calibri" w:hAnsi="Arial" w:cs="Arial"/>
          <w:i/>
          <w:sz w:val="20"/>
          <w:szCs w:val="20"/>
        </w:rPr>
        <w:t xml:space="preserve">En atención a ello la cláusula estaría únicamente sujeta a un control de incorporación y transparencia material, resultando que la misma aparece con claridad en la escritura. Se encuentra redactada de manera clara y comprensible al establecer que el préstamo concedido devengará a favor de la Caja una comisión del 1’00 por ciento en concepto de comisión de apertura, pagadero por una sola vez, a la formalización del préstamo, sin necesidad de aviso ni reclamación, de modo que el consumidor puede conocer la carga jurídica y económica que le supone, máxime cuando su abono debe hacerse al tiempo en que se concierta el préstamo, y por tanto su importe no puede serle ajeno en tanto es parte del sacrificio económico que le supone la obtención del préstamo. </w:t>
      </w:r>
    </w:p>
    <w:p w14:paraId="39E65E8D" w14:textId="77777777" w:rsidR="00B62948" w:rsidRPr="00554476" w:rsidRDefault="00B62948" w:rsidP="0067486A">
      <w:pPr>
        <w:spacing w:after="0" w:line="360" w:lineRule="auto"/>
        <w:ind w:left="567" w:right="-1"/>
        <w:jc w:val="both"/>
        <w:rPr>
          <w:rFonts w:ascii="Arial" w:eastAsia="Calibri" w:hAnsi="Arial" w:cs="Arial"/>
          <w:i/>
          <w:sz w:val="20"/>
          <w:szCs w:val="20"/>
        </w:rPr>
      </w:pPr>
      <w:r w:rsidRPr="00554476">
        <w:rPr>
          <w:rFonts w:ascii="Arial" w:eastAsia="Calibri" w:hAnsi="Arial" w:cs="Arial"/>
          <w:i/>
          <w:sz w:val="20"/>
          <w:szCs w:val="20"/>
        </w:rPr>
        <w:t xml:space="preserve">En cualquier caso y aun entendiendo que está sujeta también a un control de contenido, tampoco cabe apreciar la existencia de un desequilibrio que permita establecer su </w:t>
      </w:r>
      <w:proofErr w:type="spellStart"/>
      <w:r w:rsidRPr="00554476">
        <w:rPr>
          <w:rFonts w:ascii="Arial" w:eastAsia="Calibri" w:hAnsi="Arial" w:cs="Arial"/>
          <w:i/>
          <w:sz w:val="20"/>
          <w:szCs w:val="20"/>
        </w:rPr>
        <w:t>abusividad</w:t>
      </w:r>
      <w:proofErr w:type="spellEnd"/>
      <w:r w:rsidRPr="00554476">
        <w:rPr>
          <w:rFonts w:ascii="Arial" w:eastAsia="Calibri" w:hAnsi="Arial" w:cs="Arial"/>
          <w:i/>
          <w:sz w:val="20"/>
          <w:szCs w:val="20"/>
        </w:rPr>
        <w:t>. Obra en autos un estudio económico de los costes directos y de estudios y formalización de créditos para el ejercicio 2017, en el que se concluye que estos importes superan el 1% del importe formalizado del crédito, y que dicho porcentaje puede ser extrapolado a ejercicios anteriores. Y si bien es cierto que como se viene a indicar en la Sentencia no es un informe al caso concreto, no lo es menos que los servicios se prestan por los propios empleados de la entidad, y como se ha señalado por el Tribunal Supremo, la comisión de apertura compensa todas las actuaciones llevadas a cabo por la entidad financiera para la concesión del crédito (estudio de solvencia y garantías, preparación y tramitación de la documentación, concesión), conforme a la normativa que la regula (sucesivamente, Circular 8/1990, de 7 de septiembre, Orden de 5 de mayo de 1994, Ley 2/2009, de 31 de marzo, Orden EHA/2899/2011/, de 28 de octubre, Circular 5/2012 de 27 de junio), tratándose de actuaciones inherentes y efectivas para la concesión del préstamo o crédito. Por tanto, con la comisión de apertura vendrían a retribuirse aquellas operaciones necesarias para la concesión del préstamo distintas de la misma disposición del dinero prestado, de modo que teniendo en cuenta la naturaleza de tales actos, del mismo hecho de la contratación del préstamo cabría inferir ya la realidad de las operaciones de entidad financiera necesarias para la concesión. Es por ello que la s. T.S. 44/2019 señalaba que el principio de «realidad del servicio remunerado» no exige, en el caso de la comisión de apertura, nada distinto de la propia concesión del préstamo.”</w:t>
      </w:r>
    </w:p>
    <w:p w14:paraId="55C60E07" w14:textId="77777777" w:rsidR="00B62948" w:rsidRPr="00554476" w:rsidRDefault="00B62948" w:rsidP="00554476">
      <w:pPr>
        <w:suppressAutoHyphens/>
        <w:spacing w:after="0" w:line="360" w:lineRule="auto"/>
        <w:contextualSpacing/>
        <w:jc w:val="both"/>
        <w:rPr>
          <w:rFonts w:ascii="Arial" w:eastAsia="Calibri" w:hAnsi="Arial" w:cs="Arial"/>
          <w:sz w:val="20"/>
          <w:szCs w:val="20"/>
        </w:rPr>
      </w:pPr>
    </w:p>
    <w:p w14:paraId="38E7EFD6" w14:textId="77777777" w:rsidR="00112354" w:rsidRDefault="00112354" w:rsidP="00554476">
      <w:pPr>
        <w:suppressAutoHyphens/>
        <w:spacing w:after="0" w:line="360" w:lineRule="auto"/>
        <w:contextualSpacing/>
        <w:jc w:val="both"/>
        <w:rPr>
          <w:rFonts w:ascii="Arial" w:eastAsia="Calibri" w:hAnsi="Arial" w:cs="Arial"/>
          <w:b/>
          <w:sz w:val="20"/>
          <w:szCs w:val="20"/>
        </w:rPr>
      </w:pPr>
    </w:p>
    <w:p w14:paraId="2A151556" w14:textId="25F8126F" w:rsidR="00B62948" w:rsidRPr="00FB264C" w:rsidRDefault="00B62948" w:rsidP="00554476">
      <w:pPr>
        <w:suppressAutoHyphens/>
        <w:spacing w:after="0" w:line="360" w:lineRule="auto"/>
        <w:contextualSpacing/>
        <w:jc w:val="both"/>
        <w:rPr>
          <w:rFonts w:ascii="Arial" w:eastAsia="Calibri" w:hAnsi="Arial" w:cs="Arial"/>
          <w:b/>
          <w:sz w:val="20"/>
          <w:szCs w:val="20"/>
          <w:u w:val="single"/>
        </w:rPr>
      </w:pPr>
      <w:r w:rsidRPr="00FB264C">
        <w:rPr>
          <w:rFonts w:ascii="Arial" w:eastAsia="Calibri" w:hAnsi="Arial" w:cs="Arial"/>
          <w:b/>
          <w:sz w:val="20"/>
          <w:szCs w:val="20"/>
          <w:u w:val="single"/>
        </w:rPr>
        <w:t>Sentencia de la Audiencia Provincial de Toledo, de fecha 21 de julio</w:t>
      </w:r>
      <w:r w:rsidR="00572AFA" w:rsidRPr="00FB264C">
        <w:rPr>
          <w:rFonts w:ascii="Arial" w:eastAsia="Calibri" w:hAnsi="Arial" w:cs="Arial"/>
          <w:b/>
          <w:sz w:val="20"/>
          <w:szCs w:val="20"/>
          <w:u w:val="single"/>
        </w:rPr>
        <w:t xml:space="preserve"> </w:t>
      </w:r>
      <w:r w:rsidRPr="00FB264C">
        <w:rPr>
          <w:rFonts w:ascii="Arial" w:eastAsia="Calibri" w:hAnsi="Arial" w:cs="Arial"/>
          <w:b/>
          <w:sz w:val="20"/>
          <w:szCs w:val="20"/>
          <w:u w:val="single"/>
        </w:rPr>
        <w:t xml:space="preserve">de 2020, dictada por la Sección 1ª: </w:t>
      </w:r>
    </w:p>
    <w:p w14:paraId="05E04236" w14:textId="77777777" w:rsidR="00B62948" w:rsidRPr="00554476" w:rsidRDefault="00B62948" w:rsidP="00554476">
      <w:pPr>
        <w:suppressAutoHyphens/>
        <w:spacing w:after="0" w:line="360" w:lineRule="auto"/>
        <w:contextualSpacing/>
        <w:jc w:val="both"/>
        <w:rPr>
          <w:rFonts w:ascii="Arial" w:eastAsia="Calibri" w:hAnsi="Arial" w:cs="Arial"/>
          <w:sz w:val="20"/>
          <w:szCs w:val="20"/>
        </w:rPr>
      </w:pPr>
    </w:p>
    <w:p w14:paraId="0758CD6A" w14:textId="77777777" w:rsidR="00B62948" w:rsidRPr="00554476" w:rsidRDefault="00B62948" w:rsidP="00554476">
      <w:pPr>
        <w:autoSpaceDE w:val="0"/>
        <w:autoSpaceDN w:val="0"/>
        <w:adjustRightInd w:val="0"/>
        <w:spacing w:after="0" w:line="360" w:lineRule="auto"/>
        <w:ind w:left="708"/>
        <w:jc w:val="both"/>
        <w:rPr>
          <w:rFonts w:ascii="Arial" w:hAnsi="Arial" w:cs="Arial"/>
          <w:sz w:val="20"/>
          <w:szCs w:val="20"/>
        </w:rPr>
      </w:pPr>
      <w:r w:rsidRPr="00554476">
        <w:rPr>
          <w:rFonts w:ascii="Arial" w:hAnsi="Arial" w:cs="Arial"/>
          <w:sz w:val="20"/>
          <w:szCs w:val="20"/>
        </w:rPr>
        <w:t xml:space="preserve">En tanto que componente sustancial del precio del préstamo, la cláusula que establece la comisión de apertura está excluida del control de contenido. No es procedente que el juez realice un control de precios, que pueda anular una cláusula que establece el precio </w:t>
      </w:r>
      <w:r w:rsidRPr="00554476">
        <w:rPr>
          <w:rFonts w:ascii="Arial" w:hAnsi="Arial" w:cs="Arial"/>
          <w:sz w:val="20"/>
          <w:szCs w:val="20"/>
        </w:rPr>
        <w:lastRenderedPageBreak/>
        <w:t xml:space="preserve">porque este resulta desproporcionado a la prestación. Tal exclusión resulta del art. 4.2 de la Directiva 93/13 (y de su desarrollo en Derecho interno mediante la sustitución de la expresión "justo equilibrio de las contraprestaciones" por "desequilibrio importante de los derechos y obligaciones" en la Ley General para la Defensa de los Consumidores y Usuarios, como han declarado sentencias de esta sala 406/2012, de 18 de junio, 241/2013, de 9 de mayo, y 669/2017, de 14 de diciembre) y de la jurisprudencia del TJUE que lo ha interpretado, representada por las sentencias de 30 de abril de 2014, asunto C-26/13, caso Árpád </w:t>
      </w:r>
      <w:proofErr w:type="spellStart"/>
      <w:r w:rsidRPr="00554476">
        <w:rPr>
          <w:rFonts w:ascii="Arial" w:hAnsi="Arial" w:cs="Arial"/>
          <w:sz w:val="20"/>
          <w:szCs w:val="20"/>
        </w:rPr>
        <w:t>Kásler</w:t>
      </w:r>
      <w:proofErr w:type="spellEnd"/>
      <w:r w:rsidRPr="00554476">
        <w:rPr>
          <w:rFonts w:ascii="Arial" w:hAnsi="Arial" w:cs="Arial"/>
          <w:sz w:val="20"/>
          <w:szCs w:val="20"/>
        </w:rPr>
        <w:t xml:space="preserve"> y </w:t>
      </w:r>
      <w:proofErr w:type="spellStart"/>
      <w:r w:rsidRPr="00554476">
        <w:rPr>
          <w:rFonts w:ascii="Arial" w:hAnsi="Arial" w:cs="Arial"/>
          <w:sz w:val="20"/>
          <w:szCs w:val="20"/>
        </w:rPr>
        <w:t>Hajnalka</w:t>
      </w:r>
      <w:proofErr w:type="spellEnd"/>
      <w:r w:rsidRPr="00554476">
        <w:rPr>
          <w:rFonts w:ascii="Arial" w:hAnsi="Arial" w:cs="Arial"/>
          <w:sz w:val="20"/>
          <w:szCs w:val="20"/>
        </w:rPr>
        <w:t xml:space="preserve"> </w:t>
      </w:r>
      <w:proofErr w:type="spellStart"/>
      <w:r w:rsidRPr="00554476">
        <w:rPr>
          <w:rFonts w:ascii="Arial" w:hAnsi="Arial" w:cs="Arial"/>
          <w:sz w:val="20"/>
          <w:szCs w:val="20"/>
        </w:rPr>
        <w:t>Káslerné</w:t>
      </w:r>
      <w:proofErr w:type="spellEnd"/>
      <w:r w:rsidRPr="00554476">
        <w:rPr>
          <w:rFonts w:ascii="Arial" w:hAnsi="Arial" w:cs="Arial"/>
          <w:sz w:val="20"/>
          <w:szCs w:val="20"/>
        </w:rPr>
        <w:t xml:space="preserve"> </w:t>
      </w:r>
      <w:proofErr w:type="spellStart"/>
      <w:r w:rsidRPr="00554476">
        <w:rPr>
          <w:rFonts w:ascii="Arial" w:hAnsi="Arial" w:cs="Arial"/>
          <w:sz w:val="20"/>
          <w:szCs w:val="20"/>
        </w:rPr>
        <w:t>Rábai</w:t>
      </w:r>
      <w:proofErr w:type="spellEnd"/>
      <w:r w:rsidRPr="00554476">
        <w:rPr>
          <w:rFonts w:ascii="Arial" w:hAnsi="Arial" w:cs="Arial"/>
          <w:sz w:val="20"/>
          <w:szCs w:val="20"/>
        </w:rPr>
        <w:t xml:space="preserve"> , y 26 de febrero de 2015, asunto C-143/13, </w:t>
      </w:r>
      <w:proofErr w:type="spellStart"/>
      <w:r w:rsidRPr="00554476">
        <w:rPr>
          <w:rFonts w:ascii="Arial" w:hAnsi="Arial" w:cs="Arial"/>
          <w:sz w:val="20"/>
          <w:szCs w:val="20"/>
        </w:rPr>
        <w:t>casoBogdan</w:t>
      </w:r>
      <w:proofErr w:type="spellEnd"/>
      <w:r w:rsidRPr="00554476">
        <w:rPr>
          <w:rFonts w:ascii="Arial" w:hAnsi="Arial" w:cs="Arial"/>
          <w:sz w:val="20"/>
          <w:szCs w:val="20"/>
        </w:rPr>
        <w:t xml:space="preserve"> </w:t>
      </w:r>
      <w:proofErr w:type="spellStart"/>
      <w:r w:rsidRPr="00554476">
        <w:rPr>
          <w:rFonts w:ascii="Arial" w:hAnsi="Arial" w:cs="Arial"/>
          <w:sz w:val="20"/>
          <w:szCs w:val="20"/>
        </w:rPr>
        <w:t>Matei</w:t>
      </w:r>
      <w:proofErr w:type="spellEnd"/>
      <w:r w:rsidRPr="00554476">
        <w:rPr>
          <w:rFonts w:ascii="Arial" w:hAnsi="Arial" w:cs="Arial"/>
          <w:sz w:val="20"/>
          <w:szCs w:val="20"/>
        </w:rPr>
        <w:t xml:space="preserve"> e </w:t>
      </w:r>
      <w:proofErr w:type="spellStart"/>
      <w:r w:rsidRPr="00554476">
        <w:rPr>
          <w:rFonts w:ascii="Arial" w:hAnsi="Arial" w:cs="Arial"/>
          <w:sz w:val="20"/>
          <w:szCs w:val="20"/>
        </w:rPr>
        <w:t>Ioana</w:t>
      </w:r>
      <w:proofErr w:type="spellEnd"/>
      <w:r w:rsidRPr="00554476">
        <w:rPr>
          <w:rFonts w:ascii="Arial" w:hAnsi="Arial" w:cs="Arial"/>
          <w:sz w:val="20"/>
          <w:szCs w:val="20"/>
        </w:rPr>
        <w:t xml:space="preserve"> Ofelia </w:t>
      </w:r>
      <w:proofErr w:type="spellStart"/>
      <w:r w:rsidRPr="00554476">
        <w:rPr>
          <w:rFonts w:ascii="Arial" w:hAnsi="Arial" w:cs="Arial"/>
          <w:sz w:val="20"/>
          <w:szCs w:val="20"/>
        </w:rPr>
        <w:t>Matei</w:t>
      </w:r>
      <w:proofErr w:type="spellEnd"/>
      <w:r w:rsidRPr="00554476">
        <w:rPr>
          <w:rFonts w:ascii="Arial" w:hAnsi="Arial" w:cs="Arial"/>
          <w:sz w:val="20"/>
          <w:szCs w:val="20"/>
        </w:rPr>
        <w:t xml:space="preserve"> (...) La comisión de apertura no es uno más de los posibles pagos que eventualmente deba realizar el prestatario por el disfrute del préstamo (como era el caso de la "comisión de riesgo" objeto de la citada sentencia del TJUE de 26 febrero de 2015) sino que constituye, junto con el interés remuneratorio, uno de los dos principales pagos que el prestatario ha de pagar por la concesión y disfrute del préstamo, por lo que entra de lleno en la previsión del art. 4.2 de la Directiva 93/13 interpretado en los términos estrictos que exige el TJUE."</w:t>
      </w:r>
    </w:p>
    <w:p w14:paraId="43EFE96E" w14:textId="61A91B69" w:rsidR="0067486A" w:rsidRDefault="0067486A" w:rsidP="00554476">
      <w:pPr>
        <w:spacing w:after="0" w:line="360" w:lineRule="auto"/>
        <w:jc w:val="both"/>
        <w:rPr>
          <w:rFonts w:ascii="Arial" w:eastAsia="Calibri" w:hAnsi="Arial" w:cs="Arial"/>
          <w:sz w:val="20"/>
          <w:szCs w:val="20"/>
        </w:rPr>
      </w:pPr>
    </w:p>
    <w:p w14:paraId="4BBA41AA" w14:textId="77777777" w:rsidR="00B62948" w:rsidRPr="00554476" w:rsidRDefault="00B62948" w:rsidP="00554476">
      <w:pPr>
        <w:spacing w:after="0" w:line="360" w:lineRule="auto"/>
        <w:jc w:val="both"/>
        <w:rPr>
          <w:rFonts w:ascii="Arial" w:eastAsia="Calibri" w:hAnsi="Arial" w:cs="Arial"/>
          <w:sz w:val="20"/>
          <w:szCs w:val="20"/>
        </w:rPr>
      </w:pPr>
    </w:p>
    <w:p w14:paraId="437606C7" w14:textId="1B0CA980" w:rsidR="00B62948" w:rsidRPr="00112354" w:rsidRDefault="00B62948" w:rsidP="00554476">
      <w:pPr>
        <w:spacing w:after="0" w:line="360" w:lineRule="auto"/>
        <w:jc w:val="both"/>
        <w:rPr>
          <w:rFonts w:ascii="Arial" w:eastAsia="Calibri" w:hAnsi="Arial" w:cs="Arial"/>
          <w:b/>
          <w:sz w:val="20"/>
          <w:szCs w:val="20"/>
        </w:rPr>
      </w:pPr>
      <w:r w:rsidRPr="00FB264C">
        <w:rPr>
          <w:rFonts w:ascii="Arial" w:eastAsia="Calibri" w:hAnsi="Arial" w:cs="Arial"/>
          <w:b/>
          <w:sz w:val="20"/>
          <w:szCs w:val="20"/>
          <w:u w:val="single"/>
        </w:rPr>
        <w:t>Sentencia de la Audiencia Provincial de Madrid, de fecha 18 de septiembre de 2020, dictada por la Sección 28</w:t>
      </w:r>
      <w:r w:rsidRPr="00112354">
        <w:rPr>
          <w:rFonts w:ascii="Arial" w:eastAsia="Calibri" w:hAnsi="Arial" w:cs="Arial"/>
          <w:b/>
          <w:sz w:val="20"/>
          <w:szCs w:val="20"/>
        </w:rPr>
        <w:t>:</w:t>
      </w:r>
    </w:p>
    <w:p w14:paraId="5644C8A8" w14:textId="77777777" w:rsidR="0067486A" w:rsidRPr="00554476" w:rsidRDefault="0067486A" w:rsidP="00554476">
      <w:pPr>
        <w:spacing w:after="0" w:line="360" w:lineRule="auto"/>
        <w:jc w:val="both"/>
        <w:rPr>
          <w:rFonts w:ascii="Arial" w:eastAsia="Calibri" w:hAnsi="Arial" w:cs="Arial"/>
          <w:sz w:val="20"/>
          <w:szCs w:val="20"/>
        </w:rPr>
      </w:pPr>
    </w:p>
    <w:p w14:paraId="21EEC8FA" w14:textId="77777777" w:rsidR="00B62948" w:rsidRPr="00554476" w:rsidRDefault="00B62948" w:rsidP="00554476">
      <w:pPr>
        <w:spacing w:after="0" w:line="360" w:lineRule="auto"/>
        <w:ind w:left="708"/>
        <w:jc w:val="both"/>
        <w:rPr>
          <w:rFonts w:ascii="Arial" w:hAnsi="Arial" w:cs="Arial"/>
          <w:bCs/>
          <w:i/>
          <w:sz w:val="20"/>
          <w:szCs w:val="20"/>
          <w:lang w:bidi="es-ES"/>
        </w:rPr>
      </w:pPr>
      <w:r w:rsidRPr="00554476">
        <w:rPr>
          <w:rFonts w:ascii="Arial" w:hAnsi="Arial" w:cs="Arial"/>
          <w:bCs/>
          <w:i/>
          <w:sz w:val="20"/>
          <w:szCs w:val="20"/>
          <w:lang w:bidi="es-ES"/>
        </w:rPr>
        <w:t>“La comisión de apertura fue analizada en la STS 44/2019, de 23 de enero, que reconoció su validez.</w:t>
      </w:r>
    </w:p>
    <w:p w14:paraId="60A0D9A3" w14:textId="77777777" w:rsidR="00B62948" w:rsidRPr="00554476" w:rsidRDefault="00B62948" w:rsidP="00554476">
      <w:pPr>
        <w:spacing w:after="0" w:line="360" w:lineRule="auto"/>
        <w:ind w:left="708"/>
        <w:jc w:val="both"/>
        <w:rPr>
          <w:rFonts w:ascii="Arial" w:hAnsi="Arial" w:cs="Arial"/>
          <w:bCs/>
          <w:i/>
          <w:sz w:val="20"/>
          <w:szCs w:val="20"/>
          <w:lang w:bidi="es-ES"/>
        </w:rPr>
      </w:pPr>
      <w:r w:rsidRPr="00554476">
        <w:rPr>
          <w:rFonts w:ascii="Arial" w:hAnsi="Arial" w:cs="Arial"/>
          <w:bCs/>
          <w:i/>
          <w:sz w:val="20"/>
          <w:szCs w:val="20"/>
          <w:lang w:bidi="es-ES"/>
        </w:rPr>
        <w:t>La sentencia considera que la comisión de apertura (derivada de los gastos de estudio, de concesión, o de tramitación del préstamo hipotecario u otros similares inherentes a la actividad de la entidad prestamista ocasionada por la concesión del préstamo) es un componente sustancial del precio del préstamo, de manera que se incluye entre las excepciones previstas en el artículo 4.2 de la Directiva 93/13, no estando sujeta al control de contenido. Constituye, junto al interés remuneratorio, uno de los dos principales pagos que el prestatario ha de pagar por la concesión y disfrute del préstamo.</w:t>
      </w:r>
    </w:p>
    <w:p w14:paraId="15CA329C" w14:textId="77777777" w:rsidR="00B62948" w:rsidRPr="00554476" w:rsidRDefault="00B62948" w:rsidP="00554476">
      <w:pPr>
        <w:spacing w:after="0" w:line="360" w:lineRule="auto"/>
        <w:ind w:left="708"/>
        <w:jc w:val="both"/>
        <w:rPr>
          <w:rFonts w:ascii="Arial" w:hAnsi="Arial" w:cs="Arial"/>
          <w:bCs/>
          <w:i/>
          <w:sz w:val="20"/>
          <w:szCs w:val="20"/>
          <w:lang w:bidi="es-ES"/>
        </w:rPr>
      </w:pPr>
      <w:r w:rsidRPr="00554476">
        <w:rPr>
          <w:rFonts w:ascii="Arial" w:hAnsi="Arial" w:cs="Arial"/>
          <w:bCs/>
          <w:i/>
          <w:sz w:val="20"/>
          <w:szCs w:val="20"/>
          <w:lang w:bidi="es-ES"/>
        </w:rPr>
        <w:t>…</w:t>
      </w:r>
    </w:p>
    <w:p w14:paraId="09044FD6" w14:textId="77777777" w:rsidR="00B62948" w:rsidRPr="00554476" w:rsidRDefault="00B62948" w:rsidP="00554476">
      <w:pPr>
        <w:spacing w:after="0" w:line="360" w:lineRule="auto"/>
        <w:ind w:left="708"/>
        <w:jc w:val="both"/>
        <w:rPr>
          <w:rFonts w:ascii="Arial" w:hAnsi="Arial" w:cs="Arial"/>
          <w:bCs/>
          <w:i/>
          <w:sz w:val="20"/>
          <w:szCs w:val="20"/>
          <w:lang w:bidi="es-ES"/>
        </w:rPr>
      </w:pPr>
      <w:r w:rsidRPr="00554476">
        <w:rPr>
          <w:rFonts w:ascii="Arial" w:hAnsi="Arial" w:cs="Arial"/>
          <w:bCs/>
          <w:i/>
          <w:sz w:val="20"/>
          <w:szCs w:val="20"/>
          <w:lang w:bidi="es-ES"/>
        </w:rPr>
        <w:t xml:space="preserve">De este tratamiento concluye que </w:t>
      </w:r>
      <w:r w:rsidRPr="00554476">
        <w:rPr>
          <w:rFonts w:ascii="Arial" w:hAnsi="Arial" w:cs="Arial"/>
          <w:bCs/>
          <w:i/>
          <w:sz w:val="20"/>
          <w:szCs w:val="20"/>
          <w:u w:val="single"/>
          <w:lang w:bidi="es-ES"/>
        </w:rPr>
        <w:t xml:space="preserve">no puede exigirse que la entidad bancaria, para justificar el cobro de esta parte del precio, haya de probar, en cada préstamo, la existencia de estas actuaciones, </w:t>
      </w:r>
      <w:r w:rsidRPr="00554476">
        <w:rPr>
          <w:rFonts w:ascii="Arial" w:hAnsi="Arial" w:cs="Arial"/>
          <w:bCs/>
          <w:i/>
          <w:sz w:val="20"/>
          <w:szCs w:val="20"/>
          <w:lang w:bidi="es-ES"/>
        </w:rPr>
        <w:t>que en su mayoría son exigidas tanto por las normas sobre solvencia bancaria como por las que protegen al consumidor frente al sobreendeudamiento y son imprescindibles para la concesión del préstamo.”</w:t>
      </w:r>
    </w:p>
    <w:p w14:paraId="05776AF6" w14:textId="77777777" w:rsidR="00B62948" w:rsidRPr="00554476" w:rsidRDefault="00B62948" w:rsidP="0067486A">
      <w:pPr>
        <w:spacing w:after="0" w:line="360" w:lineRule="auto"/>
        <w:jc w:val="right"/>
        <w:rPr>
          <w:rFonts w:ascii="Arial" w:hAnsi="Arial" w:cs="Arial"/>
          <w:bCs/>
          <w:sz w:val="20"/>
          <w:szCs w:val="20"/>
          <w:lang w:bidi="es-ES"/>
        </w:rPr>
      </w:pPr>
      <w:r w:rsidRPr="00554476">
        <w:rPr>
          <w:rFonts w:ascii="Arial" w:hAnsi="Arial" w:cs="Arial"/>
          <w:bCs/>
          <w:sz w:val="20"/>
          <w:szCs w:val="20"/>
          <w:lang w:bidi="es-ES"/>
        </w:rPr>
        <w:t xml:space="preserve">                                                                                                 (el subrayado es nuestro)</w:t>
      </w:r>
    </w:p>
    <w:p w14:paraId="514F04E8" w14:textId="77777777" w:rsidR="00B62948" w:rsidRPr="00554476" w:rsidRDefault="00B62948" w:rsidP="00554476">
      <w:pPr>
        <w:spacing w:after="0" w:line="360" w:lineRule="auto"/>
        <w:jc w:val="both"/>
        <w:rPr>
          <w:rFonts w:ascii="Arial" w:hAnsi="Arial" w:cs="Arial"/>
          <w:bCs/>
          <w:sz w:val="20"/>
          <w:szCs w:val="20"/>
          <w:lang w:bidi="es-ES"/>
        </w:rPr>
      </w:pPr>
    </w:p>
    <w:p w14:paraId="5F7C1232" w14:textId="77777777" w:rsidR="00B62948" w:rsidRPr="00554476" w:rsidRDefault="00B62948" w:rsidP="00554476">
      <w:pPr>
        <w:spacing w:after="0" w:line="360" w:lineRule="auto"/>
        <w:jc w:val="both"/>
        <w:rPr>
          <w:rFonts w:ascii="Arial" w:eastAsia="Calibri" w:hAnsi="Arial" w:cs="Arial"/>
          <w:sz w:val="20"/>
          <w:szCs w:val="20"/>
        </w:rPr>
      </w:pPr>
    </w:p>
    <w:p w14:paraId="35D2E0CE" w14:textId="58FEA46A" w:rsidR="00B62948" w:rsidRDefault="00B62948"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Las Audiencias Provinciales consideran la cláusula valida y lícita ya que nos encontramos ante un servicio efectivamente prestado y aceptado por el prestatario. </w:t>
      </w:r>
    </w:p>
    <w:p w14:paraId="3BF658BD" w14:textId="77777777" w:rsidR="0067486A" w:rsidRPr="00554476" w:rsidRDefault="0067486A" w:rsidP="00554476">
      <w:pPr>
        <w:spacing w:after="0" w:line="360" w:lineRule="auto"/>
        <w:jc w:val="both"/>
        <w:rPr>
          <w:rFonts w:ascii="Arial" w:eastAsia="Calibri" w:hAnsi="Arial" w:cs="Arial"/>
          <w:sz w:val="20"/>
          <w:szCs w:val="20"/>
        </w:rPr>
      </w:pPr>
    </w:p>
    <w:p w14:paraId="7607141A" w14:textId="77777777" w:rsidR="00B62948" w:rsidRPr="00554476" w:rsidRDefault="00B62948"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conclusión, como hemos venido reiterando y resulta perfectamente acreditado, nos encontramos ante una cláusula que en ningún caso puede ser consideraba abusiva, pues constituye, tal y como refiere la </w:t>
      </w:r>
      <w:r w:rsidRPr="00554476">
        <w:rPr>
          <w:rFonts w:ascii="Arial" w:eastAsia="Calibri" w:hAnsi="Arial" w:cs="Arial"/>
          <w:b/>
          <w:spacing w:val="4"/>
          <w:sz w:val="20"/>
          <w:szCs w:val="20"/>
          <w:u w:val="single"/>
        </w:rPr>
        <w:t>Sentencia del Tribunal Supremo nº 44/2019, de 23 de enero de 2019</w:t>
      </w:r>
      <w:r w:rsidRPr="00554476">
        <w:rPr>
          <w:rFonts w:ascii="Arial" w:eastAsia="Calibri" w:hAnsi="Arial" w:cs="Arial"/>
          <w:b/>
          <w:spacing w:val="4"/>
          <w:sz w:val="20"/>
          <w:szCs w:val="20"/>
        </w:rPr>
        <w:t>, “</w:t>
      </w:r>
      <w:r w:rsidRPr="00554476">
        <w:rPr>
          <w:rFonts w:ascii="Arial" w:eastAsia="Calibri" w:hAnsi="Arial" w:cs="Arial"/>
          <w:b/>
          <w:i/>
          <w:spacing w:val="4"/>
          <w:sz w:val="20"/>
          <w:szCs w:val="20"/>
        </w:rPr>
        <w:t>junto con el interés remuneratorio, uno de los dos principales pagos que el prestatario ha de pagar por la concesión y disfrute del préstamo, por lo que entra de lleno en la previsión del art. 4.2 de la Directiva 93/13 interpretado en los términos estrictos que exige el TJUE</w:t>
      </w:r>
      <w:r w:rsidRPr="00554476">
        <w:rPr>
          <w:rFonts w:ascii="Arial" w:eastAsia="Calibri" w:hAnsi="Arial" w:cs="Arial"/>
          <w:spacing w:val="4"/>
          <w:sz w:val="20"/>
          <w:szCs w:val="20"/>
        </w:rPr>
        <w:t>” (sic número 22).</w:t>
      </w:r>
    </w:p>
    <w:p w14:paraId="089B1E69" w14:textId="77777777" w:rsidR="00B62948" w:rsidRPr="00554476" w:rsidRDefault="00B62948" w:rsidP="00554476">
      <w:pPr>
        <w:autoSpaceDE w:val="0"/>
        <w:autoSpaceDN w:val="0"/>
        <w:spacing w:after="0" w:line="360" w:lineRule="auto"/>
        <w:jc w:val="both"/>
        <w:rPr>
          <w:rFonts w:ascii="Arial" w:hAnsi="Arial" w:cs="Arial"/>
          <w:i/>
          <w:sz w:val="20"/>
          <w:szCs w:val="20"/>
        </w:rPr>
      </w:pPr>
    </w:p>
    <w:p w14:paraId="41EA6A73" w14:textId="77777777" w:rsidR="00B62948" w:rsidRPr="00554476" w:rsidRDefault="00B62948" w:rsidP="00554476">
      <w:pPr>
        <w:spacing w:after="0" w:line="360" w:lineRule="auto"/>
        <w:jc w:val="both"/>
        <w:rPr>
          <w:rFonts w:ascii="Arial" w:hAnsi="Arial" w:cs="Arial"/>
          <w:sz w:val="20"/>
          <w:szCs w:val="20"/>
        </w:rPr>
      </w:pPr>
      <w:r w:rsidRPr="00554476">
        <w:rPr>
          <w:rFonts w:ascii="Arial" w:hAnsi="Arial" w:cs="Arial"/>
          <w:sz w:val="20"/>
          <w:szCs w:val="20"/>
        </w:rPr>
        <w:t xml:space="preserve">Por todo lo expuesto, debe desestimarse de raíz la pretensión ejercitada por la parte actora, declarando por tanto la validez, legalidad y no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de la cláusula que establece una comisión de apertura.</w:t>
      </w:r>
    </w:p>
    <w:p w14:paraId="48F7B430" w14:textId="03E7CFCD" w:rsidR="00736869" w:rsidRPr="00554476" w:rsidRDefault="00736869" w:rsidP="00554476">
      <w:pPr>
        <w:spacing w:after="0" w:line="360" w:lineRule="auto"/>
        <w:jc w:val="both"/>
        <w:rPr>
          <w:rFonts w:ascii="Arial" w:hAnsi="Arial" w:cs="Arial"/>
          <w:sz w:val="20"/>
          <w:szCs w:val="20"/>
        </w:rPr>
      </w:pPr>
    </w:p>
    <w:p w14:paraId="0FAA6BB2" w14:textId="03BA3F97" w:rsidR="007C2EF0" w:rsidRPr="00554476" w:rsidRDefault="007C2EF0" w:rsidP="00554476">
      <w:pPr>
        <w:pStyle w:val="Ttulo2"/>
        <w:spacing w:before="0" w:line="360" w:lineRule="auto"/>
        <w:jc w:val="both"/>
        <w:rPr>
          <w:rFonts w:ascii="Arial" w:eastAsia="Bankinter" w:hAnsi="Arial" w:cs="Arial"/>
          <w:b/>
          <w:color w:val="auto"/>
          <w:sz w:val="20"/>
          <w:szCs w:val="20"/>
          <w:u w:val="single"/>
        </w:rPr>
      </w:pPr>
      <w:bookmarkStart w:id="7" w:name="_Toc54185190"/>
      <w:r w:rsidRPr="00554476">
        <w:rPr>
          <w:rFonts w:ascii="Arial" w:eastAsia="Bankinter" w:hAnsi="Arial" w:cs="Arial"/>
          <w:b/>
          <w:color w:val="auto"/>
          <w:sz w:val="20"/>
          <w:szCs w:val="20"/>
          <w:u w:val="single"/>
        </w:rPr>
        <w:t xml:space="preserve">CUARTO. – Validez, legalidad y no </w:t>
      </w:r>
      <w:proofErr w:type="spellStart"/>
      <w:r w:rsidRPr="00554476">
        <w:rPr>
          <w:rFonts w:ascii="Arial" w:eastAsia="Bankinter" w:hAnsi="Arial" w:cs="Arial"/>
          <w:b/>
          <w:color w:val="auto"/>
          <w:sz w:val="20"/>
          <w:szCs w:val="20"/>
          <w:u w:val="single"/>
        </w:rPr>
        <w:t>abusividad</w:t>
      </w:r>
      <w:proofErr w:type="spellEnd"/>
      <w:r w:rsidRPr="00554476">
        <w:rPr>
          <w:rFonts w:ascii="Arial" w:eastAsia="Bankinter" w:hAnsi="Arial" w:cs="Arial"/>
          <w:b/>
          <w:color w:val="auto"/>
          <w:sz w:val="20"/>
          <w:szCs w:val="20"/>
          <w:u w:val="single"/>
        </w:rPr>
        <w:t xml:space="preserve"> de la cláusula </w:t>
      </w:r>
      <w:r w:rsidR="00115790" w:rsidRPr="00554476">
        <w:rPr>
          <w:rFonts w:ascii="Arial" w:eastAsia="Bankinter" w:hAnsi="Arial" w:cs="Arial"/>
          <w:b/>
          <w:color w:val="auto"/>
          <w:sz w:val="20"/>
          <w:szCs w:val="20"/>
          <w:u w:val="single"/>
        </w:rPr>
        <w:t xml:space="preserve">de la cláusula de </w:t>
      </w:r>
      <w:r w:rsidR="00115790" w:rsidRPr="0067486A">
        <w:rPr>
          <w:rFonts w:ascii="Arial" w:eastAsia="Bankinter" w:hAnsi="Arial" w:cs="Arial"/>
          <w:b/>
          <w:color w:val="auto"/>
          <w:sz w:val="20"/>
          <w:szCs w:val="20"/>
          <w:highlight w:val="cyan"/>
          <w:u w:val="single"/>
        </w:rPr>
        <w:t>comisión por posici</w:t>
      </w:r>
      <w:r w:rsidR="000276D7" w:rsidRPr="0067486A">
        <w:rPr>
          <w:rFonts w:ascii="Arial" w:eastAsia="Bankinter" w:hAnsi="Arial" w:cs="Arial"/>
          <w:b/>
          <w:color w:val="auto"/>
          <w:sz w:val="20"/>
          <w:szCs w:val="20"/>
          <w:highlight w:val="cyan"/>
          <w:u w:val="single"/>
        </w:rPr>
        <w:t>ón deudora</w:t>
      </w:r>
      <w:r w:rsidR="00115790" w:rsidRPr="00554476">
        <w:rPr>
          <w:rFonts w:ascii="Arial" w:eastAsia="Bankinter" w:hAnsi="Arial" w:cs="Arial"/>
          <w:b/>
          <w:color w:val="auto"/>
          <w:sz w:val="20"/>
          <w:szCs w:val="20"/>
          <w:u w:val="single"/>
        </w:rPr>
        <w:t>.</w:t>
      </w:r>
      <w:bookmarkEnd w:id="7"/>
    </w:p>
    <w:p w14:paraId="17F249B5" w14:textId="77777777" w:rsidR="007C2EF0" w:rsidRDefault="007C2EF0" w:rsidP="00554476">
      <w:pPr>
        <w:spacing w:after="0" w:line="360" w:lineRule="auto"/>
        <w:jc w:val="both"/>
        <w:rPr>
          <w:rFonts w:ascii="Arial" w:eastAsia="Calibri" w:hAnsi="Arial" w:cs="Arial"/>
          <w:b/>
          <w:bCs/>
          <w:spacing w:val="4"/>
          <w:sz w:val="20"/>
          <w:szCs w:val="20"/>
        </w:rPr>
      </w:pPr>
    </w:p>
    <w:p w14:paraId="4B3DF5FA" w14:textId="73217CC1" w:rsidR="00A42C7C" w:rsidRPr="00554476" w:rsidRDefault="00A42C7C" w:rsidP="00554476">
      <w:pPr>
        <w:spacing w:after="0" w:line="360" w:lineRule="auto"/>
        <w:jc w:val="both"/>
        <w:rPr>
          <w:rFonts w:ascii="Arial" w:eastAsia="Calibri" w:hAnsi="Arial" w:cs="Arial"/>
          <w:b/>
          <w:bCs/>
          <w:spacing w:val="4"/>
          <w:sz w:val="20"/>
          <w:szCs w:val="20"/>
        </w:rPr>
      </w:pPr>
      <w:r w:rsidRPr="00A42C7C">
        <w:rPr>
          <w:rFonts w:ascii="Arial" w:eastAsia="Calibri" w:hAnsi="Arial" w:cs="Arial"/>
          <w:b/>
          <w:bCs/>
          <w:spacing w:val="4"/>
          <w:sz w:val="20"/>
          <w:szCs w:val="20"/>
          <w:highlight w:val="green"/>
        </w:rPr>
        <w:t>[LA QUITAMOS SI NO ES NUESTRO CASO]</w:t>
      </w:r>
    </w:p>
    <w:p w14:paraId="45026784" w14:textId="77777777" w:rsidR="007C2EF0" w:rsidRPr="00554476" w:rsidRDefault="007C2EF0" w:rsidP="00554476">
      <w:pPr>
        <w:spacing w:after="0" w:line="360" w:lineRule="auto"/>
        <w:jc w:val="center"/>
        <w:rPr>
          <w:rFonts w:ascii="Arial" w:eastAsia="Calibri" w:hAnsi="Arial" w:cs="Arial"/>
          <w:b/>
          <w:bCs/>
          <w:spacing w:val="4"/>
          <w:sz w:val="20"/>
          <w:szCs w:val="20"/>
        </w:rPr>
      </w:pPr>
      <w:r w:rsidRPr="00554476">
        <w:rPr>
          <w:rFonts w:ascii="Arial" w:eastAsia="Calibri" w:hAnsi="Arial" w:cs="Arial"/>
          <w:b/>
          <w:bCs/>
          <w:spacing w:val="4"/>
          <w:sz w:val="20"/>
          <w:szCs w:val="20"/>
        </w:rPr>
        <w:t>I</w:t>
      </w:r>
    </w:p>
    <w:p w14:paraId="084A06BA" w14:textId="77777777" w:rsidR="007C2EF0" w:rsidRPr="00554476" w:rsidRDefault="007C2EF0" w:rsidP="00554476">
      <w:pPr>
        <w:spacing w:after="0" w:line="360" w:lineRule="auto"/>
        <w:jc w:val="both"/>
        <w:rPr>
          <w:rFonts w:ascii="Arial" w:eastAsia="Calibri" w:hAnsi="Arial" w:cs="Arial"/>
          <w:b/>
          <w:bCs/>
          <w:spacing w:val="4"/>
          <w:sz w:val="20"/>
          <w:szCs w:val="20"/>
        </w:rPr>
      </w:pPr>
    </w:p>
    <w:p w14:paraId="1AF0C3E5" w14:textId="0A572FC2"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Es inviable el argumento con el que la parte demandante sostiene su pretensión de anular dicha cláusula, relativa a la comisión por reclamación de posiciones deudoras por cuotas vencidas e impagadas, en cuanto considera que la misma forma parte de las estipulaciones generales del contrato, y que le ha sido impuesta.</w:t>
      </w:r>
    </w:p>
    <w:p w14:paraId="2197F61E" w14:textId="77777777" w:rsidR="007C2EF0" w:rsidRPr="00554476" w:rsidRDefault="007C2EF0" w:rsidP="00554476">
      <w:pPr>
        <w:spacing w:after="0" w:line="360" w:lineRule="auto"/>
        <w:jc w:val="both"/>
        <w:rPr>
          <w:rFonts w:ascii="Arial" w:eastAsia="Calibri" w:hAnsi="Arial" w:cs="Arial"/>
          <w:spacing w:val="4"/>
          <w:sz w:val="20"/>
          <w:szCs w:val="20"/>
        </w:rPr>
      </w:pPr>
    </w:p>
    <w:p w14:paraId="5DC9B324"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La </w:t>
      </w:r>
      <w:proofErr w:type="spellStart"/>
      <w:r w:rsidRPr="00554476">
        <w:rPr>
          <w:rFonts w:ascii="Arial" w:eastAsia="Calibri" w:hAnsi="Arial" w:cs="Arial"/>
          <w:spacing w:val="4"/>
          <w:sz w:val="20"/>
          <w:szCs w:val="20"/>
        </w:rPr>
        <w:t>prosperabilidad</w:t>
      </w:r>
      <w:proofErr w:type="spellEnd"/>
      <w:r w:rsidRPr="00554476">
        <w:rPr>
          <w:rFonts w:ascii="Arial" w:eastAsia="Calibri" w:hAnsi="Arial" w:cs="Arial"/>
          <w:spacing w:val="4"/>
          <w:sz w:val="20"/>
          <w:szCs w:val="20"/>
        </w:rPr>
        <w:t xml:space="preserve"> de dicha pretensión debe decaer. De inicio, porque la referida cláusula no es en modo alguno desproporcionada ni injustificada, habida cuenta </w:t>
      </w:r>
      <w:r w:rsidRPr="00554476">
        <w:rPr>
          <w:rFonts w:ascii="Arial" w:eastAsia="Calibri" w:hAnsi="Arial" w:cs="Arial"/>
          <w:spacing w:val="4"/>
          <w:sz w:val="20"/>
          <w:szCs w:val="20"/>
          <w:u w:val="single"/>
        </w:rPr>
        <w:t>que está destinada a sufragar gastos que soporta la entidad por la situación de impago del cliente</w:t>
      </w:r>
      <w:r w:rsidRPr="00554476">
        <w:rPr>
          <w:rFonts w:ascii="Arial" w:eastAsia="Calibri" w:hAnsi="Arial" w:cs="Arial"/>
          <w:spacing w:val="4"/>
          <w:sz w:val="20"/>
          <w:szCs w:val="20"/>
        </w:rPr>
        <w:t xml:space="preserve">. Piénsese que, si se produce la </w:t>
      </w:r>
      <w:r w:rsidRPr="00554476">
        <w:rPr>
          <w:rFonts w:ascii="Arial" w:eastAsia="Calibri" w:hAnsi="Arial" w:cs="Arial"/>
          <w:spacing w:val="4"/>
          <w:sz w:val="20"/>
          <w:szCs w:val="20"/>
          <w:lang w:eastAsia="es-ES"/>
        </w:rPr>
        <w:t xml:space="preserve">devolución de un recibo, Bankinter, S.A. debe realizar una serie de gestiones, tales como la elaboración de listados de impagados del cliente para su posterior gestión y seguimiento, gestiones tales como estudiar el motivo de la devolución, contactar y notificar al cliente la incidencia producida reclamándole el pago del saldo deudor del recibo devuelto, así como controlar el posterior desenvolvimiento hasta el cobro de dicho recibo… </w:t>
      </w:r>
      <w:r w:rsidRPr="00554476">
        <w:rPr>
          <w:rFonts w:ascii="Arial" w:eastAsia="Calibri" w:hAnsi="Arial" w:cs="Arial"/>
          <w:b/>
          <w:spacing w:val="4"/>
          <w:sz w:val="20"/>
          <w:szCs w:val="20"/>
          <w:lang w:eastAsia="es-ES"/>
        </w:rPr>
        <w:t>Todo ello</w:t>
      </w:r>
      <w:r w:rsidRPr="00554476">
        <w:rPr>
          <w:rFonts w:ascii="Arial" w:eastAsia="Calibri" w:hAnsi="Arial" w:cs="Arial"/>
          <w:spacing w:val="4"/>
          <w:sz w:val="20"/>
          <w:szCs w:val="20"/>
          <w:lang w:eastAsia="es-ES"/>
        </w:rPr>
        <w:t xml:space="preserve"> </w:t>
      </w:r>
      <w:r w:rsidRPr="00554476">
        <w:rPr>
          <w:rFonts w:ascii="Arial" w:eastAsia="Calibri" w:hAnsi="Arial" w:cs="Arial"/>
          <w:b/>
          <w:bCs/>
          <w:spacing w:val="4"/>
          <w:sz w:val="20"/>
          <w:szCs w:val="20"/>
          <w:lang w:eastAsia="es-ES"/>
        </w:rPr>
        <w:t>comporta la prestación de un servicio que es un negocio distinto del que nos ocupa.</w:t>
      </w:r>
    </w:p>
    <w:p w14:paraId="1DEA488B" w14:textId="77777777" w:rsidR="007C2EF0" w:rsidRPr="00554476" w:rsidRDefault="007C2EF0" w:rsidP="00554476">
      <w:pPr>
        <w:spacing w:after="0" w:line="360" w:lineRule="auto"/>
        <w:jc w:val="both"/>
        <w:rPr>
          <w:rFonts w:ascii="Arial" w:eastAsia="Calibri" w:hAnsi="Arial" w:cs="Arial"/>
          <w:b/>
          <w:bCs/>
          <w:spacing w:val="4"/>
          <w:sz w:val="20"/>
          <w:szCs w:val="20"/>
        </w:rPr>
      </w:pPr>
    </w:p>
    <w:p w14:paraId="3FEDB584" w14:textId="77777777" w:rsidR="007C2EF0" w:rsidRPr="00554476" w:rsidRDefault="007C2EF0" w:rsidP="00554476">
      <w:pPr>
        <w:spacing w:after="0" w:line="360" w:lineRule="auto"/>
        <w:jc w:val="both"/>
        <w:rPr>
          <w:rFonts w:ascii="Arial" w:eastAsia="Calibri" w:hAnsi="Arial" w:cs="Arial"/>
          <w:spacing w:val="4"/>
          <w:sz w:val="20"/>
          <w:szCs w:val="20"/>
          <w:lang w:eastAsia="es-ES"/>
        </w:rPr>
      </w:pPr>
      <w:r w:rsidRPr="00554476">
        <w:rPr>
          <w:rFonts w:ascii="Arial" w:eastAsia="Calibri" w:hAnsi="Arial" w:cs="Arial"/>
          <w:spacing w:val="4"/>
          <w:sz w:val="20"/>
          <w:szCs w:val="20"/>
          <w:lang w:eastAsia="es-ES"/>
        </w:rPr>
        <w:t xml:space="preserve">La prestación de este tipo de servicios, así como las posteriores gestiones indicadas requieren por parte de la entidad financiera, la puesta en funcionamiento como la existencia misma de una infraestructura operativa, consistente en unos servicios centrales y una red de oficinas que pone a disposición del cliente, la existencia de unos medios materiales que permiten la realización de tal proceder y, asimismo, la existencia de unos medios humanos </w:t>
      </w:r>
      <w:r w:rsidRPr="00554476">
        <w:rPr>
          <w:rFonts w:ascii="Arial" w:eastAsia="Calibri" w:hAnsi="Arial" w:cs="Arial"/>
          <w:spacing w:val="4"/>
          <w:sz w:val="20"/>
          <w:szCs w:val="20"/>
          <w:lang w:eastAsia="es-ES"/>
        </w:rPr>
        <w:lastRenderedPageBreak/>
        <w:t>en toda su red de sucursales y servicios centrales que se encargan de realizar las gestiones indicadas. Todo lo cual comporta un elevado coste para la entidad financiera, que, en tanto supone la prestación de un servicio derivado del propio proceder del prestatario que incumple o cumple tardíamente sus obligaciones contractuales, como ya hemos dicho, puede ser repercutido al cliente.</w:t>
      </w:r>
    </w:p>
    <w:p w14:paraId="1D596B90" w14:textId="77777777" w:rsidR="007C2EF0" w:rsidRPr="00554476" w:rsidRDefault="007C2EF0" w:rsidP="00554476">
      <w:pPr>
        <w:spacing w:after="0" w:line="360" w:lineRule="auto"/>
        <w:rPr>
          <w:rFonts w:ascii="Arial" w:eastAsia="Calibri" w:hAnsi="Arial" w:cs="Arial"/>
          <w:b/>
          <w:bCs/>
          <w:spacing w:val="4"/>
          <w:sz w:val="20"/>
          <w:szCs w:val="20"/>
        </w:rPr>
      </w:pPr>
    </w:p>
    <w:p w14:paraId="0A80284A" w14:textId="77777777" w:rsidR="007C2EF0" w:rsidRPr="00554476" w:rsidRDefault="007C2EF0" w:rsidP="00554476">
      <w:pPr>
        <w:spacing w:after="0" w:line="360" w:lineRule="auto"/>
        <w:jc w:val="center"/>
        <w:rPr>
          <w:rFonts w:ascii="Arial" w:eastAsia="Calibri" w:hAnsi="Arial" w:cs="Arial"/>
          <w:b/>
          <w:bCs/>
          <w:spacing w:val="4"/>
          <w:sz w:val="20"/>
          <w:szCs w:val="20"/>
        </w:rPr>
      </w:pPr>
      <w:r w:rsidRPr="00554476">
        <w:rPr>
          <w:rFonts w:ascii="Arial" w:eastAsia="Calibri" w:hAnsi="Arial" w:cs="Arial"/>
          <w:b/>
          <w:bCs/>
          <w:spacing w:val="4"/>
          <w:sz w:val="20"/>
          <w:szCs w:val="20"/>
        </w:rPr>
        <w:t>II</w:t>
      </w:r>
    </w:p>
    <w:p w14:paraId="71966277" w14:textId="77777777" w:rsidR="007C2EF0" w:rsidRPr="00554476" w:rsidRDefault="007C2EF0" w:rsidP="00554476">
      <w:pPr>
        <w:spacing w:after="0" w:line="360" w:lineRule="auto"/>
        <w:jc w:val="both"/>
        <w:rPr>
          <w:rFonts w:ascii="Arial" w:eastAsia="Calibri" w:hAnsi="Arial" w:cs="Arial"/>
          <w:b/>
          <w:bCs/>
          <w:spacing w:val="4"/>
          <w:sz w:val="20"/>
          <w:szCs w:val="20"/>
        </w:rPr>
      </w:pPr>
    </w:p>
    <w:p w14:paraId="314C694A"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Una vez justificada la existencia de dicha estipulación, debe señalarse, en cuanto al caso concreto, que </w:t>
      </w:r>
      <w:r w:rsidRPr="00554476">
        <w:rPr>
          <w:rFonts w:ascii="Arial" w:eastAsia="Calibri" w:hAnsi="Arial" w:cs="Arial"/>
          <w:b/>
          <w:bCs/>
          <w:spacing w:val="4"/>
          <w:sz w:val="20"/>
          <w:szCs w:val="20"/>
        </w:rPr>
        <w:t xml:space="preserve">la demandante sabía perfectamente que el préstamo hipotecario incluía esa cláusula de comisión de reclamación de posiciones deudoras, </w:t>
      </w:r>
      <w:r w:rsidRPr="00554476">
        <w:rPr>
          <w:rFonts w:ascii="Arial" w:eastAsia="Calibri" w:hAnsi="Arial" w:cs="Arial"/>
          <w:spacing w:val="4"/>
          <w:sz w:val="20"/>
          <w:szCs w:val="20"/>
        </w:rPr>
        <w:t>y como vemos, dicha cláusula fue incluida respetando el marco de la normativa aplicable.</w:t>
      </w:r>
    </w:p>
    <w:p w14:paraId="5B7011AD" w14:textId="77777777" w:rsidR="007C2EF0" w:rsidRPr="00554476" w:rsidRDefault="007C2EF0" w:rsidP="00554476">
      <w:pPr>
        <w:spacing w:after="0" w:line="360" w:lineRule="auto"/>
        <w:jc w:val="both"/>
        <w:rPr>
          <w:rFonts w:ascii="Arial" w:eastAsia="Calibri" w:hAnsi="Arial" w:cs="Arial"/>
          <w:spacing w:val="4"/>
          <w:sz w:val="20"/>
          <w:szCs w:val="20"/>
        </w:rPr>
      </w:pPr>
    </w:p>
    <w:p w14:paraId="7562F2DC"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Debe entenderse, por tanto, que la misma es válida, pues </w:t>
      </w:r>
      <w:r w:rsidRPr="00554476">
        <w:rPr>
          <w:rFonts w:ascii="Arial" w:eastAsia="Calibri" w:hAnsi="Arial" w:cs="Arial"/>
          <w:b/>
          <w:bCs/>
          <w:spacing w:val="4"/>
          <w:sz w:val="20"/>
          <w:szCs w:val="20"/>
        </w:rPr>
        <w:t xml:space="preserve">no obedece sino a un acuerdo entre las partes, </w:t>
      </w:r>
      <w:r w:rsidRPr="00554476">
        <w:rPr>
          <w:rFonts w:ascii="Arial" w:eastAsia="Calibri" w:hAnsi="Arial" w:cs="Arial"/>
          <w:spacing w:val="4"/>
          <w:sz w:val="20"/>
          <w:szCs w:val="20"/>
        </w:rPr>
        <w:t>que se enmarca dentro de la observancia de principio de autonomía de la voluntad ex artículo 1255 del Código Civil, y que en modo alguno viene a violentar las proscripciones contenidas en el artículo 6.3 del Código Civil en tanto que no contraviene normas imperativas ni prohibitivas en materia tuitiva de protección de consumidores o usuarios.</w:t>
      </w:r>
    </w:p>
    <w:p w14:paraId="700BDA08" w14:textId="77777777" w:rsidR="007C2EF0" w:rsidRPr="00554476" w:rsidRDefault="007C2EF0" w:rsidP="00554476">
      <w:pPr>
        <w:spacing w:after="0" w:line="360" w:lineRule="auto"/>
        <w:jc w:val="both"/>
        <w:rPr>
          <w:rFonts w:ascii="Arial" w:eastAsia="Calibri" w:hAnsi="Arial" w:cs="Arial"/>
          <w:spacing w:val="4"/>
          <w:sz w:val="20"/>
          <w:szCs w:val="20"/>
        </w:rPr>
      </w:pPr>
    </w:p>
    <w:p w14:paraId="11B84558"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 mayor abundamiento, la cláusula cuestionada se determina en consonancia y de acuerdo con lo previsto en la </w:t>
      </w:r>
      <w:r w:rsidRPr="00554476">
        <w:rPr>
          <w:rFonts w:ascii="Arial" w:eastAsia="Calibri" w:hAnsi="Arial" w:cs="Arial"/>
          <w:b/>
          <w:bCs/>
          <w:spacing w:val="4"/>
          <w:sz w:val="20"/>
          <w:szCs w:val="20"/>
          <w:u w:val="single"/>
        </w:rPr>
        <w:t>Orden Ministerial de 5 de mayo de 1994, sobre transparencia de las condiciones financieras de los préstamos hipotecarios</w:t>
      </w:r>
      <w:r w:rsidRPr="00554476">
        <w:rPr>
          <w:rFonts w:ascii="Arial" w:eastAsia="Calibri" w:hAnsi="Arial" w:cs="Arial"/>
          <w:b/>
          <w:bCs/>
          <w:spacing w:val="4"/>
          <w:sz w:val="20"/>
          <w:szCs w:val="20"/>
        </w:rPr>
        <w:t>.</w:t>
      </w:r>
      <w:r w:rsidRPr="00554476">
        <w:rPr>
          <w:rFonts w:ascii="Arial" w:eastAsia="Calibri" w:hAnsi="Arial" w:cs="Arial"/>
          <w:spacing w:val="4"/>
          <w:sz w:val="20"/>
          <w:szCs w:val="20"/>
        </w:rPr>
        <w:t xml:space="preserve"> El artículo 6 de la citada Orden, dedicado a las cláusulas financieras del contrato, prescribe que </w:t>
      </w:r>
      <w:r w:rsidRPr="00554476">
        <w:rPr>
          <w:rFonts w:ascii="Arial" w:eastAsia="Calibri" w:hAnsi="Arial" w:cs="Arial"/>
          <w:i/>
          <w:iCs/>
          <w:spacing w:val="4"/>
          <w:sz w:val="20"/>
          <w:szCs w:val="20"/>
        </w:rPr>
        <w:t>“</w:t>
      </w:r>
      <w:r w:rsidRPr="00554476">
        <w:rPr>
          <w:rFonts w:ascii="Arial" w:eastAsia="Calibri" w:hAnsi="Arial" w:cs="Arial"/>
          <w:b/>
          <w:bCs/>
          <w:i/>
          <w:iCs/>
          <w:spacing w:val="4"/>
          <w:sz w:val="20"/>
          <w:szCs w:val="20"/>
        </w:rPr>
        <w:t>las escrituras públicas en las que se formalicen los préstamos hipotecarios sometidos a la presente Orden contendrán, debidamente separadas de las restantes, cláusulas financieras que ajustarán su orden y contenido a lo establecido en el anexo II de la presente Orden</w:t>
      </w:r>
      <w:r w:rsidRPr="00554476">
        <w:rPr>
          <w:rFonts w:ascii="Arial" w:eastAsia="Calibri" w:hAnsi="Arial" w:cs="Arial"/>
          <w:i/>
          <w:iCs/>
          <w:spacing w:val="4"/>
          <w:sz w:val="20"/>
          <w:szCs w:val="20"/>
        </w:rPr>
        <w:t>”.</w:t>
      </w:r>
    </w:p>
    <w:p w14:paraId="6548EBC0" w14:textId="77777777" w:rsidR="007C2EF0" w:rsidRPr="00554476" w:rsidRDefault="007C2EF0" w:rsidP="00554476">
      <w:pPr>
        <w:spacing w:after="0" w:line="360" w:lineRule="auto"/>
        <w:jc w:val="both"/>
        <w:rPr>
          <w:rFonts w:ascii="Arial" w:eastAsia="Calibri" w:hAnsi="Arial" w:cs="Arial"/>
          <w:i/>
          <w:iCs/>
          <w:spacing w:val="4"/>
          <w:sz w:val="20"/>
          <w:szCs w:val="20"/>
        </w:rPr>
      </w:pPr>
    </w:p>
    <w:p w14:paraId="39891A17"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Es evidente que de esta cláusula tuvo conocimiento la parte actora con anterioridad a la firma de la escritura, y en todo caso, pudo tenerla en los tres días anteriores a su formalización, si hubiera ejercido el derecho a examinar el proyecto de escritura pública de préstamo hipotecario que le reconoce el artículo 7.2 de la citada Orden Ministerial. </w:t>
      </w:r>
    </w:p>
    <w:p w14:paraId="5BBAA910" w14:textId="77777777" w:rsidR="007C2EF0" w:rsidRPr="00554476" w:rsidRDefault="007C2EF0" w:rsidP="00554476">
      <w:pPr>
        <w:spacing w:after="0" w:line="360" w:lineRule="auto"/>
        <w:jc w:val="both"/>
        <w:rPr>
          <w:rFonts w:ascii="Arial" w:eastAsia="Calibri" w:hAnsi="Arial" w:cs="Arial"/>
          <w:spacing w:val="4"/>
          <w:sz w:val="20"/>
          <w:szCs w:val="20"/>
        </w:rPr>
      </w:pPr>
    </w:p>
    <w:p w14:paraId="22F4BA4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lo tanto, la parte actora sabía y pudo saber perfectamente que el contrato contendría esta cláusula financiera, así como todas las demás, pues fue informada de ella con carácter previo a su elevación a público y pudo revisar la escritura con días de antelación. Ello sin perjuicio de considerar que la inclusión de dicha estipulación y su contenido respetan escrupulosamente el marco normativo aplicable, lo que no debe obviarse en aras a confirmar su validez y asunción consciente y voluntaria de la contraparte.</w:t>
      </w:r>
    </w:p>
    <w:p w14:paraId="219C26F8" w14:textId="77777777" w:rsidR="007C2EF0" w:rsidRPr="00554476" w:rsidRDefault="007C2EF0" w:rsidP="00554476">
      <w:pPr>
        <w:spacing w:after="0" w:line="360" w:lineRule="auto"/>
        <w:jc w:val="both"/>
        <w:rPr>
          <w:rFonts w:ascii="Arial" w:eastAsia="Calibri" w:hAnsi="Arial" w:cs="Arial"/>
          <w:spacing w:val="4"/>
          <w:sz w:val="20"/>
          <w:szCs w:val="20"/>
        </w:rPr>
      </w:pPr>
    </w:p>
    <w:p w14:paraId="7E8FA965"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lastRenderedPageBreak/>
        <w:t xml:space="preserve">Sin perjuicio de lo anterior, </w:t>
      </w:r>
      <w:r w:rsidRPr="00554476">
        <w:rPr>
          <w:rFonts w:ascii="Arial" w:eastAsia="Calibri" w:hAnsi="Arial" w:cs="Arial"/>
          <w:b/>
          <w:bCs/>
          <w:spacing w:val="4"/>
          <w:sz w:val="20"/>
          <w:szCs w:val="20"/>
        </w:rPr>
        <w:t>la parte deudora podría haber declinado suscribir el préstamo hipotecario con Bankinter, S.A. y haberlo hecho con otra entidad si es que consideraba que la hoy demandada no le ofrecía mejores condiciones</w:t>
      </w:r>
      <w:r w:rsidRPr="00554476">
        <w:rPr>
          <w:rFonts w:ascii="Arial" w:eastAsia="Calibri" w:hAnsi="Arial" w:cs="Arial"/>
          <w:spacing w:val="4"/>
          <w:sz w:val="20"/>
          <w:szCs w:val="20"/>
        </w:rPr>
        <w:t xml:space="preserve">, o que le auguraba un perjuicio que no le provocarían otras opciones con otras entidades financieras, </w:t>
      </w:r>
      <w:r w:rsidRPr="00554476">
        <w:rPr>
          <w:rFonts w:ascii="Arial" w:eastAsia="Calibri" w:hAnsi="Arial" w:cs="Arial"/>
          <w:b/>
          <w:bCs/>
          <w:spacing w:val="4"/>
          <w:sz w:val="20"/>
          <w:szCs w:val="20"/>
        </w:rPr>
        <w:t>presumiéndose, por tanto, que si lo hizo con mi representada es porque le interesaba más que con otras</w:t>
      </w:r>
      <w:r w:rsidRPr="00554476">
        <w:rPr>
          <w:rFonts w:ascii="Arial" w:eastAsia="Calibri" w:hAnsi="Arial" w:cs="Arial"/>
          <w:spacing w:val="4"/>
          <w:sz w:val="20"/>
          <w:szCs w:val="20"/>
        </w:rPr>
        <w:t>.</w:t>
      </w:r>
    </w:p>
    <w:p w14:paraId="68627576" w14:textId="77777777" w:rsidR="007C2EF0" w:rsidRPr="00554476" w:rsidRDefault="007C2EF0" w:rsidP="00554476">
      <w:pPr>
        <w:spacing w:after="0" w:line="360" w:lineRule="auto"/>
        <w:rPr>
          <w:rFonts w:ascii="Arial" w:eastAsia="Calibri" w:hAnsi="Arial" w:cs="Arial"/>
          <w:b/>
          <w:bCs/>
          <w:spacing w:val="4"/>
          <w:sz w:val="20"/>
          <w:szCs w:val="20"/>
        </w:rPr>
      </w:pPr>
    </w:p>
    <w:p w14:paraId="24410DC1" w14:textId="77777777" w:rsidR="007C2EF0" w:rsidRPr="00554476" w:rsidRDefault="007C2EF0" w:rsidP="00554476">
      <w:pPr>
        <w:spacing w:after="0" w:line="360" w:lineRule="auto"/>
        <w:jc w:val="center"/>
        <w:rPr>
          <w:rFonts w:ascii="Arial" w:eastAsia="Calibri" w:hAnsi="Arial" w:cs="Arial"/>
          <w:b/>
          <w:bCs/>
          <w:spacing w:val="4"/>
          <w:sz w:val="20"/>
          <w:szCs w:val="20"/>
        </w:rPr>
      </w:pPr>
      <w:r w:rsidRPr="00554476">
        <w:rPr>
          <w:rFonts w:ascii="Arial" w:eastAsia="Calibri" w:hAnsi="Arial" w:cs="Arial"/>
          <w:b/>
          <w:bCs/>
          <w:spacing w:val="4"/>
          <w:sz w:val="20"/>
          <w:szCs w:val="20"/>
        </w:rPr>
        <w:t>III</w:t>
      </w:r>
    </w:p>
    <w:p w14:paraId="6EB96F71"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5AF52315"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Igualmente, y en consonancia con lo expuesto, cabe afirmar que en modo alguno puede considerarse abusiva la comisión cuestionada, al cumplir todos los requisitos exigidos por la normativa sectorial aplicable en el proceso de incorporación al contrato. Partimos para llegar a esta conclusión del propio contenido de la cláusula que se incluye en éste, del que se desprende desde un inicio, y sin perjuicio de ulteriores alegaciones, que la misma reúne los requisitos tanto legales como jurisprudenciales para poder ser considera conforme a Derecho, a saber:</w:t>
      </w:r>
    </w:p>
    <w:p w14:paraId="094FBF2A" w14:textId="77777777" w:rsidR="007C2EF0" w:rsidRPr="00554476" w:rsidRDefault="007C2EF0" w:rsidP="00554476">
      <w:pPr>
        <w:spacing w:after="0" w:line="360" w:lineRule="auto"/>
        <w:jc w:val="both"/>
        <w:rPr>
          <w:rFonts w:ascii="Arial" w:eastAsia="Calibri" w:hAnsi="Arial" w:cs="Arial"/>
          <w:spacing w:val="4"/>
          <w:sz w:val="20"/>
          <w:szCs w:val="20"/>
        </w:rPr>
      </w:pPr>
    </w:p>
    <w:p w14:paraId="53655C43"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b/>
          <w:spacing w:val="4"/>
          <w:sz w:val="20"/>
          <w:szCs w:val="20"/>
        </w:rPr>
        <w:t xml:space="preserve">1. </w:t>
      </w:r>
      <w:r w:rsidRPr="00554476">
        <w:rPr>
          <w:rFonts w:ascii="Arial" w:eastAsia="Calibri" w:hAnsi="Arial" w:cs="Arial"/>
          <w:b/>
          <w:spacing w:val="4"/>
          <w:sz w:val="20"/>
          <w:szCs w:val="20"/>
          <w:u w:val="single"/>
        </w:rPr>
        <w:t>Supera el control de inclusión</w:t>
      </w:r>
      <w:r w:rsidRPr="00554476">
        <w:rPr>
          <w:rFonts w:ascii="Arial" w:eastAsia="Calibri" w:hAnsi="Arial" w:cs="Arial"/>
          <w:spacing w:val="4"/>
          <w:sz w:val="20"/>
          <w:szCs w:val="20"/>
        </w:rPr>
        <w:t xml:space="preserve"> ex artículos 5 y 7 de la Ley de Condiciones Generales de la Contratación, al ser clara, precisa y perfectamente comprensible en sus términos, y su mera lectura permite conocer indubitadamente la causa de su devengo, y por ello, ninguna crítica cabe realizar en este sentido a la cláusula litigiosa, pues la misma cumple plenamente los requisitos de transparencia, claridad, concreción y sencillez exigidos igualmente por la Ley de Consumidores y Usuarios.</w:t>
      </w:r>
    </w:p>
    <w:p w14:paraId="72916468" w14:textId="77777777" w:rsidR="007C2EF0" w:rsidRPr="00554476" w:rsidRDefault="007C2EF0" w:rsidP="00554476">
      <w:pPr>
        <w:spacing w:after="0" w:line="360" w:lineRule="auto"/>
        <w:ind w:left="708"/>
        <w:jc w:val="both"/>
        <w:rPr>
          <w:rFonts w:ascii="Arial" w:eastAsia="Calibri" w:hAnsi="Arial" w:cs="Arial"/>
          <w:spacing w:val="4"/>
          <w:sz w:val="20"/>
          <w:szCs w:val="20"/>
        </w:rPr>
      </w:pPr>
    </w:p>
    <w:p w14:paraId="4EC5E377"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b/>
          <w:spacing w:val="4"/>
          <w:sz w:val="20"/>
          <w:szCs w:val="20"/>
        </w:rPr>
        <w:t>2.</w:t>
      </w:r>
      <w:r w:rsidRPr="00554476">
        <w:rPr>
          <w:rFonts w:ascii="Arial" w:eastAsia="Calibri" w:hAnsi="Arial" w:cs="Arial"/>
          <w:spacing w:val="4"/>
          <w:sz w:val="20"/>
          <w:szCs w:val="20"/>
        </w:rPr>
        <w:t xml:space="preserve"> </w:t>
      </w:r>
      <w:r w:rsidRPr="00554476">
        <w:rPr>
          <w:rFonts w:ascii="Arial" w:eastAsia="Calibri" w:hAnsi="Arial" w:cs="Arial"/>
          <w:b/>
          <w:spacing w:val="4"/>
          <w:sz w:val="20"/>
          <w:szCs w:val="20"/>
          <w:u w:val="single"/>
        </w:rPr>
        <w:t>Condiciona el devengo de la cuantía a la realización de gestiones efectivas de recobro</w:t>
      </w:r>
      <w:r w:rsidRPr="00554476">
        <w:rPr>
          <w:rFonts w:ascii="Arial" w:eastAsia="Calibri" w:hAnsi="Arial" w:cs="Arial"/>
          <w:spacing w:val="4"/>
          <w:sz w:val="20"/>
          <w:szCs w:val="20"/>
        </w:rPr>
        <w:t>, es decir, el cargo de la comisión no se produce automáticamente por el mero impago, sino que responde a servicios efectivamente prestados y a los gastos en que incurre la entidad bancaria con motivo del incumplimiento de su obligación por parte del cliente, siendo esta la principal razón para considerar la cláusula como ajustada a Derecho.</w:t>
      </w:r>
    </w:p>
    <w:p w14:paraId="18B42579" w14:textId="77777777" w:rsidR="007C2EF0" w:rsidRPr="00554476" w:rsidRDefault="007C2EF0" w:rsidP="00554476">
      <w:pPr>
        <w:spacing w:after="0" w:line="360" w:lineRule="auto"/>
        <w:jc w:val="both"/>
        <w:rPr>
          <w:rFonts w:ascii="Arial" w:eastAsia="Calibri" w:hAnsi="Arial" w:cs="Arial"/>
          <w:spacing w:val="4"/>
          <w:sz w:val="20"/>
          <w:szCs w:val="20"/>
        </w:rPr>
      </w:pPr>
    </w:p>
    <w:p w14:paraId="520E533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efecto, cuando el cliente deja de abonar las cuotas correspondientes, la entidad realiza una serie de trámites a nivel interno, en los que participan diferentes departamentos:</w:t>
      </w:r>
    </w:p>
    <w:p w14:paraId="0A9C6BE3" w14:textId="77777777" w:rsidR="007C2EF0" w:rsidRPr="00554476" w:rsidRDefault="007C2EF0" w:rsidP="00554476">
      <w:pPr>
        <w:spacing w:after="0" w:line="360" w:lineRule="auto"/>
        <w:jc w:val="both"/>
        <w:rPr>
          <w:rFonts w:ascii="Arial" w:eastAsia="Calibri" w:hAnsi="Arial" w:cs="Arial"/>
          <w:spacing w:val="4"/>
          <w:sz w:val="20"/>
          <w:szCs w:val="20"/>
        </w:rPr>
      </w:pPr>
    </w:p>
    <w:p w14:paraId="2DE38855"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1º.- La oficina da cuenta a los servicios centrales de la entidad, pues no todos los trámites que genera un impago son realizados desde la oficina concreta, como podría parecer sin analizar exhaustivamente la operativa interna bancaria.</w:t>
      </w:r>
    </w:p>
    <w:p w14:paraId="0CF1E672" w14:textId="77777777" w:rsidR="007C2EF0" w:rsidRPr="00554476" w:rsidRDefault="007C2EF0" w:rsidP="00554476">
      <w:pPr>
        <w:spacing w:after="0" w:line="360" w:lineRule="auto"/>
        <w:jc w:val="both"/>
        <w:rPr>
          <w:rFonts w:ascii="Arial" w:eastAsia="Calibri" w:hAnsi="Arial" w:cs="Arial"/>
          <w:spacing w:val="4"/>
          <w:sz w:val="20"/>
          <w:szCs w:val="20"/>
        </w:rPr>
      </w:pPr>
    </w:p>
    <w:p w14:paraId="3722546B"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Pero incluso antes o de forma paralela a esa comunicación interna, es normal que pueden existir gestiones de la propia oficina frente al cliente en aras reclamar el pago de la deuda exigible.</w:t>
      </w:r>
    </w:p>
    <w:p w14:paraId="3B0D5EC5" w14:textId="77777777" w:rsidR="007C2EF0" w:rsidRPr="00554476" w:rsidRDefault="007C2EF0" w:rsidP="00554476">
      <w:pPr>
        <w:spacing w:after="0" w:line="360" w:lineRule="auto"/>
        <w:jc w:val="both"/>
        <w:rPr>
          <w:rFonts w:ascii="Arial" w:eastAsia="Calibri" w:hAnsi="Arial" w:cs="Arial"/>
          <w:spacing w:val="4"/>
          <w:sz w:val="20"/>
          <w:szCs w:val="20"/>
        </w:rPr>
      </w:pPr>
    </w:p>
    <w:p w14:paraId="0AF97380"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lastRenderedPageBreak/>
        <w:t>2º.- Desde el momento en que la oficina da cuenta del impago del cliente, entran en juego diferentes departamentos internos. En primer lugar, el departamento de morosidad o recuperaciones de la entidad debe abrir un expediente de mora, con todos los trámites que ello conlleva, involucrando a personas que realizan ese tipo gestiones, tanto internas (con la oficina y con otros departamentos), como externas (frente al cliente, remisión de cartas, comunicaciones telefónicas, etc.).</w:t>
      </w:r>
    </w:p>
    <w:p w14:paraId="1ED0B75D" w14:textId="77777777" w:rsidR="007C2EF0" w:rsidRPr="00554476" w:rsidRDefault="007C2EF0" w:rsidP="00554476">
      <w:pPr>
        <w:spacing w:after="0" w:line="360" w:lineRule="auto"/>
        <w:jc w:val="both"/>
        <w:rPr>
          <w:rFonts w:ascii="Arial" w:eastAsia="Calibri" w:hAnsi="Arial" w:cs="Arial"/>
          <w:spacing w:val="4"/>
          <w:sz w:val="20"/>
          <w:szCs w:val="20"/>
        </w:rPr>
      </w:pPr>
    </w:p>
    <w:p w14:paraId="481737A9"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Dentro de esas gestiones internas también participa el departamento de contabilidad que debe efectuar los correspondientes apuntes contables, igualmente, a nivel interno (contabilidad de la entidad) como externo (apuntes en la cuenta del cliente).</w:t>
      </w:r>
    </w:p>
    <w:p w14:paraId="3DBF362C" w14:textId="77777777" w:rsidR="007C2EF0" w:rsidRPr="00554476" w:rsidRDefault="007C2EF0" w:rsidP="00554476">
      <w:pPr>
        <w:spacing w:after="0" w:line="360" w:lineRule="auto"/>
        <w:jc w:val="both"/>
        <w:rPr>
          <w:rFonts w:ascii="Arial" w:eastAsia="Calibri" w:hAnsi="Arial" w:cs="Arial"/>
          <w:spacing w:val="4"/>
          <w:sz w:val="20"/>
          <w:szCs w:val="20"/>
        </w:rPr>
      </w:pPr>
    </w:p>
    <w:p w14:paraId="6B8DFF69"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Estas son sólo algunas de las actuaciones más relevantes que se llevan a cabo por la entidad desde el momento de impago, a las que habría que añadir toda otra serie de gestiones en caso de que el cliente regularice la situación de mora, o bien, cuando no lo haga, momento en el cual tendrán que producirse, además, otras operaciones, por lo que no puede negarse que dicha comisión está justificada por la actividad interna y los servicios que debe desarrollar la entidad como consecuencia del impago por parte del cliente.</w:t>
      </w:r>
    </w:p>
    <w:p w14:paraId="418C5FA6" w14:textId="77777777" w:rsidR="007C2EF0" w:rsidRPr="00554476" w:rsidRDefault="007C2EF0" w:rsidP="00554476">
      <w:pPr>
        <w:spacing w:after="0" w:line="360" w:lineRule="auto"/>
        <w:jc w:val="both"/>
        <w:rPr>
          <w:rFonts w:ascii="Arial" w:eastAsia="Calibri" w:hAnsi="Arial" w:cs="Arial"/>
          <w:spacing w:val="4"/>
          <w:sz w:val="20"/>
          <w:szCs w:val="20"/>
        </w:rPr>
      </w:pPr>
    </w:p>
    <w:p w14:paraId="413E2A90"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consecuencia, la moderada comisión pactada en la cláusula impugnada responde sin duda a los costes de gestión derivados de la servicios y actuaciones que debe realizar el banco para realizar el seguimiento de la deuda y conseguir su recobro, encontrándose por ello plenamente justificada a la vista de las gestiones y servicios que debe realizar la entidad con ocasión del impago que motiva la reclamación, y por ende, consideramos totalmente improcedente esta demanda, sin perjuicio de todas las alegaciones que se incluyen en esta contestación.</w:t>
      </w:r>
    </w:p>
    <w:p w14:paraId="08F3A631" w14:textId="77777777" w:rsidR="007C2EF0" w:rsidRPr="00554476" w:rsidRDefault="007C2EF0" w:rsidP="00554476">
      <w:pPr>
        <w:spacing w:after="0" w:line="360" w:lineRule="auto"/>
        <w:jc w:val="both"/>
        <w:rPr>
          <w:rFonts w:ascii="Arial" w:eastAsia="Calibri" w:hAnsi="Arial" w:cs="Arial"/>
          <w:spacing w:val="4"/>
          <w:sz w:val="20"/>
          <w:szCs w:val="20"/>
        </w:rPr>
      </w:pPr>
    </w:p>
    <w:p w14:paraId="063B4B0B"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b/>
          <w:spacing w:val="4"/>
          <w:sz w:val="20"/>
          <w:szCs w:val="20"/>
        </w:rPr>
        <w:t>3.</w:t>
      </w:r>
      <w:r w:rsidRPr="00554476">
        <w:rPr>
          <w:rFonts w:ascii="Arial" w:eastAsia="Calibri" w:hAnsi="Arial" w:cs="Arial"/>
          <w:spacing w:val="4"/>
          <w:sz w:val="20"/>
          <w:szCs w:val="20"/>
        </w:rPr>
        <w:t xml:space="preserve"> </w:t>
      </w:r>
      <w:r w:rsidRPr="00554476">
        <w:rPr>
          <w:rFonts w:ascii="Arial" w:eastAsia="Calibri" w:hAnsi="Arial" w:cs="Arial"/>
          <w:b/>
          <w:spacing w:val="4"/>
          <w:sz w:val="20"/>
          <w:szCs w:val="20"/>
          <w:u w:val="single"/>
        </w:rPr>
        <w:t>No deja indeterminada o indefinida la cuantía, sino que la fija con precisión</w:t>
      </w:r>
      <w:r w:rsidRPr="00554476">
        <w:rPr>
          <w:rFonts w:ascii="Arial" w:eastAsia="Calibri" w:hAnsi="Arial" w:cs="Arial"/>
          <w:spacing w:val="4"/>
          <w:sz w:val="20"/>
          <w:szCs w:val="20"/>
        </w:rPr>
        <w:t>, siendo ésta proporcionada al encontrarse por debajo del patrón legal comunitario y nacional de los costes de recobro de una deuda excluidos de prueba, de acuerdo con nuestro ordenamiento jurídico, lo que igualmente debería determinar la desestimación de la demanda de raíz.</w:t>
      </w:r>
    </w:p>
    <w:p w14:paraId="2BBAA30A" w14:textId="77777777" w:rsidR="007C2EF0" w:rsidRPr="00554476" w:rsidRDefault="007C2EF0" w:rsidP="00554476">
      <w:pPr>
        <w:spacing w:after="0" w:line="360" w:lineRule="auto"/>
        <w:jc w:val="both"/>
        <w:rPr>
          <w:rFonts w:ascii="Arial" w:eastAsia="Calibri" w:hAnsi="Arial" w:cs="Arial"/>
          <w:spacing w:val="4"/>
          <w:sz w:val="20"/>
          <w:szCs w:val="20"/>
        </w:rPr>
      </w:pPr>
    </w:p>
    <w:p w14:paraId="320D7965"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tanto, defendemos que la comisión establecida cumple con todos los requisitos exigidos por nuestro ordenamiento jurídico, tanto de transparencia e información, como de contenido, y así lo acredita el siguiente análisis cronológico de la normativa aplicable.</w:t>
      </w:r>
    </w:p>
    <w:p w14:paraId="49F6EB76" w14:textId="77777777" w:rsidR="007C2EF0" w:rsidRPr="00554476" w:rsidRDefault="007C2EF0" w:rsidP="00554476">
      <w:pPr>
        <w:spacing w:after="0" w:line="360" w:lineRule="auto"/>
        <w:jc w:val="both"/>
        <w:rPr>
          <w:rFonts w:ascii="Arial" w:eastAsia="Calibri" w:hAnsi="Arial" w:cs="Arial"/>
          <w:spacing w:val="4"/>
          <w:sz w:val="20"/>
          <w:szCs w:val="20"/>
        </w:rPr>
      </w:pPr>
    </w:p>
    <w:p w14:paraId="20B3EA8E"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primer lugar, el establecimiento de la comisión litigiosa es conforme con lo previsto en la antigua Orden de 12 de diciembre de 1989, sobre tipos de interés y comisiones, normas de actuación, información a clientes y publicidad de las Entidades de crédito, que en su capítulo I, referido al tipo de interés, comisiones y obligaciones de información, regula las comisiones en el siguiente sentido:</w:t>
      </w:r>
    </w:p>
    <w:p w14:paraId="313A1783" w14:textId="77777777" w:rsidR="007C2EF0" w:rsidRPr="00554476" w:rsidRDefault="007C2EF0" w:rsidP="00554476">
      <w:pPr>
        <w:spacing w:after="0" w:line="360" w:lineRule="auto"/>
        <w:ind w:left="708"/>
        <w:jc w:val="both"/>
        <w:rPr>
          <w:rFonts w:ascii="Arial" w:eastAsia="Calibri" w:hAnsi="Arial" w:cs="Arial"/>
          <w:spacing w:val="4"/>
          <w:sz w:val="20"/>
          <w:szCs w:val="20"/>
        </w:rPr>
      </w:pPr>
    </w:p>
    <w:p w14:paraId="1CA4D2D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“Quinto.</w:t>
      </w:r>
    </w:p>
    <w:p w14:paraId="7A3911D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7A6E447C"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Las comisiones por operaciones o servicios prestados por las Entidades de crédito serán las que éstas fijen libremente.</w:t>
      </w:r>
    </w:p>
    <w:p w14:paraId="73465217"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6BC81EBC"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No obstante, las Entidades de crédito establecerán y harán públicas, previo registro en el Banco de España, unas tarifas de comisiones y gastos repercutibles con indicación de los supuestos y, en su caso, periodicidad, con que serán aplicables, no pudiendo cargar tipos o cantidades superiores a los contenidos en las mismas o conceptos no mencionados en ellas. Tales tarifas podrán excluir las comisiones derivadas de servicios financieros de carácter excepcional o singular, y, en los supuestos que el Banco de España determine, de aquellos otros en los que intervenga apreciablemente el riesgo.</w:t>
      </w:r>
    </w:p>
    <w:p w14:paraId="774FFF2A"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52FCEB9D"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En ningún caso podrán cargarse comisiones o gastos por servicios no aceptados o solicitados en firme por el cliente. Las comisiones o gastos repercutidos deberán responder a servicios efectivamente prestados o a gastos habidos.”</w:t>
      </w:r>
    </w:p>
    <w:p w14:paraId="4BE7BB87" w14:textId="77777777" w:rsidR="007C2EF0" w:rsidRPr="00554476" w:rsidRDefault="007C2EF0" w:rsidP="00554476">
      <w:pPr>
        <w:spacing w:after="0" w:line="360" w:lineRule="auto"/>
        <w:jc w:val="both"/>
        <w:rPr>
          <w:rFonts w:ascii="Arial" w:eastAsia="Calibri" w:hAnsi="Arial" w:cs="Arial"/>
          <w:spacing w:val="4"/>
          <w:sz w:val="20"/>
          <w:szCs w:val="20"/>
        </w:rPr>
      </w:pPr>
    </w:p>
    <w:p w14:paraId="139E9618" w14:textId="285559A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Y luego su artículo Séptimo afirma lo siguiente:</w:t>
      </w:r>
    </w:p>
    <w:p w14:paraId="45F0CF37"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“4. Los documentos contractuales relativos a operaciones activas o pasivas en los que intervenga el tiempo deberán recoger de forma explícita y clara los siguientes extremos:</w:t>
      </w:r>
    </w:p>
    <w:p w14:paraId="424A492C"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36E5EECF"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a) El tipo de interés nominal que se utilizará para la liquidación de intereses o, en el caso de operaciones al descuento, los precios efectivos inicial y final de la operación.</w:t>
      </w:r>
    </w:p>
    <w:p w14:paraId="2E073C2A"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669BDD3D"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b) La periodicidad con que se producirá el devengo de intereses, las fechas de devengo y liquidación de los mismos o, en su caso, de los precios efectivos citados en la letra anterior, la fórmula o métodos utilizados para obtener, a partir del tipo de interés nominal, el importe absoluto de los intereses devengados y, en general, cualquier otro dato necesario para el cálculo de dicho importe.</w:t>
      </w:r>
    </w:p>
    <w:p w14:paraId="04836007"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3F07B17A" w14:textId="77777777" w:rsidR="007C2EF0" w:rsidRPr="00554476" w:rsidRDefault="007C2EF0" w:rsidP="00554476">
      <w:pPr>
        <w:spacing w:after="0" w:line="360" w:lineRule="auto"/>
        <w:ind w:left="708"/>
        <w:jc w:val="both"/>
        <w:rPr>
          <w:rFonts w:ascii="Arial" w:eastAsia="Calibri" w:hAnsi="Arial" w:cs="Arial"/>
          <w:b/>
          <w:bCs/>
          <w:i/>
          <w:iCs/>
          <w:spacing w:val="4"/>
          <w:sz w:val="20"/>
          <w:szCs w:val="20"/>
        </w:rPr>
      </w:pPr>
      <w:r w:rsidRPr="00554476">
        <w:rPr>
          <w:rFonts w:ascii="Arial" w:eastAsia="Calibri" w:hAnsi="Arial" w:cs="Arial"/>
          <w:b/>
          <w:bCs/>
          <w:i/>
          <w:iCs/>
          <w:spacing w:val="4"/>
          <w:sz w:val="20"/>
          <w:szCs w:val="20"/>
        </w:rPr>
        <w:t>c) Las comisiones y gastos repercutibles que sean de aplicación, con indicación concreta de su concepto, cuantía, fechas de devengo y liquidación, así como, en general, cualquier otro dato necesario para el cálculo del importe absoluto de tales conceptos. No serán admisibles, a estos efectos, las remisiones genéricas a las tarifas a que se refiere el número quinto de esta Orden.”</w:t>
      </w:r>
    </w:p>
    <w:p w14:paraId="2530735B" w14:textId="77777777" w:rsidR="007C2EF0" w:rsidRPr="00554476" w:rsidRDefault="007C2EF0" w:rsidP="00554476">
      <w:pPr>
        <w:spacing w:after="0" w:line="360" w:lineRule="auto"/>
        <w:jc w:val="both"/>
        <w:rPr>
          <w:rFonts w:ascii="Arial" w:eastAsia="Calibri" w:hAnsi="Arial" w:cs="Arial"/>
          <w:spacing w:val="4"/>
          <w:sz w:val="20"/>
          <w:szCs w:val="20"/>
        </w:rPr>
      </w:pPr>
    </w:p>
    <w:p w14:paraId="4EC64253"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lastRenderedPageBreak/>
        <w:t>Y es indiscutible que dichos requisitos se cumplen en este caso, pues queda claro su concepto, su cuantía, la fecha de devengo y liquidación, y no existen remisiones genéricas a las tarifas de la entidad, por lo que ningún reproche jurídico se puede predicar de la comisión impugnada.</w:t>
      </w:r>
    </w:p>
    <w:p w14:paraId="26EB42F2" w14:textId="77777777" w:rsidR="007C2EF0" w:rsidRPr="00554476" w:rsidRDefault="007C2EF0" w:rsidP="00554476">
      <w:pPr>
        <w:spacing w:after="0" w:line="360" w:lineRule="auto"/>
        <w:jc w:val="both"/>
        <w:rPr>
          <w:rFonts w:ascii="Arial" w:eastAsia="Calibri" w:hAnsi="Arial" w:cs="Arial"/>
          <w:spacing w:val="4"/>
          <w:sz w:val="20"/>
          <w:szCs w:val="20"/>
        </w:rPr>
      </w:pPr>
    </w:p>
    <w:p w14:paraId="2A73FAC2"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Posteriormente, la </w:t>
      </w:r>
      <w:r w:rsidRPr="00554476">
        <w:rPr>
          <w:rFonts w:ascii="Arial" w:eastAsia="Calibri" w:hAnsi="Arial" w:cs="Arial"/>
          <w:b/>
          <w:bCs/>
          <w:spacing w:val="4"/>
          <w:sz w:val="20"/>
          <w:szCs w:val="20"/>
          <w:u w:val="single"/>
        </w:rPr>
        <w:t>Circular 8/1990, de 7 de septiembre, sobre transparencia de las operaciones y protección de la clientela</w:t>
      </w:r>
      <w:r w:rsidRPr="00554476">
        <w:rPr>
          <w:rFonts w:ascii="Arial" w:eastAsia="Calibri" w:hAnsi="Arial" w:cs="Arial"/>
          <w:spacing w:val="4"/>
          <w:sz w:val="20"/>
          <w:szCs w:val="20"/>
        </w:rPr>
        <w:t>, dispuso lo siguiente a propósito de las comisiones en el apartado 1º) de su Norma Tercera:</w:t>
      </w:r>
    </w:p>
    <w:p w14:paraId="3E67AAD6" w14:textId="77777777" w:rsidR="007C2EF0" w:rsidRPr="00554476" w:rsidRDefault="007C2EF0" w:rsidP="00554476">
      <w:pPr>
        <w:spacing w:after="0" w:line="360" w:lineRule="auto"/>
        <w:jc w:val="both"/>
        <w:rPr>
          <w:rFonts w:ascii="Arial" w:eastAsia="Calibri" w:hAnsi="Arial" w:cs="Arial"/>
          <w:spacing w:val="4"/>
          <w:sz w:val="20"/>
          <w:szCs w:val="20"/>
        </w:rPr>
      </w:pPr>
    </w:p>
    <w:p w14:paraId="2A119CB9"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1. Todas las Entidades de Crédito establecerán libremente sus tarifas de comisiones, condiciones y gastos repercutibles a la clientela por las operaciones o servicios realizados o iniciados en España, sin otras limitaciones que las contenidas en la Orden y en la presente Circular.</w:t>
      </w:r>
    </w:p>
    <w:p w14:paraId="00B63BE7"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6A24C67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Las tarifas comprenderán todas las operaciones o servicios que la Entidad realiza habitualmente.</w:t>
      </w:r>
    </w:p>
    <w:p w14:paraId="1FDE89E4"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375CB9C9"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Podrán excluirse de las tarifas las comisiones derivadas de servicios financieros de carácter excepcional o singular, y las que puedan corresponder a garantías crediticias, a aseguramiento de emisiones privadas y a servicios de factoraje sin recurso.</w:t>
      </w:r>
    </w:p>
    <w:p w14:paraId="7B501235"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49D77251"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En las tarifas de comisiones y gastos repercutibles se indicarán los supuestos y, en su caso, periodicidad con que serán aplicables. No se tarifarán servicios u operaciones no practicados. Tampoco se incluirán en las tarifas, sin perjuicio de su reflejo en los contratos correspondientes, las penalizaciones o indemnizaciones que deba pagar el cliente por incumplimiento de sus obligaciones contractuales o que sean consecuencia expresa de la compensación del lucro cesante en que incurra la entidad.”</w:t>
      </w:r>
    </w:p>
    <w:p w14:paraId="69495907" w14:textId="77777777" w:rsidR="007C2EF0" w:rsidRPr="00554476" w:rsidRDefault="007C2EF0" w:rsidP="00554476">
      <w:pPr>
        <w:spacing w:after="0" w:line="360" w:lineRule="auto"/>
        <w:jc w:val="both"/>
        <w:rPr>
          <w:rFonts w:ascii="Arial" w:eastAsia="Calibri" w:hAnsi="Arial" w:cs="Arial"/>
          <w:spacing w:val="4"/>
          <w:sz w:val="20"/>
          <w:szCs w:val="20"/>
        </w:rPr>
      </w:pPr>
    </w:p>
    <w:p w14:paraId="3DE945F3"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consecuencia, no cabe duda de que la comisión establecida es plenamente transparente, y conforme con la normativa sectorial que establece, con carácter general, que las entidades financieras establecerán libremente sus tarifas de comisiones, y únicamente prohíbe aquéllas que no respondan a servicios solicitados por el cliente y efectivamente prestados por la entidad, lo que no ocurre en este caso.</w:t>
      </w:r>
    </w:p>
    <w:p w14:paraId="392D3E0A" w14:textId="77777777" w:rsidR="007C2EF0" w:rsidRPr="00554476" w:rsidRDefault="007C2EF0" w:rsidP="00554476">
      <w:pPr>
        <w:spacing w:after="0" w:line="360" w:lineRule="auto"/>
        <w:jc w:val="both"/>
        <w:rPr>
          <w:rFonts w:ascii="Arial" w:eastAsia="Calibri" w:hAnsi="Arial" w:cs="Arial"/>
          <w:spacing w:val="4"/>
          <w:sz w:val="20"/>
          <w:szCs w:val="20"/>
        </w:rPr>
      </w:pPr>
    </w:p>
    <w:p w14:paraId="17B1D968"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los últimos años, y siguiendo con la regulación contenida en las sucesivas Órdenes Ministeriales, el artículo 3.1 de la </w:t>
      </w:r>
      <w:r w:rsidRPr="00554476">
        <w:rPr>
          <w:rFonts w:ascii="Arial" w:eastAsia="Calibri" w:hAnsi="Arial" w:cs="Arial"/>
          <w:b/>
          <w:bCs/>
          <w:spacing w:val="4"/>
          <w:sz w:val="20"/>
          <w:szCs w:val="20"/>
          <w:u w:val="single"/>
        </w:rPr>
        <w:t>Orden EHA/2899/2011, de 28 de octubre, de transparencia y protección del cliente de servicios bancarios</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dispone lo siguiente, en </w:t>
      </w:r>
      <w:r w:rsidRPr="00554476">
        <w:rPr>
          <w:rFonts w:ascii="Arial" w:eastAsia="Calibri" w:hAnsi="Arial" w:cs="Arial"/>
          <w:spacing w:val="4"/>
          <w:sz w:val="20"/>
          <w:szCs w:val="20"/>
        </w:rPr>
        <w:lastRenderedPageBreak/>
        <w:t>la misma línea que las normas anteriores, cumpliéndose igualmente en este caso lo previsto en el mismo:</w:t>
      </w:r>
    </w:p>
    <w:p w14:paraId="1CEE211B" w14:textId="77777777" w:rsidR="007C2EF0" w:rsidRPr="00554476" w:rsidRDefault="007C2EF0" w:rsidP="00554476">
      <w:pPr>
        <w:spacing w:after="0" w:line="360" w:lineRule="auto"/>
        <w:jc w:val="both"/>
        <w:rPr>
          <w:rFonts w:ascii="Arial" w:eastAsia="Calibri" w:hAnsi="Arial" w:cs="Arial"/>
          <w:spacing w:val="4"/>
          <w:sz w:val="20"/>
          <w:szCs w:val="20"/>
        </w:rPr>
      </w:pPr>
    </w:p>
    <w:p w14:paraId="7678D6B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1. Las comisiones percibidas por servicios prestados por las entidades de crédito serán las que se fijen libremente entre dichas entidades y los clientes.</w:t>
      </w:r>
    </w:p>
    <w:p w14:paraId="14D2C08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74314AA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Sólo podrán percibirse comisiones o repercutirse gastos por servicios solicitados en firme o aceptados expresamente por un cliente y siempre que respondan a servicios efectivamente prestados o gastos habidos.”</w:t>
      </w:r>
    </w:p>
    <w:p w14:paraId="220A687A" w14:textId="77777777" w:rsidR="007C2EF0" w:rsidRPr="00554476" w:rsidRDefault="007C2EF0" w:rsidP="00554476">
      <w:pPr>
        <w:spacing w:after="0" w:line="360" w:lineRule="auto"/>
        <w:jc w:val="both"/>
        <w:rPr>
          <w:rFonts w:ascii="Arial" w:eastAsia="Calibri" w:hAnsi="Arial" w:cs="Arial"/>
          <w:spacing w:val="4"/>
          <w:sz w:val="20"/>
          <w:szCs w:val="20"/>
        </w:rPr>
      </w:pPr>
    </w:p>
    <w:p w14:paraId="0456C898"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Y por lo que respecta a la regulación de esta materia de comisiones que se contiene en normas con rango de Ley, se comprobará claramente que, de igual forma, la cláusula litigiosa y la comisión resultante de la misma, es totalmente conforme a Derecho, siendo buena prueba de ello el artículo 8 de la </w:t>
      </w:r>
      <w:r w:rsidRPr="00554476">
        <w:rPr>
          <w:rFonts w:ascii="Arial" w:eastAsia="Calibri" w:hAnsi="Arial" w:cs="Arial"/>
          <w:b/>
          <w:bCs/>
          <w:spacing w:val="4"/>
          <w:sz w:val="20"/>
          <w:szCs w:val="20"/>
          <w:u w:val="single"/>
        </w:rPr>
        <w:t>Ley 3/2004, de 29 de diciembre, por la que se establecen medidas de lucha contra la morosidad en las operaciones comerciales</w:t>
      </w:r>
      <w:r w:rsidRPr="00554476">
        <w:rPr>
          <w:rFonts w:ascii="Arial" w:eastAsia="Calibri" w:hAnsi="Arial" w:cs="Arial"/>
          <w:spacing w:val="4"/>
          <w:sz w:val="20"/>
          <w:szCs w:val="20"/>
        </w:rPr>
        <w:t>, que prevé lo siguiente:</w:t>
      </w:r>
    </w:p>
    <w:p w14:paraId="105A3282"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                </w:t>
      </w:r>
    </w:p>
    <w:p w14:paraId="790E7B8F" w14:textId="717AF559" w:rsidR="007C2EF0" w:rsidRPr="00554476" w:rsidRDefault="007C2EF0" w:rsidP="008B4B3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1. Cuando el deudor incurra en mora, el acreedor tendrá derecho a cobrar del deudor una cantidad fija de 40 euros, que se añadirá en todo caso y sin necesidad de petición expresa a la deuda principal.</w:t>
      </w:r>
    </w:p>
    <w:p w14:paraId="3BA713DC"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Además, el acreedor tendrá derecho a reclamar al deudor una indemnización por todos los costes de cobro debidamente acreditados que haya sufrido a causa de la mora de éste y que superen la cantidad indicada en el párrafo anterior.”</w:t>
      </w:r>
    </w:p>
    <w:p w14:paraId="13B1C2F4" w14:textId="77777777" w:rsidR="007C2EF0" w:rsidRPr="00554476" w:rsidRDefault="007C2EF0" w:rsidP="00554476">
      <w:pPr>
        <w:spacing w:after="0" w:line="360" w:lineRule="auto"/>
        <w:jc w:val="both"/>
        <w:rPr>
          <w:rFonts w:ascii="Arial" w:eastAsia="Calibri" w:hAnsi="Arial" w:cs="Arial"/>
          <w:spacing w:val="4"/>
          <w:sz w:val="20"/>
          <w:szCs w:val="20"/>
        </w:rPr>
      </w:pPr>
    </w:p>
    <w:p w14:paraId="2590D0ED"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Es decir, que es evidente que el legislador pretende proteger y compensar al acreedor que sufre el incumplimiento de su deudor, no sólo con la comisión referida, sino con los intereses de demora correspondientes a la deuda, así como el exceso del coste de reclamación, si lo hubiere.</w:t>
      </w:r>
    </w:p>
    <w:p w14:paraId="3FABD61C" w14:textId="77777777" w:rsidR="007C2EF0" w:rsidRPr="00554476" w:rsidRDefault="007C2EF0" w:rsidP="00554476">
      <w:pPr>
        <w:spacing w:after="0" w:line="360" w:lineRule="auto"/>
        <w:jc w:val="both"/>
        <w:rPr>
          <w:rFonts w:ascii="Arial" w:eastAsia="Calibri" w:hAnsi="Arial" w:cs="Arial"/>
          <w:spacing w:val="4"/>
          <w:sz w:val="20"/>
          <w:szCs w:val="20"/>
        </w:rPr>
      </w:pPr>
    </w:p>
    <w:p w14:paraId="3E41CAFC" w14:textId="77777777" w:rsidR="007C2EF0" w:rsidRPr="00554476" w:rsidRDefault="007C2EF0" w:rsidP="00554476">
      <w:pPr>
        <w:spacing w:after="0" w:line="360" w:lineRule="auto"/>
        <w:jc w:val="both"/>
        <w:rPr>
          <w:rFonts w:ascii="Arial" w:eastAsia="Calibri" w:hAnsi="Arial" w:cs="Arial"/>
          <w:spacing w:val="4"/>
          <w:sz w:val="20"/>
          <w:szCs w:val="20"/>
          <w:u w:val="single"/>
        </w:rPr>
      </w:pPr>
      <w:r w:rsidRPr="00554476">
        <w:rPr>
          <w:rFonts w:ascii="Arial" w:eastAsia="Calibri" w:hAnsi="Arial" w:cs="Arial"/>
          <w:spacing w:val="4"/>
          <w:sz w:val="20"/>
          <w:szCs w:val="20"/>
        </w:rPr>
        <w:t xml:space="preserve">A mayor abundamiento, vemos como la cláusula impugnada establece, conforme a la normativa sectorial, una comisión única, sin porcentajes y, sobre todo, </w:t>
      </w:r>
      <w:r w:rsidRPr="00554476">
        <w:rPr>
          <w:rFonts w:ascii="Arial" w:eastAsia="Calibri" w:hAnsi="Arial" w:cs="Arial"/>
          <w:spacing w:val="4"/>
          <w:sz w:val="20"/>
          <w:szCs w:val="20"/>
          <w:u w:val="single"/>
        </w:rPr>
        <w:t>no se acredita, pues no ha ocurrido, que mi mandante en ningún caso la haya aplicado automáticamente, sino teniendo en cuenta las circunstancias concretas del descubierto.</w:t>
      </w:r>
    </w:p>
    <w:p w14:paraId="7D150514" w14:textId="77777777" w:rsidR="007C2EF0" w:rsidRPr="00554476" w:rsidRDefault="007C2EF0" w:rsidP="00554476">
      <w:pPr>
        <w:spacing w:after="0" w:line="360" w:lineRule="auto"/>
        <w:jc w:val="both"/>
        <w:rPr>
          <w:rFonts w:ascii="Arial" w:eastAsia="Calibri" w:hAnsi="Arial" w:cs="Arial"/>
          <w:spacing w:val="4"/>
          <w:sz w:val="20"/>
          <w:szCs w:val="20"/>
        </w:rPr>
      </w:pPr>
    </w:p>
    <w:p w14:paraId="2A70C0C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otra parte, el contenido de este artículo 8 de la Ley 3/2004, de 29 de diciembre, sirve como parámetro de proporcionalidad del coste de la comisión a la hora de valorar el posible desequilibrio de la cláusula impugnada, viniendo el mismo regulado por Ley, y por tanto, la aplicación de este criterio legal no necesita pacto, siendo el importe económico regulado aquel que el legislador entiende excluido de prueba por entender que se trata de un umbral mínimo de coste repercutible al cliente cuando se reclama una deuda por impago.</w:t>
      </w:r>
    </w:p>
    <w:p w14:paraId="42A19872" w14:textId="77777777" w:rsidR="007C2EF0" w:rsidRPr="00554476" w:rsidRDefault="007C2EF0" w:rsidP="00554476">
      <w:pPr>
        <w:spacing w:after="0" w:line="360" w:lineRule="auto"/>
        <w:jc w:val="both"/>
        <w:rPr>
          <w:rFonts w:ascii="Arial" w:eastAsia="Calibri" w:hAnsi="Arial" w:cs="Arial"/>
          <w:spacing w:val="4"/>
          <w:sz w:val="20"/>
          <w:szCs w:val="20"/>
        </w:rPr>
      </w:pPr>
    </w:p>
    <w:p w14:paraId="4C621FA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La regulación de este parámetro legal acerca de los costes de recobro en el citado artículo 8 de la Ley 3/2004, de 29 de diciembre, proviene de la Directiva 2011/7/UE del Parlamento Europeo y del Consejo, de 16 de febrero de 2011, que establece en su artículo 6 la procedencia de aplicar una comisión para resarcir los costes de reclamación por impago asumidos por el acreedor, fijando una cantidad de 40 Euros como cantidad razonable de la comisión.</w:t>
      </w:r>
    </w:p>
    <w:p w14:paraId="6B666758" w14:textId="77777777" w:rsidR="007C2EF0" w:rsidRPr="00554476" w:rsidRDefault="007C2EF0" w:rsidP="00554476">
      <w:pPr>
        <w:spacing w:after="0" w:line="360" w:lineRule="auto"/>
        <w:jc w:val="both"/>
        <w:rPr>
          <w:rFonts w:ascii="Arial" w:eastAsia="Calibri" w:hAnsi="Arial" w:cs="Arial"/>
          <w:spacing w:val="4"/>
          <w:sz w:val="20"/>
          <w:szCs w:val="20"/>
        </w:rPr>
      </w:pPr>
    </w:p>
    <w:p w14:paraId="529794F4"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ese sentido, traemos a colación que la comisión de reclamación de posiciones deudoras es una práctica admitida en el ámbito del derecho comparado, y así, vemos que la Unión Europea, titular de competencias regulatorias sobre los Estados Miembros en materia de protección de los consumidores y usuarios, considera legítima la aplicación de una comisión en caso de reclamación como consecuencia de impagos, pues reconoce que el coste de reclamación por posiciones deudoras conlleva unos costes para el reclamante, que deben ser cubiertos al margen de la penalización que suponen los intereses de demora.</w:t>
      </w:r>
    </w:p>
    <w:p w14:paraId="1C3A2365" w14:textId="77777777" w:rsidR="007C2EF0" w:rsidRPr="00554476" w:rsidRDefault="007C2EF0" w:rsidP="00554476">
      <w:pPr>
        <w:spacing w:after="0" w:line="360" w:lineRule="auto"/>
        <w:jc w:val="both"/>
        <w:rPr>
          <w:rFonts w:ascii="Arial" w:eastAsia="Calibri" w:hAnsi="Arial" w:cs="Arial"/>
          <w:spacing w:val="4"/>
          <w:sz w:val="20"/>
          <w:szCs w:val="20"/>
        </w:rPr>
      </w:pPr>
    </w:p>
    <w:p w14:paraId="7D6C897E"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De hecho, la Unión Europea fija el importe de 40 euros como un importe adecuado a aplicar en caso de reclamación de impagos, que resultará legítimo siempre que se haya informado debidamente del mismo.</w:t>
      </w:r>
    </w:p>
    <w:p w14:paraId="47E3A2A1" w14:textId="77777777" w:rsidR="007C2EF0" w:rsidRPr="00554476" w:rsidRDefault="007C2EF0" w:rsidP="00554476">
      <w:pPr>
        <w:spacing w:after="0" w:line="360" w:lineRule="auto"/>
        <w:jc w:val="both"/>
        <w:rPr>
          <w:rFonts w:ascii="Arial" w:eastAsia="Calibri" w:hAnsi="Arial" w:cs="Arial"/>
          <w:spacing w:val="4"/>
          <w:sz w:val="20"/>
          <w:szCs w:val="20"/>
        </w:rPr>
      </w:pPr>
    </w:p>
    <w:p w14:paraId="02E2DE12"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este sentido, la </w:t>
      </w:r>
      <w:r w:rsidRPr="00554476">
        <w:rPr>
          <w:rFonts w:ascii="Arial" w:eastAsia="Calibri" w:hAnsi="Arial" w:cs="Arial"/>
          <w:b/>
          <w:bCs/>
          <w:spacing w:val="4"/>
          <w:sz w:val="20"/>
          <w:szCs w:val="20"/>
          <w:u w:val="single"/>
        </w:rPr>
        <w:t>Directiva 2011/7/UE del Parlamento Europeo y del Consejo, de 16 de febrero de 2011, por la que se establecen medidas de lucha contra la morosidad en las operaciones comerciales</w:t>
      </w:r>
      <w:r w:rsidRPr="00554476">
        <w:rPr>
          <w:rFonts w:ascii="Arial" w:eastAsia="Calibri" w:hAnsi="Arial" w:cs="Arial"/>
          <w:spacing w:val="4"/>
          <w:sz w:val="20"/>
          <w:szCs w:val="20"/>
        </w:rPr>
        <w:t>, establece en su artículo 6, lo siguiente:</w:t>
      </w:r>
    </w:p>
    <w:p w14:paraId="546E1B60" w14:textId="77777777" w:rsidR="007C2EF0" w:rsidRPr="00554476" w:rsidRDefault="007C2EF0" w:rsidP="00554476">
      <w:pPr>
        <w:spacing w:after="0" w:line="360" w:lineRule="auto"/>
        <w:ind w:left="708"/>
        <w:jc w:val="both"/>
        <w:rPr>
          <w:rFonts w:ascii="Arial" w:eastAsia="Calibri" w:hAnsi="Arial" w:cs="Arial"/>
          <w:spacing w:val="4"/>
          <w:sz w:val="20"/>
          <w:szCs w:val="20"/>
        </w:rPr>
      </w:pPr>
    </w:p>
    <w:p w14:paraId="1F1D0C9E"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1. Los Estados miembros se asegurarán de que, en los casos en que resulte exigible el interés de demora en las operaciones comerciales con arreglo a los artículos 3 o 4, el acreedor tenga derecho a cobrar al deudor, como mínimo, una cantidad fija de 40 EUR.</w:t>
      </w:r>
    </w:p>
    <w:p w14:paraId="3879D29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3491498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2. Los Estados miembros se asegurarán de que la cantidad fija mencionada en el apartado 1 sea pagadera sin necesidad de recordatorio como compensación por los costes de cobro en que haya incurrido el acreedor.</w:t>
      </w:r>
    </w:p>
    <w:p w14:paraId="44BF2D0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752FC6C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3. Además de la cantidad fija establecida en el apartado 1, el acreedor tendrá derecho a obtener del deudor una compensación razonable por todos los demás costes de cobro que superen la cantidad fija y que haya sufrido a causa de la morosidad de este.</w:t>
      </w:r>
    </w:p>
    <w:p w14:paraId="44E99A95"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50DC1B52"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Esta podría incluir, entre otros, los gastos que el acreedor haya debido sufragar para la contratación de un abogado o una agencia de gestión de cobro.”</w:t>
      </w:r>
    </w:p>
    <w:p w14:paraId="271106C9" w14:textId="77777777" w:rsidR="007C2EF0" w:rsidRPr="00554476" w:rsidRDefault="007C2EF0" w:rsidP="00554476">
      <w:pPr>
        <w:spacing w:after="0" w:line="360" w:lineRule="auto"/>
        <w:jc w:val="both"/>
        <w:rPr>
          <w:rFonts w:ascii="Arial" w:eastAsia="Calibri" w:hAnsi="Arial" w:cs="Arial"/>
          <w:spacing w:val="4"/>
          <w:sz w:val="20"/>
          <w:szCs w:val="20"/>
        </w:rPr>
      </w:pPr>
    </w:p>
    <w:p w14:paraId="533E195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A mayor abundamiento, la Comisión Europea ha publicado un documento de preguntas y respuestas sobre la interpretación de la citada Directiva 2011/7/UE del Parlamento Europeo y del Consejo, de 16 de febrero de 2011, por la que se establecen medidas de lucha contra la morosidad en las operaciones comerciales, en el que se establecen las directrices interpretativas de la Directiva 2011/7/UE, y del que se desprende que la comisión de 40 euros constituye el importe que el acreedor tiene derecho a obtener, como compensación de los costes administrativos de reclamación de la suma impagada.</w:t>
      </w:r>
    </w:p>
    <w:p w14:paraId="10602EE0" w14:textId="77777777" w:rsidR="007C2EF0" w:rsidRPr="00554476" w:rsidRDefault="007C2EF0" w:rsidP="00554476">
      <w:pPr>
        <w:spacing w:after="0" w:line="360" w:lineRule="auto"/>
        <w:jc w:val="both"/>
        <w:rPr>
          <w:rFonts w:ascii="Arial" w:eastAsia="Calibri" w:hAnsi="Arial" w:cs="Arial"/>
          <w:spacing w:val="4"/>
          <w:sz w:val="20"/>
          <w:szCs w:val="20"/>
        </w:rPr>
      </w:pPr>
    </w:p>
    <w:p w14:paraId="54F3074A" w14:textId="77777777" w:rsidR="007C2EF0" w:rsidRPr="00554476" w:rsidRDefault="007C2EF0" w:rsidP="00554476">
      <w:pPr>
        <w:spacing w:after="0" w:line="360" w:lineRule="auto"/>
        <w:jc w:val="both"/>
        <w:rPr>
          <w:rFonts w:ascii="Arial" w:eastAsia="Calibri" w:hAnsi="Arial" w:cs="Arial"/>
          <w:spacing w:val="4"/>
          <w:sz w:val="20"/>
          <w:szCs w:val="20"/>
        </w:rPr>
      </w:pPr>
      <w:r w:rsidRPr="008B4B36">
        <w:rPr>
          <w:rFonts w:ascii="Arial" w:eastAsia="Calibri" w:hAnsi="Arial" w:cs="Arial"/>
          <w:b/>
          <w:spacing w:val="4"/>
          <w:sz w:val="20"/>
          <w:szCs w:val="20"/>
        </w:rPr>
        <w:t>Esta suma, además, se genera cada vez que el acreedor reclama la suma impagada, y por ello, incurre en nuevos costes de reclamación. Y todo ello, sin perjuicio del derecho del acreedor de reclamar al deudor el exceso en los costes de reclamación, en el supuesto de existir los mismos</w:t>
      </w:r>
      <w:r w:rsidRPr="00554476">
        <w:rPr>
          <w:rFonts w:ascii="Arial" w:eastAsia="Calibri" w:hAnsi="Arial" w:cs="Arial"/>
          <w:spacing w:val="4"/>
          <w:sz w:val="20"/>
          <w:szCs w:val="20"/>
        </w:rPr>
        <w:t>.</w:t>
      </w:r>
    </w:p>
    <w:p w14:paraId="0A6B7967" w14:textId="77777777" w:rsidR="007C2EF0" w:rsidRPr="00554476" w:rsidRDefault="007C2EF0" w:rsidP="00554476">
      <w:pPr>
        <w:spacing w:after="0" w:line="360" w:lineRule="auto"/>
        <w:jc w:val="both"/>
        <w:rPr>
          <w:rFonts w:ascii="Arial" w:eastAsia="Calibri" w:hAnsi="Arial" w:cs="Arial"/>
          <w:spacing w:val="4"/>
          <w:sz w:val="20"/>
          <w:szCs w:val="20"/>
        </w:rPr>
      </w:pPr>
    </w:p>
    <w:p w14:paraId="581D1DE3"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Adicionalmente a todo lo anterior, debe ponerse de manifiesto que las comisiones por reclamación de posición deudora no solo resultan válidas y ampliamente utilizadas en España, y han sido admitidas por parte de la Unión Europea, sino que también constituyen mecanismos ampliamente aceptados en el resto de Estados Miembros.</w:t>
      </w:r>
    </w:p>
    <w:p w14:paraId="70107384" w14:textId="77777777" w:rsidR="007C2EF0" w:rsidRPr="00554476" w:rsidRDefault="007C2EF0" w:rsidP="00554476">
      <w:pPr>
        <w:spacing w:after="0" w:line="360" w:lineRule="auto"/>
        <w:jc w:val="both"/>
        <w:rPr>
          <w:rFonts w:ascii="Arial" w:eastAsia="Calibri" w:hAnsi="Arial" w:cs="Arial"/>
          <w:spacing w:val="4"/>
          <w:sz w:val="20"/>
          <w:szCs w:val="20"/>
        </w:rPr>
      </w:pPr>
    </w:p>
    <w:p w14:paraId="422C77EE"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A modo de ejemplo, el código civil holandés, ha introducido en su sección 96, una comisión estándar de reclamación por impagos, por importe de 40 euros, al amparo de lo dispuesto en las Directivas de la Unión.</w:t>
      </w:r>
    </w:p>
    <w:p w14:paraId="3F01AB5F" w14:textId="77777777" w:rsidR="007C2EF0" w:rsidRPr="00554476" w:rsidRDefault="007C2EF0" w:rsidP="00554476">
      <w:pPr>
        <w:spacing w:after="0" w:line="360" w:lineRule="auto"/>
        <w:jc w:val="both"/>
        <w:rPr>
          <w:rFonts w:ascii="Arial" w:eastAsia="Calibri" w:hAnsi="Arial" w:cs="Arial"/>
          <w:spacing w:val="4"/>
          <w:sz w:val="20"/>
          <w:szCs w:val="20"/>
        </w:rPr>
      </w:pPr>
    </w:p>
    <w:p w14:paraId="3E18210C"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su parte, Francia también introduce en su normativa la aplicación de una comisión por reclamación de situaciones deudoras de 40 euros de importe, reconociendo al acreedor el derecho a resarcirse de los costes administrativos en los que incurre para reclamar su derecho de recepción de pago. La misma solución ha sido implantada en Alemania o Austria.</w:t>
      </w:r>
    </w:p>
    <w:p w14:paraId="3EB8926A" w14:textId="77777777" w:rsidR="007C2EF0" w:rsidRPr="00554476" w:rsidRDefault="007C2EF0" w:rsidP="00554476">
      <w:pPr>
        <w:spacing w:after="0" w:line="360" w:lineRule="auto"/>
        <w:jc w:val="both"/>
        <w:rPr>
          <w:rFonts w:ascii="Arial" w:eastAsia="Calibri" w:hAnsi="Arial" w:cs="Arial"/>
          <w:spacing w:val="4"/>
          <w:sz w:val="20"/>
          <w:szCs w:val="20"/>
        </w:rPr>
      </w:pPr>
    </w:p>
    <w:p w14:paraId="49D5CA2B"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Por último advertir que, en el marco de la Directiva 2008/48/CE del Parlamento Europeo y del Consejo de 23 de abril de 2008, hay Estados miembros de la UE, como Finlandia, que incluso prevén unos importes muy superiores a los establecidos en la cláusula de mi mandante como repercutibles al consumidor (pueden llegar a 60 €) o Alemania, Holanda y Austria, que dio lugar a la STJUE </w:t>
      </w:r>
      <w:proofErr w:type="spellStart"/>
      <w:r w:rsidRPr="00554476">
        <w:rPr>
          <w:rFonts w:ascii="Arial" w:eastAsia="Calibri" w:hAnsi="Arial" w:cs="Arial"/>
          <w:spacing w:val="4"/>
          <w:sz w:val="20"/>
          <w:szCs w:val="20"/>
        </w:rPr>
        <w:t>Inko</w:t>
      </w:r>
      <w:proofErr w:type="spellEnd"/>
      <w:r w:rsidRPr="00554476">
        <w:rPr>
          <w:rFonts w:ascii="Arial" w:eastAsia="Calibri" w:hAnsi="Arial" w:cs="Arial"/>
          <w:spacing w:val="4"/>
          <w:sz w:val="20"/>
          <w:szCs w:val="20"/>
        </w:rPr>
        <w:t>, donde queda fuera de toda duda por vía de disposición en su Código Civil el derecho del acreedor a repercutir los gastos de recobro con independencia de los intereses de demora que procedan.</w:t>
      </w:r>
    </w:p>
    <w:p w14:paraId="29B9AF69" w14:textId="77777777" w:rsidR="007C2EF0" w:rsidRPr="00554476" w:rsidRDefault="007C2EF0" w:rsidP="00554476">
      <w:pPr>
        <w:spacing w:after="0" w:line="360" w:lineRule="auto"/>
        <w:jc w:val="both"/>
        <w:rPr>
          <w:rFonts w:ascii="Arial" w:eastAsia="Calibri" w:hAnsi="Arial" w:cs="Arial"/>
          <w:spacing w:val="4"/>
          <w:sz w:val="20"/>
          <w:szCs w:val="20"/>
        </w:rPr>
      </w:pPr>
    </w:p>
    <w:p w14:paraId="538B162D"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Así se reconoce también por la Abogado General del TJUE, SRA. ELEANOR SHARPSTON, el 21 de julio de 2016, Asunto C-127/15, en el proceso INKO </w:t>
      </w:r>
      <w:r w:rsidRPr="00554476">
        <w:rPr>
          <w:rFonts w:ascii="Arial" w:eastAsia="Calibri" w:hAnsi="Arial" w:cs="Arial"/>
          <w:i/>
          <w:iCs/>
          <w:spacing w:val="4"/>
          <w:sz w:val="20"/>
          <w:szCs w:val="20"/>
        </w:rPr>
        <w:t>“existen unos costes de cobro que, en virtud del contrato inicial, corren a cargo del prestatario en situación de falta de pago, el proceso no es gratuito para el prestatario”</w:t>
      </w:r>
      <w:r w:rsidRPr="00554476">
        <w:rPr>
          <w:rFonts w:ascii="Arial" w:eastAsia="Calibri" w:hAnsi="Arial" w:cs="Arial"/>
          <w:spacing w:val="4"/>
          <w:sz w:val="20"/>
          <w:szCs w:val="20"/>
        </w:rPr>
        <w:t>.</w:t>
      </w:r>
    </w:p>
    <w:p w14:paraId="19DE9DAF" w14:textId="77777777" w:rsidR="007C2EF0" w:rsidRPr="00554476" w:rsidRDefault="007C2EF0" w:rsidP="00554476">
      <w:pPr>
        <w:spacing w:after="0" w:line="360" w:lineRule="auto"/>
        <w:jc w:val="both"/>
        <w:rPr>
          <w:rFonts w:ascii="Arial" w:eastAsia="Calibri" w:hAnsi="Arial" w:cs="Arial"/>
          <w:spacing w:val="4"/>
          <w:sz w:val="20"/>
          <w:szCs w:val="20"/>
        </w:rPr>
      </w:pPr>
    </w:p>
    <w:p w14:paraId="0C53F42E"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ello, en la medida en que el coste de reclamación pactado con un consumidor sea inferior al que resultaría de la regulación legal, y sin necesidad de pacto ni prueba para una relación natural en el tráfico mercantil, cabe concluir que el coste es proporcionado y no genera ningún desequilibrio, lo que impide aplicar la consideración de cláusula abusiva según la normativa y jurisprudencia europea y nacional, pues el coste regulado legalmente es precisamente el que nos debe servir como orientación o baremo de cara a medir el equilibrio, razonabilidad y proporcionalidad del coste a repercutir por vía de pacto, siendo indiscutible que en este caso estaríamos dentro de ese supuesto de hecho.</w:t>
      </w:r>
    </w:p>
    <w:p w14:paraId="0BCB45A2" w14:textId="77777777" w:rsidR="007C2EF0" w:rsidRPr="00554476" w:rsidRDefault="007C2EF0" w:rsidP="00554476">
      <w:pPr>
        <w:spacing w:after="0" w:line="360" w:lineRule="auto"/>
        <w:jc w:val="both"/>
        <w:rPr>
          <w:rFonts w:ascii="Arial" w:eastAsia="Calibri" w:hAnsi="Arial" w:cs="Arial"/>
          <w:spacing w:val="4"/>
          <w:sz w:val="20"/>
          <w:szCs w:val="20"/>
        </w:rPr>
      </w:pPr>
    </w:p>
    <w:p w14:paraId="103AFED1"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Continuando con el análisis cronológico de las normas de rango legal, con posterioridad a la citada Ley 3/2004, de 29 de diciembre, encontramos la promulgación de la Ley 2/2009, de 31 de marzo, por la que se regula la contratación con los consumidores de préstamos o créditos hipotecarios y de servicios de intermediación para la celebración de contratos de préstamo o crédito, que establece, en el artículo 5.1, lo siguiente:</w:t>
      </w:r>
    </w:p>
    <w:p w14:paraId="424E5CC9" w14:textId="77777777" w:rsidR="007C2EF0" w:rsidRPr="00554476" w:rsidRDefault="007C2EF0" w:rsidP="00554476">
      <w:pPr>
        <w:spacing w:after="0" w:line="360" w:lineRule="auto"/>
        <w:jc w:val="both"/>
        <w:rPr>
          <w:rFonts w:ascii="Arial" w:eastAsia="Calibri" w:hAnsi="Arial" w:cs="Arial"/>
          <w:spacing w:val="4"/>
          <w:sz w:val="20"/>
          <w:szCs w:val="20"/>
        </w:rPr>
      </w:pPr>
    </w:p>
    <w:p w14:paraId="534A621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1. Las empresas establecerán libremente sus tarifas de comisiones, condiciones y gastos repercutibles a los consumidores, sin otras limitaciones que las contenidas en esta Ley, en la Ley de 23 de julio de 1908 y en el Real Decreto Legislativo 1/2007, de 16 de noviembre, en materia de cláusulas abusivas.</w:t>
      </w:r>
    </w:p>
    <w:p w14:paraId="67A1C260"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43AADBA7"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En las tarifas de comisiones o compensaciones y gastos repercutibles, incluidas las actividades de asesoramiento, se indicarán los supuestos y, en su caso, periodicidad con que serán aplicables. Las comisiones o compensaciones y gastos repercutidos deben responder a servicios efectivamente prestados o a gastos habidos. En ningún caso podrán cargarse comisiones o gastos por servicios no aceptados o solicitados en firme y de forma expresa por el consumidor”.</w:t>
      </w:r>
    </w:p>
    <w:p w14:paraId="0CB97C66" w14:textId="77777777" w:rsidR="007C2EF0" w:rsidRPr="00554476" w:rsidRDefault="007C2EF0" w:rsidP="00554476">
      <w:pPr>
        <w:spacing w:after="0" w:line="360" w:lineRule="auto"/>
        <w:jc w:val="both"/>
        <w:rPr>
          <w:rFonts w:ascii="Arial" w:eastAsia="Calibri" w:hAnsi="Arial" w:cs="Arial"/>
          <w:spacing w:val="4"/>
          <w:sz w:val="20"/>
          <w:szCs w:val="20"/>
        </w:rPr>
      </w:pPr>
    </w:p>
    <w:p w14:paraId="42E609A8"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Y como vemos, se mantiene la línea de libertad de establecimiento de tarifas de comisiones, y la necesidad de que las mismas respondan a servicios efectivamente prestados, reiterando en ese sentido el entero cumplimiento por parte de mi mandante de este parámetro esencial, al obedecer el cobro de la comisión a los acreditados servicios prestados por la entidad en caso de incumplimiento de la obligación de pago por el cliente.</w:t>
      </w:r>
    </w:p>
    <w:p w14:paraId="0E0D3924" w14:textId="77777777" w:rsidR="007C2EF0" w:rsidRPr="00554476" w:rsidRDefault="007C2EF0" w:rsidP="00554476">
      <w:pPr>
        <w:spacing w:after="0" w:line="360" w:lineRule="auto"/>
        <w:jc w:val="both"/>
        <w:rPr>
          <w:rFonts w:ascii="Arial" w:eastAsia="Calibri" w:hAnsi="Arial" w:cs="Arial"/>
          <w:spacing w:val="4"/>
          <w:sz w:val="20"/>
          <w:szCs w:val="20"/>
        </w:rPr>
      </w:pPr>
    </w:p>
    <w:p w14:paraId="2C55DC04"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Corolario de este análisis normativo es que no existe una normativa que impida la aplicación de esta comisión por reclamación en contratos celebrados con consumidores, y de hecho, su aplicación se ha previsto legalmente de forma expresa en diversos Estados Miembros de la Unión Europea, como Finlandia y Austria, siendo evidente que de conformidad con el patrón legal previsto, se reconoce que el acreedor asume unos gastos de reclamación de </w:t>
      </w:r>
      <w:r w:rsidRPr="00554476">
        <w:rPr>
          <w:rFonts w:ascii="Arial" w:eastAsia="Calibri" w:hAnsi="Arial" w:cs="Arial"/>
          <w:spacing w:val="4"/>
          <w:sz w:val="20"/>
          <w:szCs w:val="20"/>
        </w:rPr>
        <w:lastRenderedPageBreak/>
        <w:t>importes debidos, que deben ser compensados, por lo que nos encontraríamos ante una comisión que responde a servicios o gastos efectivamente prestados o asumidos.</w:t>
      </w:r>
    </w:p>
    <w:p w14:paraId="74E6594C" w14:textId="77777777" w:rsidR="007C2EF0" w:rsidRPr="00554476" w:rsidRDefault="007C2EF0" w:rsidP="00554476">
      <w:pPr>
        <w:spacing w:after="0" w:line="360" w:lineRule="auto"/>
        <w:jc w:val="both"/>
        <w:rPr>
          <w:rFonts w:ascii="Arial" w:eastAsia="Calibri" w:hAnsi="Arial" w:cs="Arial"/>
          <w:spacing w:val="4"/>
          <w:sz w:val="20"/>
          <w:szCs w:val="20"/>
        </w:rPr>
      </w:pPr>
    </w:p>
    <w:p w14:paraId="43FC9C44" w14:textId="77777777" w:rsidR="007C2EF0" w:rsidRPr="00554476" w:rsidRDefault="007C2EF0" w:rsidP="00554476">
      <w:pPr>
        <w:spacing w:after="0" w:line="360" w:lineRule="auto"/>
        <w:jc w:val="both"/>
        <w:rPr>
          <w:rFonts w:ascii="Arial" w:eastAsia="Calibri" w:hAnsi="Arial" w:cs="Arial"/>
          <w:b/>
          <w:bCs/>
          <w:spacing w:val="4"/>
          <w:sz w:val="20"/>
          <w:szCs w:val="20"/>
        </w:rPr>
      </w:pPr>
      <w:r w:rsidRPr="008B4B36">
        <w:rPr>
          <w:rFonts w:ascii="Arial" w:eastAsia="Calibri" w:hAnsi="Arial" w:cs="Arial"/>
          <w:b/>
          <w:bCs/>
          <w:spacing w:val="4"/>
          <w:sz w:val="20"/>
          <w:szCs w:val="20"/>
          <w:highlight w:val="yellow"/>
        </w:rPr>
        <w:t>Teniendo en cuenta todo lo anterior, no puede considerarse desproporcionada una comisión de DOCE EUROS (12,02 €)</w:t>
      </w:r>
      <w:r w:rsidRPr="00554476">
        <w:rPr>
          <w:rFonts w:ascii="Arial" w:eastAsia="Calibri" w:hAnsi="Arial" w:cs="Arial"/>
          <w:b/>
          <w:bCs/>
          <w:spacing w:val="4"/>
          <w:sz w:val="20"/>
          <w:szCs w:val="20"/>
        </w:rPr>
        <w:t xml:space="preserve"> por reclamación de una situación de impago, </w:t>
      </w:r>
      <w:r w:rsidRPr="00554476">
        <w:rPr>
          <w:rFonts w:ascii="Arial" w:eastAsia="Calibri" w:hAnsi="Arial" w:cs="Arial"/>
          <w:spacing w:val="4"/>
          <w:sz w:val="20"/>
          <w:szCs w:val="20"/>
        </w:rPr>
        <w:t>cuando la misma normativa reconoce que los costes administrativos de reclamación por impago ascienden a 40 euros, estableciendo un patrón legal común, en ese sentido.</w:t>
      </w:r>
    </w:p>
    <w:p w14:paraId="4D03A6A8" w14:textId="77777777" w:rsidR="007C2EF0" w:rsidRPr="00554476" w:rsidRDefault="007C2EF0" w:rsidP="00554476">
      <w:pPr>
        <w:spacing w:after="0" w:line="360" w:lineRule="auto"/>
        <w:jc w:val="both"/>
        <w:rPr>
          <w:rFonts w:ascii="Arial" w:eastAsia="Calibri" w:hAnsi="Arial" w:cs="Arial"/>
          <w:spacing w:val="4"/>
          <w:sz w:val="20"/>
          <w:szCs w:val="20"/>
        </w:rPr>
      </w:pPr>
    </w:p>
    <w:p w14:paraId="201D5F96"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No obstante, queremos refutar los argumentos de la demanda con las siguientes consideraciones:</w:t>
      </w:r>
    </w:p>
    <w:p w14:paraId="21E8CE31" w14:textId="77777777" w:rsidR="007C2EF0" w:rsidRPr="00554476" w:rsidRDefault="007C2EF0" w:rsidP="00554476">
      <w:pPr>
        <w:spacing w:after="0" w:line="360" w:lineRule="auto"/>
        <w:jc w:val="both"/>
        <w:rPr>
          <w:rFonts w:ascii="Arial" w:eastAsia="Calibri" w:hAnsi="Arial" w:cs="Arial"/>
          <w:spacing w:val="4"/>
          <w:sz w:val="20"/>
          <w:szCs w:val="20"/>
        </w:rPr>
      </w:pPr>
    </w:p>
    <w:p w14:paraId="7B3AF953"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r w:rsidRPr="00554476">
        <w:rPr>
          <w:rFonts w:ascii="Arial" w:eastAsia="Calibri" w:hAnsi="Arial" w:cs="Arial"/>
          <w:b/>
          <w:bCs/>
          <w:spacing w:val="4"/>
          <w:sz w:val="20"/>
          <w:szCs w:val="20"/>
          <w:u w:val="single"/>
        </w:rPr>
        <w:t>1.- La naturaleza de la cláusula de comisión por reclamación de impagos es distinta a la naturaleza y finalidad de la cláusula de intereses moratorios.</w:t>
      </w:r>
    </w:p>
    <w:p w14:paraId="207BE8F4" w14:textId="77777777" w:rsidR="007C2EF0" w:rsidRPr="00554476" w:rsidRDefault="007C2EF0" w:rsidP="00554476">
      <w:pPr>
        <w:spacing w:after="0" w:line="360" w:lineRule="auto"/>
        <w:jc w:val="both"/>
        <w:rPr>
          <w:rFonts w:ascii="Arial" w:eastAsia="Calibri" w:hAnsi="Arial" w:cs="Arial"/>
          <w:spacing w:val="4"/>
          <w:sz w:val="20"/>
          <w:szCs w:val="20"/>
          <w:u w:val="single"/>
        </w:rPr>
      </w:pPr>
    </w:p>
    <w:p w14:paraId="4CA49F99"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La finalidad de la comisión por gestión de reclamación de impagados no se puede equiparar, en ningún caso, a la finalidad de los intereses moratorios.</w:t>
      </w:r>
    </w:p>
    <w:p w14:paraId="628B8AF2" w14:textId="77777777" w:rsidR="007C2EF0" w:rsidRPr="00554476" w:rsidRDefault="007C2EF0" w:rsidP="00554476">
      <w:pPr>
        <w:spacing w:after="0" w:line="360" w:lineRule="auto"/>
        <w:jc w:val="both"/>
        <w:rPr>
          <w:rFonts w:ascii="Arial" w:eastAsia="Calibri" w:hAnsi="Arial" w:cs="Arial"/>
          <w:spacing w:val="4"/>
          <w:sz w:val="20"/>
          <w:szCs w:val="20"/>
        </w:rPr>
      </w:pPr>
    </w:p>
    <w:p w14:paraId="1E5E4201"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Para distinguir la finalidad de la comisión por gestión de reclamación de impagados de la de los intereses moratorios, es preciso hacer referencia a la teoría de los intereses de demora del Tribunal Supremo, en virtud de la cual los intereses de demora tienen una naturaleza sancionadora e indemnizatoria ante el supuesto de incumplimiento del deudor, es decir, operan a modo de una cláusula penal que pretende evitar el incumplimiento y, en su caso, resarcir de los costes financieros que padece el acreedor ante el impago de la deuda. En ningún caso son comparables o sustituibles por la comisión de reclamación de impagados, que se prevé en un contrato con una finalidad muy distinta: el resarcimiento de los gastos mínimos de reclamación.</w:t>
      </w:r>
    </w:p>
    <w:p w14:paraId="2116DCE8" w14:textId="77777777" w:rsidR="007C2EF0" w:rsidRPr="00554476" w:rsidRDefault="007C2EF0" w:rsidP="00554476">
      <w:pPr>
        <w:spacing w:after="0" w:line="360" w:lineRule="auto"/>
        <w:jc w:val="both"/>
        <w:rPr>
          <w:rFonts w:ascii="Arial" w:eastAsia="Calibri" w:hAnsi="Arial" w:cs="Arial"/>
          <w:spacing w:val="4"/>
          <w:sz w:val="20"/>
          <w:szCs w:val="20"/>
        </w:rPr>
      </w:pPr>
    </w:p>
    <w:p w14:paraId="05258122"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La jurisprudencia del Tribunal Supremo en materia de intereses moratorios, es muy clara en relación con la finalidad de los mismos. En concreto, en la </w:t>
      </w:r>
      <w:r w:rsidRPr="008B4B36">
        <w:rPr>
          <w:rFonts w:ascii="Arial" w:eastAsia="Calibri" w:hAnsi="Arial" w:cs="Arial"/>
          <w:b/>
          <w:spacing w:val="4"/>
          <w:sz w:val="20"/>
          <w:szCs w:val="20"/>
        </w:rPr>
        <w:t>Sentencia nº 705/2015, de fecha 23 de diciembre</w:t>
      </w:r>
      <w:r w:rsidRPr="00554476">
        <w:rPr>
          <w:rFonts w:ascii="Arial" w:eastAsia="Calibri" w:hAnsi="Arial" w:cs="Arial"/>
          <w:spacing w:val="4"/>
          <w:sz w:val="20"/>
          <w:szCs w:val="20"/>
        </w:rPr>
        <w:t>, indica:</w:t>
      </w:r>
    </w:p>
    <w:p w14:paraId="0AD7A875" w14:textId="77777777" w:rsidR="007C2EF0" w:rsidRPr="00554476" w:rsidRDefault="007C2EF0" w:rsidP="00554476">
      <w:pPr>
        <w:spacing w:after="0" w:line="360" w:lineRule="auto"/>
        <w:ind w:left="708"/>
        <w:jc w:val="both"/>
        <w:rPr>
          <w:rFonts w:ascii="Arial" w:eastAsia="Calibri" w:hAnsi="Arial" w:cs="Arial"/>
          <w:spacing w:val="4"/>
          <w:sz w:val="20"/>
          <w:szCs w:val="20"/>
        </w:rPr>
      </w:pPr>
    </w:p>
    <w:p w14:paraId="0E663F5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“Mientras el interés ordinario retribuye la entrega del dinero prestado durante el tiempo que está a disposición del prestatario, el interés de demora supone un incremento destinado a indemnizar los daños y perjuicios causados por el incumplimiento por el prestatario de los plazos estipulados para el pago de las cuotas de amortización del préstamo, con la función añadida de disuadir al prestatario de retrasarse en el cumplimiento de sus obligaciones.”</w:t>
      </w:r>
    </w:p>
    <w:p w14:paraId="03988DE1" w14:textId="77777777" w:rsidR="007C2EF0" w:rsidRPr="00554476" w:rsidRDefault="007C2EF0" w:rsidP="00554476">
      <w:pPr>
        <w:spacing w:after="0" w:line="360" w:lineRule="auto"/>
        <w:jc w:val="both"/>
        <w:rPr>
          <w:rFonts w:ascii="Arial" w:eastAsia="Calibri" w:hAnsi="Arial" w:cs="Arial"/>
          <w:spacing w:val="4"/>
          <w:sz w:val="20"/>
          <w:szCs w:val="20"/>
        </w:rPr>
      </w:pPr>
    </w:p>
    <w:p w14:paraId="0E8796BB"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lastRenderedPageBreak/>
        <w:t xml:space="preserve">Véase también la </w:t>
      </w:r>
      <w:r w:rsidRPr="008B4B36">
        <w:rPr>
          <w:rFonts w:ascii="Arial" w:eastAsia="Calibri" w:hAnsi="Arial" w:cs="Arial"/>
          <w:b/>
          <w:spacing w:val="4"/>
          <w:sz w:val="20"/>
          <w:szCs w:val="20"/>
        </w:rPr>
        <w:t>Sentencia núm. 1259/2007 de la Sección 1ª de la Sala Civil del Tribunal Supremo, de fecha 30 de noviembre de 2007</w:t>
      </w:r>
      <w:r w:rsidRPr="00554476">
        <w:rPr>
          <w:rFonts w:ascii="Arial" w:eastAsia="Calibri" w:hAnsi="Arial" w:cs="Arial"/>
          <w:spacing w:val="4"/>
          <w:sz w:val="20"/>
          <w:szCs w:val="20"/>
        </w:rPr>
        <w:t>, en relación con la naturaleza de los intereses moratorios:</w:t>
      </w:r>
    </w:p>
    <w:p w14:paraId="02AE3AEF" w14:textId="77777777" w:rsidR="007C2EF0" w:rsidRPr="00554476" w:rsidRDefault="007C2EF0" w:rsidP="00554476">
      <w:pPr>
        <w:spacing w:after="0" w:line="360" w:lineRule="auto"/>
        <w:jc w:val="both"/>
        <w:rPr>
          <w:rFonts w:ascii="Arial" w:eastAsia="Calibri" w:hAnsi="Arial" w:cs="Arial"/>
          <w:spacing w:val="4"/>
          <w:sz w:val="20"/>
          <w:szCs w:val="20"/>
        </w:rPr>
      </w:pPr>
    </w:p>
    <w:p w14:paraId="7117A2BC"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“La misma Sentencia señala que carecería de sentido que habiéndose producido el retraso en el pago del principal (en el caso, ya se adeudaba todo el precio y un año de intereses cuando se presentó la demanda) el interés moratorio fuere menor que el remuneratorio previsto, pues el Código civil asigna a los intereses de demora una función indemnizatoria de daños y perjuicios, y la tutela judicial efectiva exige que el vencedor en el pleito consiga el restablecimiento pleno de su derecho, como ha dicho la  STC 32/1982, de 7 de junio ( RTC 1982, 32) , con doctrina que se completa en las SSTC 114/1992, de 14 de septiembre ( RTC 1992, 114) y 206/1993, de 22 de junio (RTC 1993, 206) , así como las de esta Sala de 15 de noviembre de 2000 ( RJ 2000, 9214) , 9 de marzo de 1999 ( RJ 1999, 1994) y 18 de febrero de 1998 ( RJ 1998, 875).</w:t>
      </w:r>
    </w:p>
    <w:p w14:paraId="32CB042E"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1D77ACEF" w14:textId="01D70A1D" w:rsidR="007C2EF0" w:rsidRPr="008B4B36" w:rsidRDefault="007C2EF0" w:rsidP="008B4B3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 xml:space="preserve">Lo que parece coherente con la idea de </w:t>
      </w:r>
      <w:proofErr w:type="spellStart"/>
      <w:r w:rsidRPr="00554476">
        <w:rPr>
          <w:rFonts w:ascii="Arial" w:eastAsia="Calibri" w:hAnsi="Arial" w:cs="Arial"/>
          <w:i/>
          <w:iCs/>
          <w:spacing w:val="4"/>
          <w:sz w:val="20"/>
          <w:szCs w:val="20"/>
        </w:rPr>
        <w:t>perpetuatio</w:t>
      </w:r>
      <w:proofErr w:type="spellEnd"/>
      <w:r w:rsidRPr="00554476">
        <w:rPr>
          <w:rFonts w:ascii="Arial" w:eastAsia="Calibri" w:hAnsi="Arial" w:cs="Arial"/>
          <w:i/>
          <w:iCs/>
          <w:spacing w:val="4"/>
          <w:sz w:val="20"/>
          <w:szCs w:val="20"/>
        </w:rPr>
        <w:t xml:space="preserve"> </w:t>
      </w:r>
      <w:proofErr w:type="spellStart"/>
      <w:r w:rsidRPr="00554476">
        <w:rPr>
          <w:rFonts w:ascii="Arial" w:eastAsia="Calibri" w:hAnsi="Arial" w:cs="Arial"/>
          <w:i/>
          <w:iCs/>
          <w:spacing w:val="4"/>
          <w:sz w:val="20"/>
          <w:szCs w:val="20"/>
        </w:rPr>
        <w:t>obligationis</w:t>
      </w:r>
      <w:proofErr w:type="spellEnd"/>
      <w:r w:rsidRPr="00554476">
        <w:rPr>
          <w:rFonts w:ascii="Arial" w:eastAsia="Calibri" w:hAnsi="Arial" w:cs="Arial"/>
          <w:i/>
          <w:iCs/>
          <w:spacing w:val="4"/>
          <w:sz w:val="20"/>
          <w:szCs w:val="20"/>
        </w:rPr>
        <w:t>, consecuencia de que, llegado el día de vencimiento la prestación ha quedado incumplida, y con la naturaleza resarcitoria del interés moratorio ( SSTS 19 de mayo de 1991 [ RJ 1991, 3713] , 13 de abril de 1992 [ RJ 1992, 3100] , 23 de abril de 1998 [ RJ 1988, 2988] , 8 de marzo de 2002 [ RJ 2002, 2425] , etc.).”</w:t>
      </w:r>
    </w:p>
    <w:p w14:paraId="13320C24"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idéntico sentido se ha pronunciado el Tribunal de Justicia de la Unión Europea, en la Sentencia de fecha 21 de enero de 2015, en el Asunto C-482/13 haciendo expresa referencia al hecho de que, ante el incumplimiento de las obligaciones de pago del prestatario, el prestamista puede anticipar el vencimiento inicialmente pactado y exigir el pago de la totalidad del capital pendiente, más los intereses, intereses de demora, comisiones, gastos y costas pactados.</w:t>
      </w:r>
    </w:p>
    <w:p w14:paraId="02088737" w14:textId="77777777" w:rsidR="007C2EF0" w:rsidRPr="00554476" w:rsidRDefault="007C2EF0" w:rsidP="00554476">
      <w:pPr>
        <w:spacing w:after="0" w:line="360" w:lineRule="auto"/>
        <w:jc w:val="both"/>
        <w:rPr>
          <w:rFonts w:ascii="Arial" w:eastAsia="Calibri" w:hAnsi="Arial" w:cs="Arial"/>
          <w:spacing w:val="4"/>
          <w:sz w:val="20"/>
          <w:szCs w:val="20"/>
        </w:rPr>
      </w:pPr>
    </w:p>
    <w:p w14:paraId="1C37FD0F"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 xml:space="preserve">“18. Los litigios principales se refieren a diferentes procedimientos de ejecución hipotecaria iniciados por Unicaja Banco y </w:t>
      </w:r>
      <w:proofErr w:type="spellStart"/>
      <w:r w:rsidRPr="00554476">
        <w:rPr>
          <w:rFonts w:ascii="Arial" w:eastAsia="Calibri" w:hAnsi="Arial" w:cs="Arial"/>
          <w:i/>
          <w:iCs/>
          <w:spacing w:val="4"/>
          <w:sz w:val="20"/>
          <w:szCs w:val="20"/>
        </w:rPr>
        <w:t>Caixabank</w:t>
      </w:r>
      <w:proofErr w:type="spellEnd"/>
      <w:r w:rsidRPr="00554476">
        <w:rPr>
          <w:rFonts w:ascii="Arial" w:eastAsia="Calibri" w:hAnsi="Arial" w:cs="Arial"/>
          <w:i/>
          <w:iCs/>
          <w:spacing w:val="4"/>
          <w:sz w:val="20"/>
          <w:szCs w:val="20"/>
        </w:rPr>
        <w:t xml:space="preserve"> con el objeto de obtener la ejecución forzosa de varias hipotecas constituidas entre el 5 de enero de 2007 y el 20 de agosto de 2010 para garantizar importes comprendidos entre 47 000 euros y 249 000 euros.</w:t>
      </w:r>
    </w:p>
    <w:p w14:paraId="2AF3E525"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69AA8BDD"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20. Asimismo, todos los contratos de préstamo a los que se refieren los litigios principales incluyen una cláusula con arreglo a la cual, en caso de que el prestatario incumpla sus obligaciones de pago, el prestamista puede anticipar el vencimiento inicialmente pactado y exigir el pago de la totalidad del capital pendiente, más los intereses, intereses de demora, comisiones, gastos y costas pactados.”</w:t>
      </w:r>
    </w:p>
    <w:p w14:paraId="4EC48BCE" w14:textId="77777777" w:rsidR="007C2EF0" w:rsidRPr="00554476" w:rsidRDefault="007C2EF0" w:rsidP="00554476">
      <w:pPr>
        <w:spacing w:after="0" w:line="360" w:lineRule="auto"/>
        <w:jc w:val="both"/>
        <w:rPr>
          <w:rFonts w:ascii="Arial" w:eastAsia="Calibri" w:hAnsi="Arial" w:cs="Arial"/>
          <w:spacing w:val="4"/>
          <w:sz w:val="20"/>
          <w:szCs w:val="20"/>
        </w:rPr>
      </w:pPr>
    </w:p>
    <w:p w14:paraId="6534349A"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lastRenderedPageBreak/>
        <w:t>Vemos por tanto que el TJUE, al distinguir entre intereses de demora y comisiones, ya presupone que la naturaleza de ambos pagos es distinta: mientras que los primeros tienen una finalidad disuasoria, indemnizatoria y resarcitoria, por el coste financiero que el acreedor padece al no percibir las cantidades adeudadas en el plazo pactado, los segundos se corresponden con el resarcimiento de los gastos efectivamente incurridos por el acreedor para reclamar el cobro de las cantidades adeudadas.</w:t>
      </w:r>
    </w:p>
    <w:p w14:paraId="1ED2DED3" w14:textId="77777777" w:rsidR="007C2EF0" w:rsidRPr="00554476" w:rsidRDefault="007C2EF0" w:rsidP="00554476">
      <w:pPr>
        <w:spacing w:after="0" w:line="360" w:lineRule="auto"/>
        <w:jc w:val="both"/>
        <w:rPr>
          <w:rFonts w:ascii="Arial" w:eastAsia="Calibri" w:hAnsi="Arial" w:cs="Arial"/>
          <w:spacing w:val="4"/>
          <w:sz w:val="20"/>
          <w:szCs w:val="20"/>
        </w:rPr>
      </w:pPr>
    </w:p>
    <w:p w14:paraId="1ABB0731"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último, también de conformidad con la propia legislación estatal, la naturaleza de la comisión de reclamación de posiciones deudoras y los intereses de demora por incumplimiento del deudor es distinta.</w:t>
      </w:r>
    </w:p>
    <w:p w14:paraId="140FA1AB" w14:textId="77777777" w:rsidR="007C2EF0" w:rsidRPr="00554476" w:rsidRDefault="007C2EF0" w:rsidP="00554476">
      <w:pPr>
        <w:spacing w:after="0" w:line="360" w:lineRule="auto"/>
        <w:jc w:val="both"/>
        <w:rPr>
          <w:rFonts w:ascii="Arial" w:eastAsia="Calibri" w:hAnsi="Arial" w:cs="Arial"/>
          <w:spacing w:val="4"/>
          <w:sz w:val="20"/>
          <w:szCs w:val="20"/>
        </w:rPr>
      </w:pPr>
    </w:p>
    <w:p w14:paraId="36B9DFC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Así, de conformidad con el artículo 7 de la Ley 3/2004, las partes tienen libertad de pacto para determinar el interés de demora que se aplicará en caso de incumplimiento del deudor: </w:t>
      </w:r>
      <w:r w:rsidRPr="00554476">
        <w:rPr>
          <w:rFonts w:ascii="Arial" w:eastAsia="Calibri" w:hAnsi="Arial" w:cs="Arial"/>
          <w:i/>
          <w:iCs/>
          <w:spacing w:val="4"/>
          <w:sz w:val="20"/>
          <w:szCs w:val="20"/>
        </w:rPr>
        <w:t>“El interés de demora que deberá pagar el deudor será el que resulte del contrato y, en defecto de pacto, el tipo legal que se establece en el apartado siguiente. […]”</w:t>
      </w:r>
      <w:r w:rsidRPr="00554476">
        <w:rPr>
          <w:rFonts w:ascii="Arial" w:eastAsia="Calibri" w:hAnsi="Arial" w:cs="Arial"/>
          <w:spacing w:val="4"/>
          <w:sz w:val="20"/>
          <w:szCs w:val="20"/>
        </w:rPr>
        <w:t xml:space="preserve">. </w:t>
      </w:r>
    </w:p>
    <w:p w14:paraId="13CBD501" w14:textId="77777777" w:rsidR="007C2EF0" w:rsidRPr="00554476" w:rsidRDefault="007C2EF0" w:rsidP="00554476">
      <w:pPr>
        <w:spacing w:after="0" w:line="360" w:lineRule="auto"/>
        <w:jc w:val="both"/>
        <w:rPr>
          <w:rFonts w:ascii="Arial" w:eastAsia="Calibri" w:hAnsi="Arial" w:cs="Arial"/>
          <w:spacing w:val="4"/>
          <w:sz w:val="20"/>
          <w:szCs w:val="20"/>
        </w:rPr>
      </w:pPr>
    </w:p>
    <w:p w14:paraId="0DB741D0" w14:textId="77777777" w:rsidR="007C2EF0" w:rsidRPr="00554476" w:rsidRDefault="007C2EF0" w:rsidP="00554476">
      <w:pPr>
        <w:spacing w:after="0" w:line="360" w:lineRule="auto"/>
        <w:jc w:val="both"/>
        <w:rPr>
          <w:rFonts w:ascii="Arial" w:eastAsia="Calibri" w:hAnsi="Arial" w:cs="Arial"/>
          <w:i/>
          <w:iCs/>
          <w:spacing w:val="4"/>
          <w:sz w:val="20"/>
          <w:szCs w:val="20"/>
        </w:rPr>
      </w:pPr>
      <w:r w:rsidRPr="00554476">
        <w:rPr>
          <w:rFonts w:ascii="Arial" w:eastAsia="Calibri" w:hAnsi="Arial" w:cs="Arial"/>
          <w:spacing w:val="4"/>
          <w:sz w:val="20"/>
          <w:szCs w:val="20"/>
        </w:rPr>
        <w:t xml:space="preserve">Y, por otro lado, en el artículo 8 de la misma Ley 3/2004, se prevé la indemnización por costes de cobro en caso de incumplimiento del deudor: </w:t>
      </w:r>
      <w:r w:rsidRPr="00554476">
        <w:rPr>
          <w:rFonts w:ascii="Arial" w:eastAsia="Calibri" w:hAnsi="Arial" w:cs="Arial"/>
          <w:i/>
          <w:iCs/>
          <w:spacing w:val="4"/>
          <w:sz w:val="20"/>
          <w:szCs w:val="20"/>
        </w:rPr>
        <w:t>“Cuando el deudor incurra en mora, el acreedor tendrá derecho a cobrar del deudor una cantidad fija de 40 euros, que se añadirá en todo caso y sin necesidad de petición expresa a la deuda principal. Además, el acreedor tendrá derecho a reclamar al deudor una indemnización por todos los costes de cobro debidamente acreditados que haya sufrido a causa de la mora de éste y que superen la cantidad indicada en el párrafo anterior.”</w:t>
      </w:r>
    </w:p>
    <w:p w14:paraId="4A646FC0" w14:textId="77777777" w:rsidR="007C2EF0" w:rsidRPr="00554476" w:rsidRDefault="007C2EF0" w:rsidP="00554476">
      <w:pPr>
        <w:spacing w:after="0" w:line="360" w:lineRule="auto"/>
        <w:jc w:val="both"/>
        <w:rPr>
          <w:rFonts w:ascii="Arial" w:eastAsia="Calibri" w:hAnsi="Arial" w:cs="Arial"/>
          <w:spacing w:val="4"/>
          <w:sz w:val="20"/>
          <w:szCs w:val="20"/>
        </w:rPr>
      </w:pPr>
    </w:p>
    <w:p w14:paraId="0A1FF285" w14:textId="77777777" w:rsidR="007C2EF0" w:rsidRPr="00554476" w:rsidRDefault="007C2EF0" w:rsidP="00554476">
      <w:pPr>
        <w:spacing w:after="0" w:line="360" w:lineRule="auto"/>
        <w:jc w:val="both"/>
        <w:rPr>
          <w:rFonts w:ascii="Arial" w:eastAsia="Calibri" w:hAnsi="Arial" w:cs="Arial"/>
          <w:i/>
          <w:iCs/>
          <w:spacing w:val="4"/>
          <w:sz w:val="20"/>
          <w:szCs w:val="20"/>
        </w:rPr>
      </w:pPr>
      <w:r w:rsidRPr="00554476">
        <w:rPr>
          <w:rFonts w:ascii="Arial" w:eastAsia="Calibri" w:hAnsi="Arial" w:cs="Arial"/>
          <w:spacing w:val="4"/>
          <w:sz w:val="20"/>
          <w:szCs w:val="20"/>
        </w:rPr>
        <w:t xml:space="preserve">En definitiva, de conformidad con la normativa y jurisprudencia estatal y europea, la comisión de posiciones deudoras de los préstamos y los intereses de demora por incumplimiento del deudor, tienen una naturaleza distinta, corroborando todo ello la conformidad a Derecho de la cláusula impugnada, y así lo han declarado igualmente nuestros Juzgados y Tribunales. </w:t>
      </w:r>
    </w:p>
    <w:p w14:paraId="06A77CA9" w14:textId="77777777" w:rsidR="007C2EF0" w:rsidRPr="00554476" w:rsidRDefault="007C2EF0" w:rsidP="00554476">
      <w:pPr>
        <w:spacing w:after="0" w:line="360" w:lineRule="auto"/>
        <w:jc w:val="both"/>
        <w:rPr>
          <w:rFonts w:ascii="Arial" w:eastAsia="Calibri" w:hAnsi="Arial" w:cs="Arial"/>
          <w:spacing w:val="4"/>
          <w:sz w:val="20"/>
          <w:szCs w:val="20"/>
        </w:rPr>
      </w:pPr>
    </w:p>
    <w:p w14:paraId="6266168A"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Precisamente y sobre lo anterior, nuestra jurisprudencia viene declarando la validez de este tipo de cláusulas. Así, la </w:t>
      </w:r>
      <w:r w:rsidRPr="00554476">
        <w:rPr>
          <w:rFonts w:ascii="Arial" w:eastAsia="Calibri" w:hAnsi="Arial" w:cs="Arial"/>
          <w:b/>
          <w:spacing w:val="4"/>
          <w:sz w:val="20"/>
          <w:szCs w:val="20"/>
        </w:rPr>
        <w:t>Audiencia Provincial de Murcia, Sección Cuarta,</w:t>
      </w:r>
      <w:r w:rsidRPr="00554476">
        <w:rPr>
          <w:rFonts w:ascii="Arial" w:eastAsia="Calibri" w:hAnsi="Arial" w:cs="Arial"/>
          <w:spacing w:val="4"/>
          <w:sz w:val="20"/>
          <w:szCs w:val="20"/>
        </w:rPr>
        <w:t xml:space="preserve"> considera plenamente válida la meritada cláusula en </w:t>
      </w:r>
      <w:r w:rsidRPr="00554476">
        <w:rPr>
          <w:rFonts w:ascii="Arial" w:eastAsia="Calibri" w:hAnsi="Arial" w:cs="Arial"/>
          <w:b/>
          <w:spacing w:val="4"/>
          <w:sz w:val="20"/>
          <w:szCs w:val="20"/>
          <w:u w:val="single"/>
        </w:rPr>
        <w:t xml:space="preserve">Sentencia núm. 815/2018, de 13 de diciembre, </w:t>
      </w:r>
      <w:proofErr w:type="spellStart"/>
      <w:r w:rsidRPr="00554476">
        <w:rPr>
          <w:rFonts w:ascii="Arial" w:eastAsia="Calibri" w:hAnsi="Arial" w:cs="Arial"/>
          <w:b/>
          <w:spacing w:val="4"/>
          <w:sz w:val="20"/>
          <w:szCs w:val="20"/>
          <w:u w:val="single"/>
        </w:rPr>
        <w:t>rec.</w:t>
      </w:r>
      <w:proofErr w:type="spellEnd"/>
      <w:r w:rsidRPr="00554476">
        <w:rPr>
          <w:rFonts w:ascii="Arial" w:eastAsia="Calibri" w:hAnsi="Arial" w:cs="Arial"/>
          <w:b/>
          <w:spacing w:val="4"/>
          <w:sz w:val="20"/>
          <w:szCs w:val="20"/>
          <w:u w:val="single"/>
        </w:rPr>
        <w:t xml:space="preserve"> 852/2018 </w:t>
      </w:r>
      <w:r w:rsidRPr="00554476">
        <w:rPr>
          <w:rFonts w:ascii="Arial" w:eastAsia="Calibri" w:hAnsi="Arial" w:cs="Arial"/>
          <w:spacing w:val="4"/>
          <w:sz w:val="20"/>
          <w:szCs w:val="20"/>
        </w:rPr>
        <w:t xml:space="preserve">e, igualmente, en </w:t>
      </w:r>
      <w:r w:rsidRPr="00554476">
        <w:rPr>
          <w:rFonts w:ascii="Arial" w:eastAsia="Calibri" w:hAnsi="Arial" w:cs="Arial"/>
          <w:b/>
          <w:bCs/>
          <w:spacing w:val="4"/>
          <w:sz w:val="20"/>
          <w:szCs w:val="20"/>
          <w:u w:val="single"/>
        </w:rPr>
        <w:t>Sentencia núm. 350/2018, de 24 de mayo, donde establece</w:t>
      </w:r>
      <w:r w:rsidRPr="00554476">
        <w:rPr>
          <w:rFonts w:ascii="Arial" w:eastAsia="Calibri" w:hAnsi="Arial" w:cs="Arial"/>
          <w:spacing w:val="4"/>
          <w:sz w:val="20"/>
          <w:szCs w:val="20"/>
        </w:rPr>
        <w:t>:</w:t>
      </w:r>
    </w:p>
    <w:p w14:paraId="017BA05A"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7EC3459A"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r w:rsidRPr="00554476">
        <w:rPr>
          <w:rFonts w:ascii="Arial" w:eastAsia="Calibri" w:hAnsi="Arial" w:cs="Arial"/>
          <w:bCs/>
          <w:i/>
          <w:spacing w:val="4"/>
          <w:sz w:val="20"/>
          <w:szCs w:val="20"/>
        </w:rPr>
        <w:t>“</w:t>
      </w:r>
      <w:r w:rsidRPr="00554476">
        <w:rPr>
          <w:rFonts w:ascii="Arial" w:eastAsia="Calibri" w:hAnsi="Arial" w:cs="Arial"/>
          <w:b/>
          <w:bCs/>
          <w:i/>
          <w:spacing w:val="4"/>
          <w:sz w:val="20"/>
          <w:szCs w:val="20"/>
        </w:rPr>
        <w:t>El cobro de una cantidad al cliente por realizar una gestión de cobro a ese cliente</w:t>
      </w:r>
      <w:r w:rsidRPr="00554476">
        <w:rPr>
          <w:rFonts w:ascii="Arial" w:eastAsia="Calibri" w:hAnsi="Arial" w:cs="Arial"/>
          <w:bCs/>
          <w:i/>
          <w:spacing w:val="4"/>
          <w:sz w:val="20"/>
          <w:szCs w:val="20"/>
        </w:rPr>
        <w:t xml:space="preserve">, no responde a un servicio al mismo, ni un gasto por verificarlo. </w:t>
      </w:r>
      <w:r w:rsidRPr="00554476">
        <w:rPr>
          <w:rFonts w:ascii="Arial" w:eastAsia="Calibri" w:hAnsi="Arial" w:cs="Arial"/>
          <w:b/>
          <w:bCs/>
          <w:i/>
          <w:spacing w:val="4"/>
          <w:sz w:val="20"/>
          <w:szCs w:val="20"/>
          <w:u w:val="single"/>
        </w:rPr>
        <w:t>Cumple una función legítima, el recobro de lo impagado</w:t>
      </w:r>
      <w:r w:rsidRPr="00554476">
        <w:rPr>
          <w:rFonts w:ascii="Arial" w:eastAsia="Calibri" w:hAnsi="Arial" w:cs="Arial"/>
          <w:bCs/>
          <w:i/>
          <w:spacing w:val="4"/>
          <w:sz w:val="20"/>
          <w:szCs w:val="20"/>
        </w:rPr>
        <w:t xml:space="preserve">, pero que sirve al profesional, no al consumidor. Por lo tanto, si se siguen las directrices de la Orden </w:t>
      </w:r>
      <w:r w:rsidRPr="00554476">
        <w:rPr>
          <w:rFonts w:ascii="Arial" w:eastAsia="Calibri" w:hAnsi="Arial" w:cs="Arial"/>
          <w:bCs/>
          <w:i/>
          <w:spacing w:val="4"/>
          <w:sz w:val="20"/>
          <w:szCs w:val="20"/>
        </w:rPr>
        <w:lastRenderedPageBreak/>
        <w:t>EHA/2889/2011, de 28 de octubre, no podría dar lugar a una comisión, pues no hay servicio o gasto que retribuir.</w:t>
      </w:r>
    </w:p>
    <w:p w14:paraId="24522BE5"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p>
    <w:p w14:paraId="7F6AB473"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r w:rsidRPr="00554476">
        <w:rPr>
          <w:rFonts w:ascii="Arial" w:eastAsia="Calibri" w:hAnsi="Arial" w:cs="Arial"/>
          <w:bCs/>
          <w:i/>
          <w:spacing w:val="4"/>
          <w:sz w:val="20"/>
          <w:szCs w:val="20"/>
        </w:rPr>
        <w:t xml:space="preserve">Hay que añadir que cuando se produce un descubierto, impago o “posición deudora”, opera el interés de demora característico de la contratación bancaria. Recordemos que este interés de demora se ha considerado por la jurisprudencia (STS 2 de octubre 2011 (RJ 2.001, 7.141), </w:t>
      </w:r>
      <w:proofErr w:type="spellStart"/>
      <w:r w:rsidRPr="00554476">
        <w:rPr>
          <w:rFonts w:ascii="Arial" w:eastAsia="Calibri" w:hAnsi="Arial" w:cs="Arial"/>
          <w:bCs/>
          <w:i/>
          <w:spacing w:val="4"/>
          <w:sz w:val="20"/>
          <w:szCs w:val="20"/>
        </w:rPr>
        <w:t>rec.</w:t>
      </w:r>
      <w:proofErr w:type="spellEnd"/>
      <w:r w:rsidRPr="00554476">
        <w:rPr>
          <w:rFonts w:ascii="Arial" w:eastAsia="Calibri" w:hAnsi="Arial" w:cs="Arial"/>
          <w:bCs/>
          <w:i/>
          <w:spacing w:val="4"/>
          <w:sz w:val="20"/>
          <w:szCs w:val="20"/>
        </w:rPr>
        <w:t xml:space="preserve"> 1.961/1.996, 14 julio 2.009 (RJ 2.009, 4.467) </w:t>
      </w:r>
      <w:proofErr w:type="spellStart"/>
      <w:r w:rsidRPr="00554476">
        <w:rPr>
          <w:rFonts w:ascii="Arial" w:eastAsia="Calibri" w:hAnsi="Arial" w:cs="Arial"/>
          <w:bCs/>
          <w:i/>
          <w:spacing w:val="4"/>
          <w:sz w:val="20"/>
          <w:szCs w:val="20"/>
        </w:rPr>
        <w:t>rec.</w:t>
      </w:r>
      <w:proofErr w:type="spellEnd"/>
      <w:r w:rsidRPr="00554476">
        <w:rPr>
          <w:rFonts w:ascii="Arial" w:eastAsia="Calibri" w:hAnsi="Arial" w:cs="Arial"/>
          <w:bCs/>
          <w:i/>
          <w:spacing w:val="4"/>
          <w:sz w:val="20"/>
          <w:szCs w:val="20"/>
        </w:rPr>
        <w:t xml:space="preserve"> 325/2.005, 22 abril 2.015 (RJ 2.015, 1.360), </w:t>
      </w:r>
      <w:proofErr w:type="spellStart"/>
      <w:r w:rsidRPr="00554476">
        <w:rPr>
          <w:rFonts w:ascii="Arial" w:eastAsia="Calibri" w:hAnsi="Arial" w:cs="Arial"/>
          <w:bCs/>
          <w:i/>
          <w:spacing w:val="4"/>
          <w:sz w:val="20"/>
          <w:szCs w:val="20"/>
        </w:rPr>
        <w:t>rec.</w:t>
      </w:r>
      <w:proofErr w:type="spellEnd"/>
      <w:r w:rsidRPr="00554476">
        <w:rPr>
          <w:rFonts w:ascii="Arial" w:eastAsia="Calibri" w:hAnsi="Arial" w:cs="Arial"/>
          <w:bCs/>
          <w:i/>
          <w:spacing w:val="4"/>
          <w:sz w:val="20"/>
          <w:szCs w:val="20"/>
        </w:rPr>
        <w:t xml:space="preserve"> 2.351/2.012 y 3 junio 2.016 (RJ 2.016, 2.300), REC 2.499/2.014) de naturaleza indemnizatoria, por los perjuicios que se ocasionen al acreedor por el incumplimiento o cumplimiento tardío del deudor. El interés de demora, en palabras de la STS 26 octubre 2011 es “sanción o pena con el objetivo de indemnizar los perjuicios causados por el retraso del deudor en el cumplimiento de sus obligaciones…”</w:t>
      </w:r>
    </w:p>
    <w:p w14:paraId="3B998BD3"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p>
    <w:p w14:paraId="0C95F4CC"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r w:rsidRPr="00554476">
        <w:rPr>
          <w:rFonts w:ascii="Arial" w:eastAsia="Calibri" w:hAnsi="Arial" w:cs="Arial"/>
          <w:bCs/>
          <w:i/>
          <w:spacing w:val="4"/>
          <w:sz w:val="20"/>
          <w:szCs w:val="20"/>
        </w:rPr>
        <w:t xml:space="preserve">Así, atendida la literalidad de la cláusula litigiosa, entendemos que lleva razón el banco al reseñar que </w:t>
      </w:r>
      <w:r w:rsidRPr="00554476">
        <w:rPr>
          <w:rFonts w:ascii="Arial" w:eastAsia="Calibri" w:hAnsi="Arial" w:cs="Arial"/>
          <w:b/>
          <w:bCs/>
          <w:i/>
          <w:spacing w:val="4"/>
          <w:sz w:val="20"/>
          <w:szCs w:val="20"/>
        </w:rPr>
        <w:t xml:space="preserve">no se prevé su devengo automático. </w:t>
      </w:r>
      <w:r w:rsidRPr="00554476">
        <w:rPr>
          <w:rFonts w:ascii="Arial" w:eastAsia="Calibri" w:hAnsi="Arial" w:cs="Arial"/>
          <w:b/>
          <w:bCs/>
          <w:i/>
          <w:spacing w:val="4"/>
          <w:sz w:val="20"/>
          <w:szCs w:val="20"/>
          <w:u w:val="single"/>
        </w:rPr>
        <w:t>La comisión solo se producirá si hay efectiva reclamación por la posición deudora</w:t>
      </w:r>
      <w:r w:rsidRPr="00554476">
        <w:rPr>
          <w:rFonts w:ascii="Arial" w:eastAsia="Calibri" w:hAnsi="Arial" w:cs="Arial"/>
          <w:bCs/>
          <w:i/>
          <w:spacing w:val="4"/>
          <w:sz w:val="20"/>
          <w:szCs w:val="20"/>
        </w:rPr>
        <w:t>.</w:t>
      </w:r>
    </w:p>
    <w:p w14:paraId="6FDCF319"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p>
    <w:p w14:paraId="0A6700BE" w14:textId="77777777" w:rsidR="007C2EF0" w:rsidRPr="00554476" w:rsidRDefault="007C2EF0" w:rsidP="00554476">
      <w:pPr>
        <w:spacing w:after="0" w:line="360" w:lineRule="auto"/>
        <w:ind w:left="851"/>
        <w:jc w:val="both"/>
        <w:rPr>
          <w:rFonts w:ascii="Arial" w:eastAsia="Calibri" w:hAnsi="Arial" w:cs="Arial"/>
          <w:bCs/>
          <w:i/>
          <w:spacing w:val="4"/>
          <w:sz w:val="20"/>
          <w:szCs w:val="20"/>
        </w:rPr>
      </w:pPr>
      <w:r w:rsidRPr="00554476">
        <w:rPr>
          <w:rFonts w:ascii="Arial" w:eastAsia="Calibri" w:hAnsi="Arial" w:cs="Arial"/>
          <w:bCs/>
          <w:i/>
          <w:spacing w:val="4"/>
          <w:sz w:val="20"/>
          <w:szCs w:val="20"/>
        </w:rPr>
        <w:t xml:space="preserve">En definitiva, </w:t>
      </w:r>
      <w:r w:rsidRPr="00554476">
        <w:rPr>
          <w:rFonts w:ascii="Arial" w:eastAsia="Calibri" w:hAnsi="Arial" w:cs="Arial"/>
          <w:b/>
          <w:bCs/>
          <w:i/>
          <w:spacing w:val="4"/>
          <w:sz w:val="20"/>
          <w:szCs w:val="20"/>
        </w:rPr>
        <w:t>desde el plano de la validez de la cláusula no se aprecian motivos para su eliminación</w:t>
      </w:r>
      <w:r w:rsidRPr="00554476">
        <w:rPr>
          <w:rFonts w:ascii="Arial" w:eastAsia="Calibri" w:hAnsi="Arial" w:cs="Arial"/>
          <w:bCs/>
          <w:i/>
          <w:spacing w:val="4"/>
          <w:sz w:val="20"/>
          <w:szCs w:val="20"/>
        </w:rPr>
        <w:t>”.</w:t>
      </w:r>
    </w:p>
    <w:p w14:paraId="2C9439D7"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4D7BA527" w14:textId="77777777" w:rsidR="007C2EF0" w:rsidRPr="00554476" w:rsidRDefault="007C2EF0" w:rsidP="00554476">
      <w:pPr>
        <w:spacing w:after="0" w:line="360" w:lineRule="auto"/>
        <w:jc w:val="both"/>
        <w:rPr>
          <w:rFonts w:ascii="Arial" w:eastAsia="Times New Roman" w:hAnsi="Arial" w:cs="Arial"/>
          <w:sz w:val="20"/>
          <w:szCs w:val="20"/>
        </w:rPr>
      </w:pPr>
      <w:r w:rsidRPr="00554476">
        <w:rPr>
          <w:rFonts w:ascii="Arial" w:eastAsia="Calibri" w:hAnsi="Arial" w:cs="Arial"/>
          <w:bCs/>
          <w:spacing w:val="4"/>
          <w:sz w:val="20"/>
          <w:szCs w:val="20"/>
        </w:rPr>
        <w:t xml:space="preserve">También destacar la </w:t>
      </w:r>
      <w:r w:rsidRPr="00554476">
        <w:rPr>
          <w:rFonts w:ascii="Arial" w:eastAsia="Times New Roman" w:hAnsi="Arial" w:cs="Arial"/>
          <w:b/>
          <w:sz w:val="20"/>
          <w:szCs w:val="20"/>
          <w:u w:val="single"/>
        </w:rPr>
        <w:t xml:space="preserve">Sentencia de la Audiencia Provincial de Madrid, sección 20ª, de fecha 31 de marzo de 2017, núm. 139, </w:t>
      </w:r>
      <w:proofErr w:type="spellStart"/>
      <w:r w:rsidRPr="00554476">
        <w:rPr>
          <w:rFonts w:ascii="Arial" w:eastAsia="Times New Roman" w:hAnsi="Arial" w:cs="Arial"/>
          <w:b/>
          <w:sz w:val="20"/>
          <w:szCs w:val="20"/>
          <w:u w:val="single"/>
        </w:rPr>
        <w:t>rec.</w:t>
      </w:r>
      <w:proofErr w:type="spellEnd"/>
      <w:r w:rsidRPr="00554476">
        <w:rPr>
          <w:rFonts w:ascii="Arial" w:eastAsia="Times New Roman" w:hAnsi="Arial" w:cs="Arial"/>
          <w:b/>
          <w:sz w:val="20"/>
          <w:szCs w:val="20"/>
          <w:u w:val="single"/>
        </w:rPr>
        <w:t xml:space="preserve"> 717/2016, FJ TERCERO: </w:t>
      </w:r>
    </w:p>
    <w:p w14:paraId="1B7B9DEA" w14:textId="77777777" w:rsidR="007C2EF0" w:rsidRPr="00554476" w:rsidRDefault="007C2EF0" w:rsidP="00554476">
      <w:pPr>
        <w:spacing w:after="0" w:line="360" w:lineRule="auto"/>
        <w:jc w:val="both"/>
        <w:rPr>
          <w:rFonts w:ascii="Arial" w:eastAsia="Times New Roman" w:hAnsi="Arial" w:cs="Arial"/>
          <w:i/>
          <w:sz w:val="20"/>
          <w:szCs w:val="20"/>
        </w:rPr>
      </w:pPr>
    </w:p>
    <w:p w14:paraId="7065DE31" w14:textId="77777777" w:rsidR="007C2EF0" w:rsidRPr="00554476" w:rsidRDefault="007C2EF0" w:rsidP="00554476">
      <w:pPr>
        <w:spacing w:after="0" w:line="360" w:lineRule="auto"/>
        <w:ind w:left="851"/>
        <w:jc w:val="both"/>
        <w:rPr>
          <w:rFonts w:ascii="Arial" w:eastAsia="Calibri" w:hAnsi="Arial" w:cs="Arial"/>
          <w:bCs/>
          <w:spacing w:val="4"/>
          <w:sz w:val="20"/>
          <w:szCs w:val="20"/>
        </w:rPr>
      </w:pPr>
      <w:r w:rsidRPr="00554476">
        <w:rPr>
          <w:rFonts w:ascii="Arial" w:eastAsia="Times New Roman" w:hAnsi="Arial" w:cs="Arial"/>
          <w:i/>
          <w:sz w:val="20"/>
          <w:szCs w:val="20"/>
        </w:rPr>
        <w:t xml:space="preserve">“Por el contrario, consideramos que la atribución al prestatario de los gastos derivados de reclamación de la deuda, no puede ser reputada abusiva y nula, en tanto toda reclamación conlleva un coste en que debe incurrir la prestamista para hacer efectivo su derecho, pero que la misma no está obligada a soportarlo, en tanto tiene su origen en el incumplimiento del deudor, de cuyas consecuencias es responsable el mismo. </w:t>
      </w:r>
      <w:r w:rsidRPr="00554476">
        <w:rPr>
          <w:rFonts w:ascii="Arial" w:eastAsia="Times New Roman" w:hAnsi="Arial" w:cs="Arial"/>
          <w:b/>
          <w:i/>
          <w:sz w:val="20"/>
          <w:szCs w:val="20"/>
          <w:u w:val="single"/>
        </w:rPr>
        <w:t>Otro tanto ha de concluirse con relación a las comisiones por devolución y por posiciones deudoras, pues son también gastos derivados del incumplimiento que el prestamista no está obligado a soportar la prestamista</w:t>
      </w:r>
      <w:r w:rsidRPr="00554476">
        <w:rPr>
          <w:rFonts w:ascii="Arial" w:eastAsia="Times New Roman" w:hAnsi="Arial" w:cs="Arial"/>
          <w:i/>
          <w:sz w:val="20"/>
          <w:szCs w:val="20"/>
        </w:rPr>
        <w:t>. Asimismo consideramos que la imposición de los gastos de apertura del préstamo a cargo del prestatario, tampoco puede ser reputada abusiva y nula, puesto que es servicio efectivamente prestado por la entidad prestamista para la concesión del préstamo.”</w:t>
      </w:r>
    </w:p>
    <w:p w14:paraId="0F09E2E2" w14:textId="77777777" w:rsidR="007C2EF0" w:rsidRPr="00554476" w:rsidRDefault="007C2EF0" w:rsidP="00554476">
      <w:pPr>
        <w:spacing w:after="0" w:line="360" w:lineRule="auto"/>
        <w:jc w:val="both"/>
        <w:rPr>
          <w:rFonts w:ascii="Arial" w:eastAsia="Calibri" w:hAnsi="Arial" w:cs="Arial"/>
          <w:bCs/>
          <w:spacing w:val="4"/>
          <w:sz w:val="20"/>
          <w:szCs w:val="20"/>
        </w:rPr>
      </w:pPr>
    </w:p>
    <w:p w14:paraId="0951ACEE"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r w:rsidRPr="00554476">
        <w:rPr>
          <w:rFonts w:ascii="Arial" w:eastAsia="Calibri" w:hAnsi="Arial" w:cs="Arial"/>
          <w:bCs/>
          <w:spacing w:val="4"/>
          <w:sz w:val="20"/>
          <w:szCs w:val="20"/>
        </w:rPr>
        <w:t xml:space="preserve">En el mismo sentido, </w:t>
      </w:r>
      <w:r w:rsidRPr="00554476">
        <w:rPr>
          <w:rFonts w:ascii="Arial" w:eastAsia="Calibri" w:hAnsi="Arial" w:cs="Arial"/>
          <w:spacing w:val="4"/>
          <w:sz w:val="20"/>
          <w:szCs w:val="20"/>
        </w:rPr>
        <w:t xml:space="preserve">la </w:t>
      </w:r>
      <w:r w:rsidRPr="00554476">
        <w:rPr>
          <w:rFonts w:ascii="Arial" w:eastAsia="Calibri" w:hAnsi="Arial" w:cs="Arial"/>
          <w:b/>
          <w:spacing w:val="4"/>
          <w:sz w:val="20"/>
          <w:szCs w:val="20"/>
          <w:u w:val="single"/>
        </w:rPr>
        <w:t>Sentencia de la</w:t>
      </w:r>
      <w:r w:rsidRPr="00554476">
        <w:rPr>
          <w:rFonts w:ascii="Arial" w:eastAsia="Calibri" w:hAnsi="Arial" w:cs="Arial"/>
          <w:spacing w:val="4"/>
          <w:sz w:val="20"/>
          <w:szCs w:val="20"/>
          <w:u w:val="single"/>
        </w:rPr>
        <w:t xml:space="preserve"> </w:t>
      </w:r>
      <w:r w:rsidRPr="00554476">
        <w:rPr>
          <w:rFonts w:ascii="Arial" w:eastAsia="Calibri" w:hAnsi="Arial" w:cs="Arial"/>
          <w:b/>
          <w:bCs/>
          <w:spacing w:val="4"/>
          <w:sz w:val="20"/>
          <w:szCs w:val="20"/>
          <w:u w:val="single"/>
        </w:rPr>
        <w:t>Audiencia Provincial de A Coruña, Sección 6ª,</w:t>
      </w:r>
    </w:p>
    <w:p w14:paraId="1D63DC1D" w14:textId="77777777" w:rsidR="007C2EF0" w:rsidRPr="00554476" w:rsidRDefault="007C2EF0" w:rsidP="00554476">
      <w:pPr>
        <w:spacing w:after="0" w:line="360" w:lineRule="auto"/>
        <w:jc w:val="both"/>
        <w:rPr>
          <w:rFonts w:ascii="Arial" w:eastAsia="Calibri" w:hAnsi="Arial" w:cs="Arial"/>
          <w:bCs/>
          <w:spacing w:val="4"/>
          <w:sz w:val="20"/>
          <w:szCs w:val="20"/>
        </w:rPr>
      </w:pPr>
      <w:r w:rsidRPr="00554476">
        <w:rPr>
          <w:rFonts w:ascii="Arial" w:eastAsia="Calibri" w:hAnsi="Arial" w:cs="Arial"/>
          <w:b/>
          <w:bCs/>
          <w:spacing w:val="4"/>
          <w:sz w:val="20"/>
          <w:szCs w:val="20"/>
          <w:u w:val="single"/>
        </w:rPr>
        <w:t>de 30 de mayo de 2011</w:t>
      </w:r>
      <w:r w:rsidRPr="00554476">
        <w:rPr>
          <w:rFonts w:ascii="Arial" w:eastAsia="Calibri" w:hAnsi="Arial" w:cs="Arial"/>
          <w:b/>
          <w:bCs/>
          <w:spacing w:val="4"/>
          <w:sz w:val="20"/>
          <w:szCs w:val="20"/>
        </w:rPr>
        <w:t>,</w:t>
      </w:r>
      <w:r w:rsidRPr="00554476">
        <w:rPr>
          <w:rFonts w:ascii="Arial" w:eastAsia="Calibri" w:hAnsi="Arial" w:cs="Arial"/>
          <w:spacing w:val="4"/>
          <w:sz w:val="20"/>
          <w:szCs w:val="20"/>
        </w:rPr>
        <w:t xml:space="preserve"> sobre la base de la siguiente argumentación:</w:t>
      </w:r>
    </w:p>
    <w:p w14:paraId="1AFFFA1D" w14:textId="77777777" w:rsidR="007C2EF0" w:rsidRPr="00554476" w:rsidRDefault="007C2EF0" w:rsidP="00554476">
      <w:pPr>
        <w:spacing w:after="0" w:line="360" w:lineRule="auto"/>
        <w:jc w:val="both"/>
        <w:rPr>
          <w:rFonts w:ascii="Arial" w:eastAsia="Calibri" w:hAnsi="Arial" w:cs="Arial"/>
          <w:spacing w:val="4"/>
          <w:sz w:val="20"/>
          <w:szCs w:val="20"/>
        </w:rPr>
      </w:pPr>
    </w:p>
    <w:p w14:paraId="692AD923"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lastRenderedPageBreak/>
        <w:t>“No se acepta el criterio de que las comisiones no retribuyen ningún servicio. Es el parecer de esta Sala que las comisiones se pactaron expresamente y cumplen la finalidad de penalizar el abuso, bien del descubierto, bien del exceso sobre el crédito contratado, y responde a una función distinta de mero abono de intereses toda vez que suponen un plus sobre éstos, que cumple una clara finalidad disuasoria.</w:t>
      </w:r>
    </w:p>
    <w:p w14:paraId="2BD9132B"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41C13156"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Obviamente, el banco al conceder un crédito no pactado, está prestando un servicio a su cliente que de esta manera logra una financiación inmediata, sin llevar a cabo ninguna gestión. Lo que para la entidad bancaria conlleva un riesgo sobreañadido, siendo indudable que la misma ha de llevar a cabo gestiones extraordinarias, por rutinarias que sean.”</w:t>
      </w:r>
    </w:p>
    <w:p w14:paraId="2B8E8C7B"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16B0152A" w14:textId="77777777" w:rsidR="007C2EF0" w:rsidRPr="00554476" w:rsidRDefault="007C2EF0" w:rsidP="00554476">
      <w:pPr>
        <w:spacing w:after="0" w:line="360" w:lineRule="auto"/>
        <w:jc w:val="both"/>
        <w:rPr>
          <w:rFonts w:ascii="Arial" w:eastAsia="Calibri" w:hAnsi="Arial" w:cs="Arial"/>
          <w:bCs/>
          <w:spacing w:val="4"/>
          <w:sz w:val="20"/>
          <w:szCs w:val="20"/>
        </w:rPr>
      </w:pPr>
      <w:r w:rsidRPr="00554476">
        <w:rPr>
          <w:rFonts w:ascii="Arial" w:eastAsia="Calibri" w:hAnsi="Arial" w:cs="Arial"/>
          <w:bCs/>
          <w:spacing w:val="4"/>
          <w:sz w:val="20"/>
          <w:szCs w:val="20"/>
        </w:rPr>
        <w:t xml:space="preserve">Igualmente, la </w:t>
      </w:r>
      <w:r w:rsidRPr="00554476">
        <w:rPr>
          <w:rFonts w:ascii="Arial" w:eastAsia="Calibri" w:hAnsi="Arial" w:cs="Arial"/>
          <w:b/>
          <w:bCs/>
          <w:spacing w:val="4"/>
          <w:sz w:val="20"/>
          <w:szCs w:val="20"/>
          <w:u w:val="single"/>
        </w:rPr>
        <w:t xml:space="preserve">Sentencia 534/2019 del Juzgado de Primera Instancia núm. 9 bis de Granada, de 10 de abril de 2019, </w:t>
      </w:r>
      <w:r w:rsidRPr="00554476">
        <w:rPr>
          <w:rFonts w:ascii="Arial" w:eastAsia="Calibri" w:hAnsi="Arial" w:cs="Arial"/>
          <w:bCs/>
          <w:spacing w:val="4"/>
          <w:sz w:val="20"/>
          <w:szCs w:val="20"/>
        </w:rPr>
        <w:t>que establece:</w:t>
      </w:r>
    </w:p>
    <w:p w14:paraId="7C28B4DC" w14:textId="77777777" w:rsidR="007C2EF0" w:rsidRPr="00554476" w:rsidRDefault="007C2EF0" w:rsidP="00554476">
      <w:pPr>
        <w:spacing w:after="0" w:line="360" w:lineRule="auto"/>
        <w:jc w:val="both"/>
        <w:rPr>
          <w:rFonts w:ascii="Arial" w:eastAsia="Calibri" w:hAnsi="Arial" w:cs="Arial"/>
          <w:bCs/>
          <w:spacing w:val="4"/>
          <w:sz w:val="20"/>
          <w:szCs w:val="20"/>
        </w:rPr>
      </w:pPr>
    </w:p>
    <w:p w14:paraId="40AF5C80" w14:textId="77777777" w:rsidR="007C2EF0" w:rsidRPr="00554476" w:rsidRDefault="007C2EF0" w:rsidP="00554476">
      <w:pPr>
        <w:spacing w:after="0" w:line="360" w:lineRule="auto"/>
        <w:ind w:left="709"/>
        <w:jc w:val="both"/>
        <w:rPr>
          <w:rFonts w:ascii="Arial" w:eastAsia="Calibri" w:hAnsi="Arial" w:cs="Arial"/>
          <w:bCs/>
          <w:i/>
          <w:spacing w:val="4"/>
          <w:sz w:val="20"/>
          <w:szCs w:val="20"/>
        </w:rPr>
      </w:pPr>
      <w:r w:rsidRPr="00554476">
        <w:rPr>
          <w:rFonts w:ascii="Arial" w:eastAsia="Calibri" w:hAnsi="Arial" w:cs="Arial"/>
          <w:bCs/>
          <w:i/>
          <w:spacing w:val="4"/>
          <w:sz w:val="20"/>
          <w:szCs w:val="20"/>
        </w:rPr>
        <w:t xml:space="preserve">“Consideramos que la cláusula relativa a la comisión por reclamación de recibos impagados no puede calificarse de abusiva y, por ende, es plenamente válida, máxime, cuando </w:t>
      </w:r>
      <w:r w:rsidRPr="00554476">
        <w:rPr>
          <w:rFonts w:ascii="Arial" w:eastAsia="Calibri" w:hAnsi="Arial" w:cs="Arial"/>
          <w:b/>
          <w:bCs/>
          <w:i/>
          <w:spacing w:val="4"/>
          <w:sz w:val="20"/>
          <w:szCs w:val="20"/>
        </w:rPr>
        <w:t>nos encontramos ante una cláusula que contiene una redacción clara, sencilla y perfectamente comprensible y que los actores aceptaron</w:t>
      </w:r>
      <w:r w:rsidRPr="00554476">
        <w:rPr>
          <w:rFonts w:ascii="Arial" w:eastAsia="Calibri" w:hAnsi="Arial" w:cs="Arial"/>
          <w:bCs/>
          <w:i/>
          <w:spacing w:val="4"/>
          <w:sz w:val="20"/>
          <w:szCs w:val="20"/>
        </w:rPr>
        <w:t xml:space="preserve">, con pleno conocimiento de su contenido, es más, no </w:t>
      </w:r>
      <w:r w:rsidRPr="00554476">
        <w:rPr>
          <w:rFonts w:ascii="Arial" w:eastAsia="Calibri" w:hAnsi="Arial" w:cs="Arial"/>
          <w:b/>
          <w:bCs/>
          <w:i/>
          <w:spacing w:val="4"/>
          <w:sz w:val="20"/>
          <w:szCs w:val="20"/>
        </w:rPr>
        <w:t>consideramos que el abono de la comisión por reclamación de posiciones deudoras haya supuesto un desequilibrio importante de los derechos y obligaciones de las partes que se deriven del contrato, ni implica una falta de reciprocidad</w:t>
      </w:r>
      <w:r w:rsidRPr="00554476">
        <w:rPr>
          <w:rFonts w:ascii="Arial" w:eastAsia="Calibri" w:hAnsi="Arial" w:cs="Arial"/>
          <w:bCs/>
          <w:i/>
          <w:spacing w:val="4"/>
          <w:sz w:val="20"/>
          <w:szCs w:val="20"/>
        </w:rPr>
        <w:t xml:space="preserve">, de conformidad con lo establecido en el Real Decreto Legislativo 1/2007, de 16 de noviembre, puesto que, a nuestro juicio, </w:t>
      </w:r>
      <w:r w:rsidRPr="00554476">
        <w:rPr>
          <w:rFonts w:ascii="Arial" w:eastAsia="Calibri" w:hAnsi="Arial" w:cs="Arial"/>
          <w:b/>
          <w:bCs/>
          <w:i/>
          <w:spacing w:val="4"/>
          <w:sz w:val="20"/>
          <w:szCs w:val="20"/>
        </w:rPr>
        <w:t>se ha pactado una comisión para el caso de recibos vencidos e impagado y tenga que efectuarse por el banco gestiones para realizar la correspondiente reclamación</w:t>
      </w:r>
      <w:r w:rsidRPr="00554476">
        <w:rPr>
          <w:rFonts w:ascii="Arial" w:eastAsia="Calibri" w:hAnsi="Arial" w:cs="Arial"/>
          <w:bCs/>
          <w:i/>
          <w:spacing w:val="4"/>
          <w:sz w:val="20"/>
          <w:szCs w:val="20"/>
        </w:rPr>
        <w:t>. En consecuencia, no procede declarar la nulidad de la Cláusula relativa a la comisión de reclamación de posiciones deudoras vencidas, contenida en la cláusula financiera 4ª, de la escritura de préstamo hipotecario”.</w:t>
      </w:r>
    </w:p>
    <w:p w14:paraId="227C68A7"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19C79374"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r w:rsidRPr="00554476">
        <w:rPr>
          <w:rFonts w:ascii="Arial" w:eastAsia="Calibri" w:hAnsi="Arial" w:cs="Arial"/>
          <w:bCs/>
          <w:spacing w:val="4"/>
          <w:sz w:val="20"/>
          <w:szCs w:val="20"/>
        </w:rPr>
        <w:t xml:space="preserve">Destacar, asimismo, la </w:t>
      </w:r>
      <w:r w:rsidRPr="00554476">
        <w:rPr>
          <w:rFonts w:ascii="Arial" w:eastAsia="Calibri" w:hAnsi="Arial" w:cs="Arial"/>
          <w:b/>
          <w:bCs/>
          <w:spacing w:val="4"/>
          <w:sz w:val="20"/>
          <w:szCs w:val="20"/>
          <w:u w:val="single"/>
        </w:rPr>
        <w:t>Sentencia 547/2019 dictada por el Juzgado de Primera Instancia núm. 5 bis de Cáceres, de 8 de abril</w:t>
      </w:r>
      <w:r w:rsidRPr="00554476">
        <w:rPr>
          <w:rFonts w:ascii="Arial" w:eastAsia="Calibri" w:hAnsi="Arial" w:cs="Arial"/>
          <w:bCs/>
          <w:spacing w:val="4"/>
          <w:sz w:val="20"/>
          <w:szCs w:val="20"/>
        </w:rPr>
        <w:t>, la cual, haciendo referencia al criterio de la Audiencia Provincial de Cáceres, dicta:</w:t>
      </w:r>
    </w:p>
    <w:p w14:paraId="1870993E" w14:textId="77777777" w:rsidR="007C2EF0" w:rsidRPr="00554476" w:rsidRDefault="007C2EF0" w:rsidP="00554476">
      <w:pPr>
        <w:spacing w:after="0" w:line="360" w:lineRule="auto"/>
        <w:jc w:val="both"/>
        <w:rPr>
          <w:rFonts w:ascii="Arial" w:eastAsia="Calibri" w:hAnsi="Arial" w:cs="Arial"/>
          <w:bCs/>
          <w:spacing w:val="4"/>
          <w:sz w:val="20"/>
          <w:szCs w:val="20"/>
        </w:rPr>
      </w:pPr>
    </w:p>
    <w:p w14:paraId="32B399AB" w14:textId="77777777" w:rsidR="007C2EF0" w:rsidRPr="00554476" w:rsidRDefault="007C2EF0" w:rsidP="00554476">
      <w:pPr>
        <w:spacing w:after="0" w:line="360" w:lineRule="auto"/>
        <w:ind w:left="567"/>
        <w:jc w:val="both"/>
        <w:rPr>
          <w:rFonts w:ascii="Arial" w:eastAsia="Calibri" w:hAnsi="Arial" w:cs="Arial"/>
          <w:i/>
          <w:spacing w:val="4"/>
          <w:sz w:val="20"/>
          <w:szCs w:val="20"/>
        </w:rPr>
      </w:pPr>
      <w:r w:rsidRPr="00554476">
        <w:rPr>
          <w:rFonts w:ascii="Arial" w:eastAsia="Calibri" w:hAnsi="Arial" w:cs="Arial"/>
          <w:i/>
          <w:spacing w:val="4"/>
          <w:sz w:val="20"/>
          <w:szCs w:val="20"/>
        </w:rPr>
        <w:t xml:space="preserve">“Respecto a la solicitud de declaración de nulidad de la cláusula establecida en el contrato de préstamo hipotecario que se refiere a comisión por reclamación de posiciones deudoras, la AP de Cáceres, en diferentes sentencias se ha pronunciado sobre este extremo, entre otras 18/2018 de 12 de enero, donde establece sobre que "La comisión por posiciones deudoras es una cláusula abusiva de conformidad a lo dispuesto en el art. 87.5 del Real Decreto Legislativo 1/2007, por el que se aprueba el </w:t>
      </w:r>
      <w:r w:rsidRPr="00554476">
        <w:rPr>
          <w:rFonts w:ascii="Arial" w:eastAsia="Calibri" w:hAnsi="Arial" w:cs="Arial"/>
          <w:i/>
          <w:spacing w:val="4"/>
          <w:sz w:val="20"/>
          <w:szCs w:val="20"/>
        </w:rPr>
        <w:lastRenderedPageBreak/>
        <w:t xml:space="preserve">texto refundido de la Ley General para la Defensa de los Consumidores y Usuarios, en los casos de cobro por servicios no efectivamente prestados, por cuanto no responde a servicios efectivamente prestados o a gastos habidos y comporta un desequilibrio de los derechos y obligaciones de las partes que derivan del citado contrato, al implicar un incremento injustificado de los costes que debe soportar el prestatario para el caso de impago de los recibos mensuales de amortización, máxime cuando su aplicación es automática sin que la entidad acredite haber realizado ningún tipo de gestión efectiva para reclamar tales impagos. En el supuesto examinado, </w:t>
      </w:r>
      <w:r w:rsidRPr="00554476">
        <w:rPr>
          <w:rFonts w:ascii="Arial" w:eastAsia="Calibri" w:hAnsi="Arial" w:cs="Arial"/>
          <w:i/>
          <w:spacing w:val="4"/>
          <w:sz w:val="20"/>
          <w:szCs w:val="20"/>
          <w:u w:val="single"/>
        </w:rPr>
        <w:t>la parte actora ni alega, ni acredita haber efectuado el pago de una sola comisión por posiciones deudoras, entre otras razones, porque los actores vienen abonando con normalidad las cuotas de amortización del préstamo hipotecario, de manera que en ningún caso se ha producido el cobro por servicios no efectivamente prestados</w:t>
      </w:r>
      <w:r w:rsidRPr="00554476">
        <w:rPr>
          <w:rFonts w:ascii="Arial" w:eastAsia="Calibri" w:hAnsi="Arial" w:cs="Arial"/>
          <w:i/>
          <w:spacing w:val="4"/>
          <w:sz w:val="20"/>
          <w:szCs w:val="20"/>
        </w:rPr>
        <w:t xml:space="preserve">. El motivo se estima”. A tenor del razonamiento expuesto, </w:t>
      </w:r>
      <w:r w:rsidRPr="00554476">
        <w:rPr>
          <w:rFonts w:ascii="Arial" w:eastAsia="Calibri" w:hAnsi="Arial" w:cs="Arial"/>
          <w:b/>
          <w:i/>
          <w:spacing w:val="4"/>
          <w:sz w:val="20"/>
          <w:szCs w:val="20"/>
        </w:rPr>
        <w:t>no procede la declaración de nulidad al no haber alegado ni acreditado haber efectuado el pago de una sola comisión por posiciones deudoras</w:t>
      </w:r>
      <w:r w:rsidRPr="00554476">
        <w:rPr>
          <w:rFonts w:ascii="Arial" w:eastAsia="Calibri" w:hAnsi="Arial" w:cs="Arial"/>
          <w:i/>
          <w:spacing w:val="4"/>
          <w:sz w:val="20"/>
          <w:szCs w:val="20"/>
        </w:rPr>
        <w:t>”.</w:t>
      </w:r>
    </w:p>
    <w:p w14:paraId="2F1B0D2A"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3BD4C825"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r w:rsidRPr="00554476">
        <w:rPr>
          <w:rFonts w:ascii="Arial" w:eastAsia="Calibri" w:hAnsi="Arial" w:cs="Arial"/>
          <w:b/>
          <w:bCs/>
          <w:spacing w:val="4"/>
          <w:sz w:val="20"/>
          <w:szCs w:val="20"/>
          <w:u w:val="single"/>
        </w:rPr>
        <w:t>2.- Directrices del Banco de España.</w:t>
      </w:r>
    </w:p>
    <w:p w14:paraId="6D0EFCA5" w14:textId="77777777" w:rsidR="007C2EF0" w:rsidRPr="00554476" w:rsidRDefault="007C2EF0" w:rsidP="00554476">
      <w:pPr>
        <w:spacing w:after="0" w:line="360" w:lineRule="auto"/>
        <w:jc w:val="both"/>
        <w:rPr>
          <w:rFonts w:ascii="Arial" w:eastAsia="Calibri" w:hAnsi="Arial" w:cs="Arial"/>
          <w:spacing w:val="4"/>
          <w:sz w:val="20"/>
          <w:szCs w:val="20"/>
        </w:rPr>
      </w:pPr>
    </w:p>
    <w:p w14:paraId="72FF3189"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Entendemos que refuerzan claramente los argumentos y conclusiones vertidas en esta contestación las consideraciones que respecto a la comisión litigiosa ha tenido ocasión de manifestar el Banco de España, de entre las que citamos las contenidas en la Memoria de Reclamaciones del año 2015, concretamente en las páginas 156 y 157, donde se establece lo siguiente:</w:t>
      </w:r>
    </w:p>
    <w:p w14:paraId="431C4EAE" w14:textId="77777777" w:rsidR="007C2EF0" w:rsidRPr="00554476" w:rsidRDefault="007C2EF0" w:rsidP="00554476">
      <w:pPr>
        <w:spacing w:after="0" w:line="360" w:lineRule="auto"/>
        <w:jc w:val="both"/>
        <w:rPr>
          <w:rFonts w:ascii="Arial" w:eastAsia="Calibri" w:hAnsi="Arial" w:cs="Arial"/>
          <w:spacing w:val="4"/>
          <w:sz w:val="20"/>
          <w:szCs w:val="20"/>
        </w:rPr>
      </w:pPr>
    </w:p>
    <w:p w14:paraId="30033112"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“La aplicación de esta comisión constituye una práctica bancaria habitual que tiene por objeto la recuperación de los costes que debe soportar la entidad como consecuencia de las gestiones necesarias para la recuperación de los impagados, siendo preceptiva para su procedencia la mención en el documento contractual correspondiente. Ahora bien, el DCMR considera que para poder efectuar adeudos por este concepto, además de estar recogida la comisión en el contrato, desde el punto de vista de las buenas prácticas bancarias deben cumplirse una serie de requisitos:</w:t>
      </w:r>
    </w:p>
    <w:p w14:paraId="057E3A70"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56948552"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 En primer lugar, debe quedar claro que el devengo de la comisión está vinculado a la existencia de gestiones efectivas de reclamación realizadas ante el cliente deudor, algo que, a juicio del DCMR, no queda justificado con la simple remisión de una carta periódicamente generada por ordenador, debiendo la entidad concretar y acreditar la realización de dichas gestiones.</w:t>
      </w:r>
    </w:p>
    <w:p w14:paraId="1ACB8231"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0C4E5EC1"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lastRenderedPageBreak/>
        <w:t>- En segundo lugar, la comisión no puede reiterarse en la reclamación de un mismo saldo por gestiones adicionales realizadas por la entidad con el mismo fin, ni siquiera cuando, en el caso de impago en el tiempo, este se prolonga en sucesivas liquidaciones.</w:t>
      </w:r>
    </w:p>
    <w:p w14:paraId="3595DA7F"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50EBFF72"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No obstante, se considera que la aplicación de la comisión es compatible con la repercusión de los gastos soportados por la entidad a consecuencia, en su caso, de intervención de terceros (por ejemplo, notaría) en las gestiones de reclamación (siempre que tal circunstancia esté contractualmente contemplada y acreditada).</w:t>
      </w:r>
    </w:p>
    <w:p w14:paraId="08B392EE" w14:textId="77777777" w:rsidR="007C2EF0" w:rsidRPr="00554476" w:rsidRDefault="007C2EF0" w:rsidP="00554476">
      <w:pPr>
        <w:spacing w:after="0" w:line="360" w:lineRule="auto"/>
        <w:jc w:val="both"/>
        <w:rPr>
          <w:rFonts w:ascii="Arial" w:eastAsia="Calibri" w:hAnsi="Arial" w:cs="Arial"/>
          <w:i/>
          <w:iCs/>
          <w:spacing w:val="4"/>
          <w:sz w:val="20"/>
          <w:szCs w:val="20"/>
        </w:rPr>
      </w:pPr>
    </w:p>
    <w:p w14:paraId="6C18781E"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 En tercer lugar, dada su naturaleza, se exige que su cuantía sea única, cualquiera que sea el importe del saldo reclamado, no admitiéndose tarifas porcentuales.</w:t>
      </w:r>
    </w:p>
    <w:p w14:paraId="01C517EE"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p>
    <w:p w14:paraId="0133B0D9" w14:textId="77777777" w:rsidR="007C2EF0" w:rsidRPr="00554476" w:rsidRDefault="007C2EF0" w:rsidP="00554476">
      <w:pPr>
        <w:spacing w:after="0" w:line="360" w:lineRule="auto"/>
        <w:ind w:left="708"/>
        <w:jc w:val="both"/>
        <w:rPr>
          <w:rFonts w:ascii="Arial" w:eastAsia="Calibri" w:hAnsi="Arial" w:cs="Arial"/>
          <w:i/>
          <w:iCs/>
          <w:spacing w:val="4"/>
          <w:sz w:val="20"/>
          <w:szCs w:val="20"/>
        </w:rPr>
      </w:pPr>
      <w:r w:rsidRPr="00554476">
        <w:rPr>
          <w:rFonts w:ascii="Arial" w:eastAsia="Calibri" w:hAnsi="Arial" w:cs="Arial"/>
          <w:i/>
          <w:iCs/>
          <w:spacing w:val="4"/>
          <w:sz w:val="20"/>
          <w:szCs w:val="20"/>
        </w:rPr>
        <w:t>- Por último, como criterio adicional, se considera que la aplicación automática de dicha comisión no constituiría una buena práctica financiera (ni una aplicación correcta de los principios antes señalados), ya que la reclamación debe realizarse teniendo en cuenta las circunstancias particulares de cada impagado y de cada cliente.”</w:t>
      </w:r>
    </w:p>
    <w:p w14:paraId="37142ED4" w14:textId="77777777" w:rsidR="007C2EF0" w:rsidRPr="00554476" w:rsidRDefault="007C2EF0" w:rsidP="00554476">
      <w:pPr>
        <w:spacing w:after="0" w:line="360" w:lineRule="auto"/>
        <w:jc w:val="both"/>
        <w:rPr>
          <w:rFonts w:ascii="Arial" w:eastAsia="Calibri" w:hAnsi="Arial" w:cs="Arial"/>
          <w:spacing w:val="4"/>
          <w:sz w:val="20"/>
          <w:szCs w:val="20"/>
        </w:rPr>
      </w:pPr>
    </w:p>
    <w:p w14:paraId="1C555C1F"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Y como se puede apreciar en los hechos concretos que aquí nos ocupan, mi mandante ha cumplido cabalmente con todas estas directrices del máximo órgano de control español, siendo por ello evidente la necesidad de desestimar la demanda, que no ha acreditado ningún hecho que desvirtúe tal conclusión.</w:t>
      </w:r>
    </w:p>
    <w:p w14:paraId="11BBC138" w14:textId="77777777" w:rsidR="007C2EF0" w:rsidRPr="00554476" w:rsidRDefault="007C2EF0" w:rsidP="00554476">
      <w:pPr>
        <w:spacing w:after="0" w:line="360" w:lineRule="auto"/>
        <w:jc w:val="both"/>
        <w:rPr>
          <w:rFonts w:ascii="Arial" w:eastAsia="Calibri" w:hAnsi="Arial" w:cs="Arial"/>
          <w:spacing w:val="4"/>
          <w:sz w:val="20"/>
          <w:szCs w:val="20"/>
        </w:rPr>
      </w:pPr>
    </w:p>
    <w:p w14:paraId="6AF03E68"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r w:rsidRPr="00554476">
        <w:rPr>
          <w:rFonts w:ascii="Arial" w:eastAsia="Calibri" w:hAnsi="Arial" w:cs="Arial"/>
          <w:b/>
          <w:bCs/>
          <w:spacing w:val="4"/>
          <w:sz w:val="20"/>
          <w:szCs w:val="20"/>
          <w:u w:val="single"/>
        </w:rPr>
        <w:t>3.- Falta de prueba que acredite el cobro por mi mandante de dicha comisión</w:t>
      </w:r>
    </w:p>
    <w:p w14:paraId="1D971D69" w14:textId="77777777" w:rsidR="007C2EF0" w:rsidRPr="00554476" w:rsidRDefault="007C2EF0" w:rsidP="00554476">
      <w:pPr>
        <w:spacing w:after="0" w:line="360" w:lineRule="auto"/>
        <w:jc w:val="both"/>
        <w:rPr>
          <w:rFonts w:ascii="Arial" w:eastAsia="Calibri" w:hAnsi="Arial" w:cs="Arial"/>
          <w:b/>
          <w:bCs/>
          <w:spacing w:val="4"/>
          <w:sz w:val="20"/>
          <w:szCs w:val="20"/>
          <w:u w:val="single"/>
        </w:rPr>
      </w:pPr>
    </w:p>
    <w:p w14:paraId="495001E9"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Más allá de entonar la mera declaración de nulidad, la actora no ha mostrado prueba alguna que acredite el efectivo cobro de mi mandante de comisión alguna, contraviniendo expresamente el artículo 399 en relación con el 217, ambos de la Ley de Enjuiciamiento Civil.</w:t>
      </w:r>
    </w:p>
    <w:p w14:paraId="73E86F27" w14:textId="77777777" w:rsidR="007C2EF0" w:rsidRPr="00554476" w:rsidRDefault="007C2EF0" w:rsidP="00554476">
      <w:pPr>
        <w:spacing w:after="0" w:line="360" w:lineRule="auto"/>
        <w:rPr>
          <w:rFonts w:ascii="Arial" w:eastAsia="Calibri" w:hAnsi="Arial" w:cs="Arial"/>
          <w:b/>
          <w:bCs/>
          <w:spacing w:val="4"/>
          <w:sz w:val="20"/>
          <w:szCs w:val="20"/>
        </w:rPr>
      </w:pPr>
    </w:p>
    <w:p w14:paraId="36FD27D9" w14:textId="77777777" w:rsidR="007C2EF0" w:rsidRPr="00554476" w:rsidRDefault="007C2EF0" w:rsidP="00554476">
      <w:pPr>
        <w:spacing w:after="0" w:line="360" w:lineRule="auto"/>
        <w:jc w:val="center"/>
        <w:rPr>
          <w:rFonts w:ascii="Arial" w:eastAsia="Calibri" w:hAnsi="Arial" w:cs="Arial"/>
          <w:b/>
          <w:bCs/>
          <w:spacing w:val="4"/>
          <w:sz w:val="20"/>
          <w:szCs w:val="20"/>
        </w:rPr>
      </w:pPr>
      <w:r w:rsidRPr="00554476">
        <w:rPr>
          <w:rFonts w:ascii="Arial" w:eastAsia="Calibri" w:hAnsi="Arial" w:cs="Arial"/>
          <w:b/>
          <w:bCs/>
          <w:spacing w:val="4"/>
          <w:sz w:val="20"/>
          <w:szCs w:val="20"/>
        </w:rPr>
        <w:t>IV</w:t>
      </w:r>
    </w:p>
    <w:p w14:paraId="28EE9343" w14:textId="77777777" w:rsidR="007C2EF0" w:rsidRPr="00554476" w:rsidRDefault="007C2EF0" w:rsidP="00554476">
      <w:pPr>
        <w:spacing w:after="0" w:line="360" w:lineRule="auto"/>
        <w:jc w:val="center"/>
        <w:rPr>
          <w:rFonts w:ascii="Arial" w:eastAsia="Calibri" w:hAnsi="Arial" w:cs="Arial"/>
          <w:b/>
          <w:bCs/>
          <w:spacing w:val="4"/>
          <w:sz w:val="20"/>
          <w:szCs w:val="20"/>
        </w:rPr>
      </w:pPr>
    </w:p>
    <w:p w14:paraId="63944C9A" w14:textId="77777777" w:rsidR="007C2EF0" w:rsidRPr="00554476" w:rsidRDefault="007C2EF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definitiva, en el presente caso la parte actora-demandante tuvo a su alcance toda la información del préstamo que iba a suscribir, tuvo pleno conocimiento del contenido de la referida cláusula y acepto voluntariamente asumir las obligaciones que dimanaban de ella. Tampoco puede reputarse en su incorporación al clausulado una mala praxis bancaria, ni el carácter injusto ni abusivo de la referida estipulación, pues la misma se ha insertado con previo conocimiento y consentimiento de la parte actora, de una forma clara y transparente, amparada en preceptos legales, en la normativa bancaria a la que hemos hecho referencia, </w:t>
      </w:r>
      <w:r w:rsidRPr="00554476">
        <w:rPr>
          <w:rFonts w:ascii="Arial" w:eastAsia="Calibri" w:hAnsi="Arial" w:cs="Arial"/>
          <w:spacing w:val="4"/>
          <w:sz w:val="20"/>
          <w:szCs w:val="20"/>
        </w:rPr>
        <w:lastRenderedPageBreak/>
        <w:t xml:space="preserve">y </w:t>
      </w:r>
      <w:r w:rsidRPr="00554476">
        <w:rPr>
          <w:rFonts w:ascii="Arial" w:eastAsia="Calibri" w:hAnsi="Arial" w:cs="Arial"/>
          <w:b/>
          <w:bCs/>
          <w:spacing w:val="4"/>
          <w:sz w:val="20"/>
          <w:szCs w:val="20"/>
        </w:rPr>
        <w:t>para el eventual supuesto de realizarse una gestión que obedece a un servicio distinto de lo que es la concesión de un préstamo hipotecario.</w:t>
      </w:r>
    </w:p>
    <w:p w14:paraId="4B4B92ED" w14:textId="1B2633D0" w:rsidR="007C2EF0" w:rsidRPr="00554476" w:rsidRDefault="007C2EF0" w:rsidP="00554476">
      <w:pPr>
        <w:spacing w:after="0" w:line="360" w:lineRule="auto"/>
        <w:rPr>
          <w:rFonts w:ascii="Arial" w:eastAsia="Calibri" w:hAnsi="Arial" w:cs="Arial"/>
          <w:spacing w:val="4"/>
          <w:sz w:val="20"/>
          <w:szCs w:val="20"/>
        </w:rPr>
      </w:pPr>
    </w:p>
    <w:p w14:paraId="239E6FA2" w14:textId="77777777" w:rsidR="000276D7" w:rsidRPr="00554476" w:rsidRDefault="000276D7" w:rsidP="00554476">
      <w:pPr>
        <w:spacing w:after="0" w:line="360" w:lineRule="auto"/>
        <w:rPr>
          <w:rFonts w:ascii="Arial" w:eastAsia="Calibri" w:hAnsi="Arial" w:cs="Arial"/>
          <w:spacing w:val="4"/>
          <w:sz w:val="20"/>
          <w:szCs w:val="20"/>
        </w:rPr>
      </w:pPr>
    </w:p>
    <w:p w14:paraId="166407BA" w14:textId="2873AC47" w:rsidR="00115790" w:rsidRDefault="00115790" w:rsidP="00554476">
      <w:pPr>
        <w:pStyle w:val="Ttulo2"/>
        <w:spacing w:before="0" w:line="360" w:lineRule="auto"/>
        <w:jc w:val="both"/>
        <w:rPr>
          <w:rFonts w:ascii="Arial" w:eastAsia="Bankinter" w:hAnsi="Arial" w:cs="Arial"/>
          <w:b/>
          <w:color w:val="auto"/>
          <w:sz w:val="20"/>
          <w:szCs w:val="20"/>
          <w:u w:val="single"/>
        </w:rPr>
      </w:pPr>
      <w:bookmarkStart w:id="8" w:name="_Toc54185191"/>
      <w:r w:rsidRPr="00554476">
        <w:rPr>
          <w:rFonts w:ascii="Arial" w:eastAsia="Bankinter" w:hAnsi="Arial" w:cs="Arial"/>
          <w:b/>
          <w:color w:val="auto"/>
          <w:sz w:val="20"/>
          <w:szCs w:val="20"/>
          <w:u w:val="single"/>
        </w:rPr>
        <w:t xml:space="preserve">QUINTO. – Validez, legalidad y no </w:t>
      </w:r>
      <w:proofErr w:type="spellStart"/>
      <w:r w:rsidRPr="00554476">
        <w:rPr>
          <w:rFonts w:ascii="Arial" w:eastAsia="Bankinter" w:hAnsi="Arial" w:cs="Arial"/>
          <w:b/>
          <w:color w:val="auto"/>
          <w:sz w:val="20"/>
          <w:szCs w:val="20"/>
          <w:u w:val="single"/>
        </w:rPr>
        <w:t>abusividad</w:t>
      </w:r>
      <w:proofErr w:type="spellEnd"/>
      <w:r w:rsidRPr="00554476">
        <w:rPr>
          <w:rFonts w:ascii="Arial" w:eastAsia="Bankinter" w:hAnsi="Arial" w:cs="Arial"/>
          <w:b/>
          <w:color w:val="auto"/>
          <w:sz w:val="20"/>
          <w:szCs w:val="20"/>
          <w:u w:val="single"/>
        </w:rPr>
        <w:t xml:space="preserve"> de la cláusula de </w:t>
      </w:r>
      <w:r w:rsidRPr="009444E5">
        <w:rPr>
          <w:rFonts w:ascii="Arial" w:eastAsia="Bankinter" w:hAnsi="Arial" w:cs="Arial"/>
          <w:b/>
          <w:color w:val="auto"/>
          <w:sz w:val="20"/>
          <w:szCs w:val="20"/>
          <w:highlight w:val="cyan"/>
          <w:u w:val="single"/>
        </w:rPr>
        <w:t>interés moratorio</w:t>
      </w:r>
      <w:r w:rsidRPr="00554476">
        <w:rPr>
          <w:rFonts w:ascii="Arial" w:eastAsia="Bankinter" w:hAnsi="Arial" w:cs="Arial"/>
          <w:b/>
          <w:color w:val="auto"/>
          <w:sz w:val="20"/>
          <w:szCs w:val="20"/>
          <w:u w:val="single"/>
        </w:rPr>
        <w:t>.</w:t>
      </w:r>
      <w:bookmarkEnd w:id="8"/>
      <w:r w:rsidRPr="00554476">
        <w:rPr>
          <w:rFonts w:ascii="Arial" w:eastAsia="Bankinter" w:hAnsi="Arial" w:cs="Arial"/>
          <w:b/>
          <w:color w:val="auto"/>
          <w:sz w:val="20"/>
          <w:szCs w:val="20"/>
          <w:u w:val="single"/>
        </w:rPr>
        <w:t xml:space="preserve"> </w:t>
      </w:r>
    </w:p>
    <w:p w14:paraId="509476D1" w14:textId="77777777" w:rsidR="00A42C7C" w:rsidRDefault="00A42C7C" w:rsidP="00A42C7C"/>
    <w:p w14:paraId="70E4E5C8" w14:textId="1D5CB568" w:rsidR="00A42C7C" w:rsidRPr="00A42C7C" w:rsidRDefault="00A42C7C" w:rsidP="00A42C7C">
      <w:r w:rsidRPr="00A42C7C">
        <w:rPr>
          <w:highlight w:val="green"/>
        </w:rPr>
        <w:t>[LO QUITAMOS SI NO ES NUESTRO CASO]</w:t>
      </w:r>
    </w:p>
    <w:p w14:paraId="1689350D" w14:textId="77777777" w:rsidR="00115790" w:rsidRPr="00554476" w:rsidRDefault="00115790" w:rsidP="00554476">
      <w:pPr>
        <w:spacing w:after="0" w:line="360" w:lineRule="auto"/>
        <w:jc w:val="center"/>
        <w:rPr>
          <w:rFonts w:ascii="Arial" w:eastAsia="Calibri" w:hAnsi="Arial" w:cs="Arial"/>
          <w:b/>
          <w:spacing w:val="4"/>
          <w:sz w:val="20"/>
          <w:szCs w:val="20"/>
        </w:rPr>
      </w:pPr>
    </w:p>
    <w:p w14:paraId="28C4FC54" w14:textId="77777777" w:rsidR="00115790" w:rsidRPr="00554476" w:rsidRDefault="00115790" w:rsidP="00554476">
      <w:pPr>
        <w:spacing w:after="0" w:line="360" w:lineRule="auto"/>
        <w:jc w:val="center"/>
        <w:rPr>
          <w:rFonts w:ascii="Arial" w:eastAsia="Calibri" w:hAnsi="Arial" w:cs="Arial"/>
          <w:b/>
          <w:spacing w:val="4"/>
          <w:sz w:val="20"/>
          <w:szCs w:val="20"/>
        </w:rPr>
      </w:pPr>
      <w:r w:rsidRPr="00554476">
        <w:rPr>
          <w:rFonts w:ascii="Arial" w:eastAsia="Calibri" w:hAnsi="Arial" w:cs="Arial"/>
          <w:b/>
          <w:spacing w:val="4"/>
          <w:sz w:val="20"/>
          <w:szCs w:val="20"/>
        </w:rPr>
        <w:t>I</w:t>
      </w:r>
    </w:p>
    <w:p w14:paraId="2810FCBB" w14:textId="77777777" w:rsidR="00115790" w:rsidRPr="00554476" w:rsidRDefault="00115790" w:rsidP="00554476">
      <w:pPr>
        <w:spacing w:after="0" w:line="360" w:lineRule="auto"/>
        <w:jc w:val="center"/>
        <w:rPr>
          <w:rFonts w:ascii="Arial" w:eastAsia="Calibri" w:hAnsi="Arial" w:cs="Arial"/>
          <w:b/>
          <w:spacing w:val="4"/>
          <w:sz w:val="20"/>
          <w:szCs w:val="20"/>
        </w:rPr>
      </w:pPr>
    </w:p>
    <w:p w14:paraId="2EBC6016" w14:textId="4535A43C"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Los intereses de demora pactados responden única y exclusivamente del resarcimiento del daño causado, sin que pueda entenderse en ello una función sancionadora, sino, única y exclusivamente, </w:t>
      </w:r>
      <w:proofErr w:type="spellStart"/>
      <w:r w:rsidRPr="00554476">
        <w:rPr>
          <w:rFonts w:ascii="Arial" w:eastAsia="Calibri" w:hAnsi="Arial" w:cs="Arial"/>
          <w:spacing w:val="4"/>
          <w:sz w:val="20"/>
          <w:szCs w:val="20"/>
        </w:rPr>
        <w:t>sanatoria</w:t>
      </w:r>
      <w:proofErr w:type="spellEnd"/>
      <w:r w:rsidRPr="00554476">
        <w:rPr>
          <w:rFonts w:ascii="Arial" w:eastAsia="Calibri" w:hAnsi="Arial" w:cs="Arial"/>
          <w:spacing w:val="4"/>
          <w:sz w:val="20"/>
          <w:szCs w:val="20"/>
        </w:rPr>
        <w:t xml:space="preserve"> o indemnizatoria, no pudiendo considerarse como injustos, excesivos o abusivos, cuando son los usuales que regían en el mercado bancario en la época en que se concertó el contrato. Tampoco deben confundirse los intereses sobre descubiertos en cuenta corriente con dichos intereses moratorios.</w:t>
      </w:r>
    </w:p>
    <w:p w14:paraId="0BBEF0C8" w14:textId="77777777" w:rsidR="00115790" w:rsidRPr="00554476" w:rsidRDefault="00115790" w:rsidP="00554476">
      <w:pPr>
        <w:spacing w:after="0" w:line="360" w:lineRule="auto"/>
        <w:rPr>
          <w:rFonts w:ascii="Arial" w:eastAsia="Calibri" w:hAnsi="Arial" w:cs="Arial"/>
          <w:spacing w:val="4"/>
          <w:sz w:val="20"/>
          <w:szCs w:val="20"/>
        </w:rPr>
      </w:pPr>
    </w:p>
    <w:p w14:paraId="3727D264" w14:textId="72A18D2D"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Es bien sabida y conocida la libertad de pactos que impera en nuestro ordenamiento jurídico, y en este sentido, cabe manifestar que el interés de demora ha sido consentido y reconocido expresamente por la parte actora, y negociado junto al resto de condiciones económicas de la citada escritura, importe, plazo, tipo d</w:t>
      </w:r>
      <w:r w:rsidR="001F325A">
        <w:rPr>
          <w:rFonts w:ascii="Arial" w:eastAsia="Calibri" w:hAnsi="Arial" w:cs="Arial"/>
          <w:spacing w:val="4"/>
          <w:sz w:val="20"/>
          <w:szCs w:val="20"/>
        </w:rPr>
        <w:t>e interés nominal, diferencial</w:t>
      </w:r>
      <w:r w:rsidRPr="00554476">
        <w:rPr>
          <w:rFonts w:ascii="Arial" w:eastAsia="Calibri" w:hAnsi="Arial" w:cs="Arial"/>
          <w:spacing w:val="4"/>
          <w:sz w:val="20"/>
          <w:szCs w:val="20"/>
        </w:rPr>
        <w:t>…</w:t>
      </w:r>
    </w:p>
    <w:p w14:paraId="0DBF26D7" w14:textId="77777777" w:rsidR="00115790" w:rsidRPr="00554476" w:rsidRDefault="00115790" w:rsidP="00554476">
      <w:pPr>
        <w:spacing w:after="0" w:line="360" w:lineRule="auto"/>
        <w:jc w:val="both"/>
        <w:rPr>
          <w:rFonts w:ascii="Arial" w:eastAsia="Calibri" w:hAnsi="Arial" w:cs="Arial"/>
          <w:spacing w:val="4"/>
          <w:sz w:val="20"/>
          <w:szCs w:val="20"/>
        </w:rPr>
      </w:pPr>
    </w:p>
    <w:p w14:paraId="7941B7C8" w14:textId="2CAD93B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Además, los intereses moratorios de los préstamos hipotecarios suscritos por consumidores sobre su vivienda habitual vienen regulados por la Ley 1/2013 de 14 de mayo en los términos que examinaremos en los Fundamentos de Derecho, de forma que no se anula, sino que se modera, por lo que es perfectamente lícita y válida, y mi mandante, llegado el caso, la aplicará en los términos establecidos legalmente.</w:t>
      </w:r>
    </w:p>
    <w:p w14:paraId="69345DE7" w14:textId="77777777" w:rsidR="00115790" w:rsidRPr="00554476" w:rsidRDefault="00115790" w:rsidP="00554476">
      <w:pPr>
        <w:spacing w:after="0" w:line="360" w:lineRule="auto"/>
        <w:jc w:val="both"/>
        <w:rPr>
          <w:rFonts w:ascii="Arial" w:eastAsia="Calibri" w:hAnsi="Arial" w:cs="Arial"/>
          <w:spacing w:val="4"/>
          <w:sz w:val="20"/>
          <w:szCs w:val="20"/>
        </w:rPr>
      </w:pPr>
    </w:p>
    <w:p w14:paraId="190356A4"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No debemos olvidar que la normativa a la que hace referencia la actora, tercer párrafo del artículo 114 de la Ley Hipotecaria, ha sido incluida recientemente por la Ley 1/2013 como un párrafo adicional al artículo 114, hasta entonces inexistente.</w:t>
      </w:r>
    </w:p>
    <w:p w14:paraId="301F7E63" w14:textId="77777777" w:rsidR="00115790" w:rsidRPr="00554476" w:rsidRDefault="00115790" w:rsidP="00554476">
      <w:pPr>
        <w:spacing w:after="0" w:line="360" w:lineRule="auto"/>
        <w:jc w:val="both"/>
        <w:rPr>
          <w:rFonts w:ascii="Arial" w:eastAsia="Calibri" w:hAnsi="Arial" w:cs="Arial"/>
          <w:spacing w:val="4"/>
          <w:sz w:val="20"/>
          <w:szCs w:val="20"/>
        </w:rPr>
      </w:pPr>
    </w:p>
    <w:p w14:paraId="43406745"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Así las cosas, aún en el supuesto de estimar la </w:t>
      </w:r>
      <w:proofErr w:type="spellStart"/>
      <w:r w:rsidRPr="00554476">
        <w:rPr>
          <w:rFonts w:ascii="Arial" w:eastAsia="Calibri" w:hAnsi="Arial" w:cs="Arial"/>
          <w:spacing w:val="4"/>
          <w:sz w:val="20"/>
          <w:szCs w:val="20"/>
        </w:rPr>
        <w:t>abusividad</w:t>
      </w:r>
      <w:proofErr w:type="spellEnd"/>
      <w:r w:rsidRPr="00554476">
        <w:rPr>
          <w:rFonts w:ascii="Arial" w:eastAsia="Calibri" w:hAnsi="Arial" w:cs="Arial"/>
          <w:spacing w:val="4"/>
          <w:sz w:val="20"/>
          <w:szCs w:val="20"/>
        </w:rPr>
        <w:t xml:space="preserve"> de la cláusula en ningún caso se debería eliminar la misma, sino que se únicamente se debería moderar el interés de demora máximo a aplicar mediante una integración del contrato. Por tanto, en la presente litis, es de aplicación la limitación del interés de demora a 3 veces el interés legal del dinero, pues el prestatario es consumidor, ya que la finalidad del préstamo es la adquisición de vivienda, pero en ningún caso es admisible que la nulidad por abusiva de la cláusula de interés de demora conlleve que no se devengue ningún tipo de interés moratorio, pues eso sería </w:t>
      </w:r>
      <w:r w:rsidRPr="00554476">
        <w:rPr>
          <w:rFonts w:ascii="Arial" w:eastAsia="Calibri" w:hAnsi="Arial" w:cs="Arial"/>
          <w:spacing w:val="4"/>
          <w:sz w:val="20"/>
          <w:szCs w:val="20"/>
        </w:rPr>
        <w:lastRenderedPageBreak/>
        <w:t>fomentar la morosidad y el incumplimiento al tener mejor tratamiento que el interés ordinario, el nuevo marco legal Ley 1/2013 ha determinado que en ningún caso se elimina la cláusula, sino que esta se modera.</w:t>
      </w:r>
    </w:p>
    <w:p w14:paraId="18C68A9A" w14:textId="77777777" w:rsidR="00115790" w:rsidRPr="00554476" w:rsidRDefault="00115790" w:rsidP="00554476">
      <w:pPr>
        <w:spacing w:after="0" w:line="360" w:lineRule="auto"/>
        <w:jc w:val="both"/>
        <w:rPr>
          <w:rFonts w:ascii="Arial" w:eastAsia="Calibri" w:hAnsi="Arial" w:cs="Arial"/>
          <w:spacing w:val="4"/>
          <w:sz w:val="20"/>
          <w:szCs w:val="20"/>
        </w:rPr>
      </w:pPr>
    </w:p>
    <w:p w14:paraId="13BFE2D5"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conclusión, en caso de que mi representada tenga que aplicar la cláusula referente al interés de demora, aplicará el tipo de interés con el límite establecido legalmente, sin perjuicio de continuar vigente el interés remuneratorio pactado entre las partes. Dicho interés remuneratorio no está aquejado de </w:t>
      </w:r>
      <w:proofErr w:type="spellStart"/>
      <w:r w:rsidRPr="00554476">
        <w:rPr>
          <w:rFonts w:ascii="Arial" w:eastAsia="Calibri" w:hAnsi="Arial" w:cs="Arial"/>
          <w:spacing w:val="4"/>
          <w:sz w:val="20"/>
          <w:szCs w:val="20"/>
        </w:rPr>
        <w:t>abusividad</w:t>
      </w:r>
      <w:proofErr w:type="spellEnd"/>
      <w:r w:rsidRPr="00554476">
        <w:rPr>
          <w:rFonts w:ascii="Arial" w:eastAsia="Calibri" w:hAnsi="Arial" w:cs="Arial"/>
          <w:spacing w:val="4"/>
          <w:sz w:val="20"/>
          <w:szCs w:val="20"/>
        </w:rPr>
        <w:t xml:space="preserve"> y sigue cumpliendo la función esencial del contrato de préstamo de retribuir la disposición del dinero por parte del prestatario hasta su devolución. De modo que dicho interés remuneratorio deberá continuar devengándose hasta que se produzca el reintegro de la suma prestada.</w:t>
      </w:r>
    </w:p>
    <w:p w14:paraId="436DB149" w14:textId="77777777" w:rsidR="00115790" w:rsidRPr="00554476" w:rsidRDefault="00115790" w:rsidP="00554476">
      <w:pPr>
        <w:spacing w:after="0" w:line="360" w:lineRule="auto"/>
        <w:jc w:val="both"/>
        <w:rPr>
          <w:rFonts w:ascii="Arial" w:eastAsia="Calibri" w:hAnsi="Arial" w:cs="Arial"/>
          <w:spacing w:val="4"/>
          <w:sz w:val="20"/>
          <w:szCs w:val="20"/>
        </w:rPr>
      </w:pPr>
    </w:p>
    <w:p w14:paraId="6237284A" w14:textId="77777777" w:rsidR="00115790" w:rsidRPr="00554476" w:rsidRDefault="00115790" w:rsidP="00554476">
      <w:pPr>
        <w:spacing w:after="0" w:line="360" w:lineRule="auto"/>
        <w:jc w:val="both"/>
        <w:rPr>
          <w:rFonts w:ascii="Arial" w:eastAsia="Calibri" w:hAnsi="Arial" w:cs="Arial"/>
          <w:b/>
          <w:spacing w:val="-3"/>
          <w:sz w:val="20"/>
          <w:szCs w:val="20"/>
        </w:rPr>
      </w:pPr>
      <w:r w:rsidRPr="00554476">
        <w:rPr>
          <w:rFonts w:ascii="Arial" w:eastAsia="Calibri" w:hAnsi="Arial" w:cs="Arial"/>
          <w:spacing w:val="-3"/>
          <w:sz w:val="20"/>
          <w:szCs w:val="20"/>
          <w:lang w:val="es-ES_tradnl"/>
        </w:rPr>
        <w:t>Por último, destacar que, en el caso de litis, mi representada no ha hecho uso de la citada cláusula, por lo que ningún perjuicio ha ocasionado a la demandante.</w:t>
      </w:r>
      <w:r w:rsidRPr="00554476">
        <w:rPr>
          <w:rFonts w:ascii="Arial" w:eastAsia="Calibri" w:hAnsi="Arial" w:cs="Arial"/>
          <w:b/>
          <w:spacing w:val="-3"/>
          <w:sz w:val="20"/>
          <w:szCs w:val="20"/>
          <w:lang w:val="es-ES_tradnl"/>
        </w:rPr>
        <w:t xml:space="preserve"> </w:t>
      </w:r>
    </w:p>
    <w:p w14:paraId="791198DD" w14:textId="77777777" w:rsidR="00115790" w:rsidRPr="00554476" w:rsidRDefault="00115790" w:rsidP="00554476">
      <w:pPr>
        <w:spacing w:after="0" w:line="360" w:lineRule="auto"/>
        <w:jc w:val="both"/>
        <w:rPr>
          <w:rFonts w:ascii="Arial" w:eastAsia="Calibri" w:hAnsi="Arial" w:cs="Arial"/>
          <w:spacing w:val="-3"/>
          <w:sz w:val="20"/>
          <w:szCs w:val="20"/>
        </w:rPr>
      </w:pPr>
    </w:p>
    <w:p w14:paraId="33224B66" w14:textId="77777777" w:rsidR="00115790" w:rsidRPr="00554476" w:rsidRDefault="00115790" w:rsidP="00554476">
      <w:pPr>
        <w:spacing w:after="0" w:line="360" w:lineRule="auto"/>
        <w:jc w:val="center"/>
        <w:rPr>
          <w:rFonts w:ascii="Arial" w:eastAsia="Calibri" w:hAnsi="Arial" w:cs="Arial"/>
          <w:b/>
          <w:spacing w:val="4"/>
          <w:sz w:val="20"/>
          <w:szCs w:val="20"/>
        </w:rPr>
      </w:pPr>
      <w:r w:rsidRPr="00554476">
        <w:rPr>
          <w:rFonts w:ascii="Arial" w:eastAsia="Calibri" w:hAnsi="Arial" w:cs="Arial"/>
          <w:b/>
          <w:spacing w:val="4"/>
          <w:sz w:val="20"/>
          <w:szCs w:val="20"/>
        </w:rPr>
        <w:t>II</w:t>
      </w:r>
    </w:p>
    <w:p w14:paraId="45B35E4C" w14:textId="77777777" w:rsidR="00115790" w:rsidRPr="00554476" w:rsidRDefault="00115790" w:rsidP="00554476">
      <w:pPr>
        <w:spacing w:after="0" w:line="360" w:lineRule="auto"/>
        <w:jc w:val="both"/>
        <w:rPr>
          <w:rFonts w:ascii="Arial" w:eastAsia="Calibri" w:hAnsi="Arial" w:cs="Arial"/>
          <w:spacing w:val="4"/>
          <w:sz w:val="20"/>
          <w:szCs w:val="20"/>
        </w:rPr>
      </w:pPr>
    </w:p>
    <w:p w14:paraId="0D356613" w14:textId="6FBCBC8E"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Debe refutarse la Demanda, igualmente, en cuanto a la </w:t>
      </w:r>
      <w:proofErr w:type="spellStart"/>
      <w:r w:rsidRPr="00554476">
        <w:rPr>
          <w:rFonts w:ascii="Arial" w:eastAsia="Calibri" w:hAnsi="Arial" w:cs="Arial"/>
          <w:spacing w:val="4"/>
          <w:sz w:val="20"/>
          <w:szCs w:val="20"/>
        </w:rPr>
        <w:t>abusividad</w:t>
      </w:r>
      <w:proofErr w:type="spellEnd"/>
      <w:r w:rsidRPr="00554476">
        <w:rPr>
          <w:rFonts w:ascii="Arial" w:eastAsia="Calibri" w:hAnsi="Arial" w:cs="Arial"/>
          <w:spacing w:val="4"/>
          <w:sz w:val="20"/>
          <w:szCs w:val="20"/>
        </w:rPr>
        <w:t xml:space="preserve"> de la cláusula de anatocismo, por tratarse de un pacto válido y lícito, bajo el amparo de lo previsto en el artículo 1255 del Código Civil y en el artículo 317 del Código de Comercio, y porque así lo ha venido entendiendo la mayoría de la jurisprudencia (</w:t>
      </w:r>
      <w:r w:rsidRPr="00554476">
        <w:rPr>
          <w:rFonts w:ascii="Arial" w:eastAsia="Calibri" w:hAnsi="Arial" w:cs="Arial"/>
          <w:b/>
          <w:bCs/>
          <w:spacing w:val="4"/>
          <w:sz w:val="20"/>
          <w:szCs w:val="20"/>
          <w:u w:val="single"/>
        </w:rPr>
        <w:t>Sentencias de la Sala de lo Civil del Tribunal Supremo número 985/1994, de 8 de noviembre de 1994, y 430/2009 de 4 de junio de 2009</w:t>
      </w:r>
      <w:r w:rsidRPr="00554476">
        <w:rPr>
          <w:rFonts w:ascii="Arial" w:eastAsia="Calibri" w:hAnsi="Arial" w:cs="Arial"/>
          <w:spacing w:val="4"/>
          <w:sz w:val="20"/>
          <w:szCs w:val="20"/>
        </w:rPr>
        <w:t>).</w:t>
      </w:r>
    </w:p>
    <w:p w14:paraId="54999FEC" w14:textId="77777777" w:rsidR="00115790" w:rsidRPr="00554476" w:rsidRDefault="00115790" w:rsidP="00554476">
      <w:pPr>
        <w:spacing w:after="0" w:line="360" w:lineRule="auto"/>
        <w:jc w:val="both"/>
        <w:rPr>
          <w:rFonts w:ascii="Arial" w:eastAsia="Calibri" w:hAnsi="Arial" w:cs="Arial"/>
          <w:spacing w:val="4"/>
          <w:sz w:val="20"/>
          <w:szCs w:val="20"/>
        </w:rPr>
      </w:pPr>
    </w:p>
    <w:p w14:paraId="24990358" w14:textId="77777777" w:rsidR="00115790" w:rsidRPr="00554476" w:rsidRDefault="00115790" w:rsidP="00554476">
      <w:pPr>
        <w:spacing w:after="0" w:line="360" w:lineRule="auto"/>
        <w:ind w:right="32"/>
        <w:jc w:val="both"/>
        <w:rPr>
          <w:rFonts w:ascii="Arial" w:eastAsia="Calibri" w:hAnsi="Arial" w:cs="Arial"/>
          <w:i/>
          <w:spacing w:val="4"/>
          <w:sz w:val="20"/>
          <w:szCs w:val="20"/>
          <w:u w:val="single"/>
        </w:rPr>
      </w:pPr>
      <w:r w:rsidRPr="00554476">
        <w:rPr>
          <w:rFonts w:ascii="Arial" w:eastAsia="Calibri" w:hAnsi="Arial" w:cs="Arial"/>
          <w:spacing w:val="4"/>
          <w:sz w:val="20"/>
          <w:szCs w:val="20"/>
        </w:rPr>
        <w:t>Tal y como ha indicado ampliamente la jurisprudencia menor de las audiencias</w:t>
      </w:r>
      <w:r w:rsidRPr="00554476">
        <w:rPr>
          <w:rFonts w:ascii="Arial" w:eastAsia="Calibri" w:hAnsi="Arial" w:cs="Arial"/>
          <w:spacing w:val="-3"/>
          <w:sz w:val="20"/>
          <w:szCs w:val="20"/>
        </w:rPr>
        <w:t xml:space="preserve"> provinciales, el anatocismo es totalmente válido y legal, siempre que el mismo se haya estipulado en la escritura, tal y como sucede en el presente caso. Sirva de ejemplo de tal doctrina el pronunciamiento contenido en la </w:t>
      </w:r>
      <w:r w:rsidRPr="00554476">
        <w:rPr>
          <w:rFonts w:ascii="Arial" w:eastAsia="Calibri" w:hAnsi="Arial" w:cs="Arial"/>
          <w:b/>
          <w:spacing w:val="-3"/>
          <w:sz w:val="20"/>
          <w:szCs w:val="20"/>
          <w:u w:val="single"/>
        </w:rPr>
        <w:t>Sentencia nº 164/2007, sec. 2ª, de Audiencia Provincial de Cantabria, sección 2ª, de 7 de marzo de 2007</w:t>
      </w:r>
      <w:r w:rsidRPr="00554476">
        <w:rPr>
          <w:rFonts w:ascii="Arial" w:eastAsia="Calibri" w:hAnsi="Arial" w:cs="Arial"/>
          <w:spacing w:val="-3"/>
          <w:sz w:val="20"/>
          <w:szCs w:val="20"/>
        </w:rPr>
        <w:t>, que hacemos propio:</w:t>
      </w:r>
    </w:p>
    <w:p w14:paraId="1D21FBF2" w14:textId="77777777" w:rsidR="00115790" w:rsidRPr="00554476" w:rsidRDefault="00115790" w:rsidP="00554476">
      <w:pPr>
        <w:spacing w:after="0" w:line="360" w:lineRule="auto"/>
        <w:ind w:right="32"/>
        <w:rPr>
          <w:rFonts w:ascii="Arial" w:eastAsia="Calibri" w:hAnsi="Arial" w:cs="Arial"/>
          <w:i/>
          <w:spacing w:val="4"/>
          <w:sz w:val="20"/>
          <w:szCs w:val="20"/>
        </w:rPr>
      </w:pPr>
    </w:p>
    <w:p w14:paraId="3BCB3680" w14:textId="77777777" w:rsidR="00115790" w:rsidRPr="00554476" w:rsidRDefault="00115790" w:rsidP="00554476">
      <w:pPr>
        <w:autoSpaceDE w:val="0"/>
        <w:autoSpaceDN w:val="0"/>
        <w:adjustRightInd w:val="0"/>
        <w:spacing w:after="0" w:line="360" w:lineRule="auto"/>
        <w:ind w:left="462" w:right="32" w:hanging="21"/>
        <w:jc w:val="both"/>
        <w:rPr>
          <w:rFonts w:ascii="Arial" w:eastAsia="Calibri" w:hAnsi="Arial" w:cs="Arial"/>
          <w:i/>
          <w:spacing w:val="4"/>
          <w:sz w:val="20"/>
          <w:szCs w:val="20"/>
          <w:lang w:eastAsia="es-ES"/>
        </w:rPr>
      </w:pPr>
      <w:r w:rsidRPr="00554476">
        <w:rPr>
          <w:rFonts w:ascii="Arial" w:eastAsia="Calibri" w:hAnsi="Arial" w:cs="Arial"/>
          <w:spacing w:val="4"/>
          <w:sz w:val="20"/>
          <w:szCs w:val="20"/>
        </w:rPr>
        <w:t>“C</w:t>
      </w:r>
      <w:r w:rsidRPr="00554476">
        <w:rPr>
          <w:rFonts w:ascii="Arial" w:eastAsia="Calibri" w:hAnsi="Arial" w:cs="Arial"/>
          <w:i/>
          <w:spacing w:val="-3"/>
          <w:sz w:val="20"/>
          <w:szCs w:val="20"/>
        </w:rPr>
        <w:t>on carácter general ha de decirse que el Tribunal Supremo en Sentencia de 8-11-94 EDJ1994/9018 ha señalado que: «el problema que plantea el presente motivo se reduce escuetamente a determinar si nuestro ordenamiento jurídico permite que las partes, al celebrar un contrato de préstamo mercantil con intereses, puedan estipular expresamente que los intereses vencidos y no satisfechos se acumulen al capital para seguir produciendo los intereses pactados, lo que doctrinalmente se conoce como pacto de anatocismo. La respuesta que ha de corresponder al enunciado problema es de sentido afirmativo, y ello por las siguientes razones:</w:t>
      </w:r>
    </w:p>
    <w:p w14:paraId="7DF6A031"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796C73E1"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lastRenderedPageBreak/>
        <w:t>1) El principio de autonomía de la voluntad que consagra el art. 1.255 CC EDL 1889/1 permite que las partes puedan celebrar el referido convenio, siempre que el mismo, además de no ser contrario a la moral, ni al orden público, no esté prohibido por la Ley, como no lo está, según veremos seguidamente.</w:t>
      </w:r>
    </w:p>
    <w:p w14:paraId="50A67726"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1D35C2C0"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t xml:space="preserve">2) El art. 1.109 del CC EDL 1889/1, además de admitir en el inciso inicial de su párrafo primero el anatocismo legal, admite también el convencional, en el inciso siguiente de ese mismo párrafo primero, al decir "aunque la obligación haya guardado silencio sobre este punto", con lo que, "a sensu contrario", viene a admitir que las partes puedan pactar expresamente que los intereses pactados (vencidos y no satisfechos) puedan producir intereses. El citado precepto es aplicable, con carácter supletorio, a los contratos mercantiles (art. 2 </w:t>
      </w:r>
      <w:proofErr w:type="spellStart"/>
      <w:r w:rsidRPr="00554476">
        <w:rPr>
          <w:rFonts w:ascii="Arial" w:eastAsia="Calibri" w:hAnsi="Arial" w:cs="Arial"/>
          <w:i/>
          <w:spacing w:val="-3"/>
          <w:sz w:val="20"/>
          <w:szCs w:val="20"/>
        </w:rPr>
        <w:t>C.Co</w:t>
      </w:r>
      <w:proofErr w:type="spellEnd"/>
      <w:r w:rsidRPr="00554476">
        <w:rPr>
          <w:rFonts w:ascii="Arial" w:eastAsia="Calibri" w:hAnsi="Arial" w:cs="Arial"/>
          <w:i/>
          <w:spacing w:val="-3"/>
          <w:sz w:val="20"/>
          <w:szCs w:val="20"/>
        </w:rPr>
        <w:t xml:space="preserve"> EDL 1885/1.), siempre que en este Código no exista ningún precepto específico que establezca lo contrario, cuyo precepto no sólo no existe, sino que el existente al respecto viene a confirmar aquél, como seguidamente decimos.</w:t>
      </w:r>
    </w:p>
    <w:p w14:paraId="327D0057"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0082D31D"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t xml:space="preserve">3) El art. 317 del </w:t>
      </w:r>
      <w:proofErr w:type="spellStart"/>
      <w:r w:rsidRPr="00554476">
        <w:rPr>
          <w:rFonts w:ascii="Arial" w:eastAsia="Calibri" w:hAnsi="Arial" w:cs="Arial"/>
          <w:i/>
          <w:spacing w:val="-3"/>
          <w:sz w:val="20"/>
          <w:szCs w:val="20"/>
        </w:rPr>
        <w:t>C.Co</w:t>
      </w:r>
      <w:proofErr w:type="spellEnd"/>
      <w:r w:rsidRPr="00554476">
        <w:rPr>
          <w:rFonts w:ascii="Arial" w:eastAsia="Calibri" w:hAnsi="Arial" w:cs="Arial"/>
          <w:i/>
          <w:spacing w:val="-3"/>
          <w:sz w:val="20"/>
          <w:szCs w:val="20"/>
        </w:rPr>
        <w:t>. EDL1885/1 que, en el inciso primero de su párrafo único, niega la posibilidad del anatocismo legal o de producción "</w:t>
      </w:r>
      <w:proofErr w:type="spellStart"/>
      <w:r w:rsidRPr="00554476">
        <w:rPr>
          <w:rFonts w:ascii="Arial" w:eastAsia="Calibri" w:hAnsi="Arial" w:cs="Arial"/>
          <w:i/>
          <w:spacing w:val="-3"/>
          <w:sz w:val="20"/>
          <w:szCs w:val="20"/>
        </w:rPr>
        <w:t>ope</w:t>
      </w:r>
      <w:proofErr w:type="spellEnd"/>
      <w:r w:rsidRPr="00554476">
        <w:rPr>
          <w:rFonts w:ascii="Arial" w:eastAsia="Calibri" w:hAnsi="Arial" w:cs="Arial"/>
          <w:i/>
          <w:spacing w:val="-3"/>
          <w:sz w:val="20"/>
          <w:szCs w:val="20"/>
        </w:rPr>
        <w:t xml:space="preserve"> </w:t>
      </w:r>
      <w:proofErr w:type="spellStart"/>
      <w:r w:rsidRPr="00554476">
        <w:rPr>
          <w:rFonts w:ascii="Arial" w:eastAsia="Calibri" w:hAnsi="Arial" w:cs="Arial"/>
          <w:i/>
          <w:spacing w:val="-3"/>
          <w:sz w:val="20"/>
          <w:szCs w:val="20"/>
        </w:rPr>
        <w:t>legis</w:t>
      </w:r>
      <w:proofErr w:type="spellEnd"/>
      <w:r w:rsidRPr="00554476">
        <w:rPr>
          <w:rFonts w:ascii="Arial" w:eastAsia="Calibri" w:hAnsi="Arial" w:cs="Arial"/>
          <w:i/>
          <w:spacing w:val="-3"/>
          <w:sz w:val="20"/>
          <w:szCs w:val="20"/>
        </w:rPr>
        <w:t>", cuando dice que "los intereses vencidos y no pagados no devengarán intereses", admite expresamente, en cambio, el convencional, al decir en el inciso segundo de su referido párrafo único que "los contratantes podrán, sin embargo, capitalizar los intereses líquidos y no satisfechos, que, como aumento de capital, devengarán nuevos réditos".</w:t>
      </w:r>
    </w:p>
    <w:p w14:paraId="35E9BA48"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629C1F37"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t>4) El referido anatocismo convencional puede ser pactado por las partes en el mismo contrato originario de préstamo mercantil con intereses, sin necesidad de ninguna convención posterior para ello, toda vez que la liquidez de los intereses vencidos y no satisfechos se produce automáticamente por la simple aplicación del tipo de interés pactado al capital prestado y al tiempo transcurrido hasta el vencimiento de dichos intereses.</w:t>
      </w:r>
    </w:p>
    <w:p w14:paraId="1A667C17"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68B3428A"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t xml:space="preserve">5) Esta Sala tiene expresamente reconocida la validez del anatocismo convencional (sentencias de 6 de febrero de 1906, 21 de octubre de 1911 y 25 de mayo de 1945), cuya doctrina jurisprudencial, aunque referida al art. 1109 del CC EDL 1889/1, es también aplicable al 317 del </w:t>
      </w:r>
      <w:proofErr w:type="spellStart"/>
      <w:r w:rsidRPr="00554476">
        <w:rPr>
          <w:rFonts w:ascii="Arial" w:eastAsia="Calibri" w:hAnsi="Arial" w:cs="Arial"/>
          <w:i/>
          <w:spacing w:val="-3"/>
          <w:sz w:val="20"/>
          <w:szCs w:val="20"/>
        </w:rPr>
        <w:t>C.Co</w:t>
      </w:r>
      <w:proofErr w:type="spellEnd"/>
      <w:r w:rsidRPr="00554476">
        <w:rPr>
          <w:rFonts w:ascii="Arial" w:eastAsia="Calibri" w:hAnsi="Arial" w:cs="Arial"/>
          <w:i/>
          <w:spacing w:val="-3"/>
          <w:sz w:val="20"/>
          <w:szCs w:val="20"/>
        </w:rPr>
        <w:t>. EDL1885/1, por cuanto este precepto no sólo no contradice a aquél, sino que lo confirma en lo que al anatocismo convencional se refiere, como anteriormente hemos dicho.</w:t>
      </w:r>
    </w:p>
    <w:p w14:paraId="400C8D36"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p>
    <w:p w14:paraId="3C922BBB" w14:textId="77777777" w:rsidR="00115790" w:rsidRPr="00554476" w:rsidRDefault="00115790" w:rsidP="00554476">
      <w:pPr>
        <w:spacing w:after="0" w:line="360" w:lineRule="auto"/>
        <w:ind w:left="462" w:right="32" w:hanging="21"/>
        <w:jc w:val="both"/>
        <w:rPr>
          <w:rFonts w:ascii="Arial" w:eastAsia="Calibri" w:hAnsi="Arial" w:cs="Arial"/>
          <w:i/>
          <w:spacing w:val="-3"/>
          <w:sz w:val="20"/>
          <w:szCs w:val="20"/>
        </w:rPr>
      </w:pPr>
      <w:r w:rsidRPr="00554476">
        <w:rPr>
          <w:rFonts w:ascii="Arial" w:eastAsia="Calibri" w:hAnsi="Arial" w:cs="Arial"/>
          <w:i/>
          <w:spacing w:val="-3"/>
          <w:sz w:val="20"/>
          <w:szCs w:val="20"/>
        </w:rPr>
        <w:t>6) Es uso mercantil consolidado el que en los préstamos bancarios estipulen las partes que los intereses vencidos y no satisfechos se capitalicen para, en unión del capital, seguir produciendo intereses al mismo tipo pactado”.</w:t>
      </w:r>
    </w:p>
    <w:p w14:paraId="4EA479FA" w14:textId="77777777" w:rsidR="00115790" w:rsidRPr="00554476" w:rsidRDefault="00115790" w:rsidP="00554476">
      <w:pPr>
        <w:spacing w:after="0" w:line="360" w:lineRule="auto"/>
        <w:ind w:right="424"/>
        <w:jc w:val="both"/>
        <w:rPr>
          <w:rFonts w:ascii="Arial" w:eastAsia="Calibri" w:hAnsi="Arial" w:cs="Arial"/>
          <w:spacing w:val="-3"/>
          <w:sz w:val="20"/>
          <w:szCs w:val="20"/>
        </w:rPr>
      </w:pPr>
    </w:p>
    <w:p w14:paraId="16E84BE2" w14:textId="77777777" w:rsidR="00115790" w:rsidRPr="00554476" w:rsidRDefault="00115790" w:rsidP="00554476">
      <w:pPr>
        <w:spacing w:after="0" w:line="360" w:lineRule="auto"/>
        <w:jc w:val="both"/>
        <w:rPr>
          <w:rFonts w:ascii="Arial" w:eastAsia="Calibri" w:hAnsi="Arial" w:cs="Arial"/>
          <w:spacing w:val="-3"/>
          <w:sz w:val="20"/>
          <w:szCs w:val="20"/>
        </w:rPr>
      </w:pPr>
      <w:r w:rsidRPr="00554476">
        <w:rPr>
          <w:rFonts w:ascii="Arial" w:eastAsia="Calibri" w:hAnsi="Arial" w:cs="Arial"/>
          <w:spacing w:val="-3"/>
          <w:sz w:val="20"/>
          <w:szCs w:val="20"/>
        </w:rPr>
        <w:t xml:space="preserve">En idéntico sentido se pronuncia la </w:t>
      </w:r>
      <w:r w:rsidRPr="00554476">
        <w:rPr>
          <w:rFonts w:ascii="Arial" w:eastAsia="Calibri" w:hAnsi="Arial" w:cs="Arial"/>
          <w:b/>
          <w:spacing w:val="-3"/>
          <w:sz w:val="20"/>
          <w:szCs w:val="20"/>
          <w:u w:val="single"/>
        </w:rPr>
        <w:t>Sentencia nº 306/1999 de la Audiencia Provincial de Madrid, sección 19ª, de 16 de abril de 1999, recurso 231/1998 (EDJ 1999/9307).</w:t>
      </w:r>
    </w:p>
    <w:p w14:paraId="68B3CB55" w14:textId="77777777" w:rsidR="00115790" w:rsidRPr="00554476" w:rsidRDefault="00115790" w:rsidP="00554476">
      <w:pPr>
        <w:spacing w:after="0" w:line="360" w:lineRule="auto"/>
        <w:jc w:val="both"/>
        <w:rPr>
          <w:rFonts w:ascii="Arial" w:eastAsia="Calibri" w:hAnsi="Arial" w:cs="Arial"/>
          <w:spacing w:val="4"/>
          <w:sz w:val="20"/>
          <w:szCs w:val="20"/>
        </w:rPr>
      </w:pPr>
    </w:p>
    <w:p w14:paraId="548C587D"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Por tanto, entendemos que, de acuerdo con nuestro ordenamiento jurídico, el pacto de anatocismo incluido en la cláusula de intereses moratorio y remuneratorios es válido y eficaz, pues en todo caso, lo que se pretende es sancionar el incumplimiento de la obligación más relevante y esencial a cargo del prestatario, que no es otra que la de devolver en los plazos previstos el capital prestado y el interés ordinario pactado, y este tipo de penalización es notoriamente admitida como válida, partiendo, de un lado, de la naturaleza jurídica del contrato de hipoteca, y, de otro lado, especialmente, teniendo en cuenta lo razonable y nada desproporcionado del tipo de interés de demora aplicable en este caso.</w:t>
      </w:r>
    </w:p>
    <w:p w14:paraId="272BA0BB" w14:textId="77777777" w:rsidR="00115790" w:rsidRPr="00554476" w:rsidRDefault="00115790" w:rsidP="00554476">
      <w:pPr>
        <w:spacing w:after="0" w:line="360" w:lineRule="auto"/>
        <w:jc w:val="both"/>
        <w:rPr>
          <w:rFonts w:ascii="Arial" w:eastAsia="Calibri" w:hAnsi="Arial" w:cs="Arial"/>
          <w:spacing w:val="-3"/>
          <w:sz w:val="20"/>
          <w:szCs w:val="20"/>
        </w:rPr>
      </w:pPr>
    </w:p>
    <w:p w14:paraId="4FC2004C" w14:textId="77777777" w:rsidR="00115790" w:rsidRPr="00554476" w:rsidRDefault="00115790" w:rsidP="00554476">
      <w:pPr>
        <w:spacing w:after="0" w:line="360" w:lineRule="auto"/>
        <w:jc w:val="center"/>
        <w:rPr>
          <w:rFonts w:ascii="Arial" w:eastAsia="Calibri" w:hAnsi="Arial" w:cs="Arial"/>
          <w:b/>
          <w:spacing w:val="4"/>
          <w:sz w:val="20"/>
          <w:szCs w:val="20"/>
        </w:rPr>
      </w:pPr>
      <w:r w:rsidRPr="00554476">
        <w:rPr>
          <w:rFonts w:ascii="Arial" w:eastAsia="Calibri" w:hAnsi="Arial" w:cs="Arial"/>
          <w:b/>
          <w:spacing w:val="4"/>
          <w:sz w:val="20"/>
          <w:szCs w:val="20"/>
        </w:rPr>
        <w:t>III</w:t>
      </w:r>
    </w:p>
    <w:p w14:paraId="60923FB2" w14:textId="77777777" w:rsidR="00115790" w:rsidRPr="00554476" w:rsidRDefault="00115790" w:rsidP="00554476">
      <w:pPr>
        <w:spacing w:after="0" w:line="360" w:lineRule="auto"/>
        <w:jc w:val="center"/>
        <w:rPr>
          <w:rFonts w:ascii="Arial" w:eastAsia="Calibri" w:hAnsi="Arial" w:cs="Arial"/>
          <w:b/>
          <w:spacing w:val="4"/>
          <w:sz w:val="20"/>
          <w:szCs w:val="20"/>
        </w:rPr>
      </w:pPr>
    </w:p>
    <w:p w14:paraId="65A27291" w14:textId="77777777" w:rsidR="00115790" w:rsidRPr="00554476" w:rsidRDefault="00115790" w:rsidP="00554476">
      <w:pPr>
        <w:pStyle w:val="Ttulo3"/>
        <w:spacing w:before="0" w:beforeAutospacing="0" w:after="0" w:afterAutospacing="0" w:line="360" w:lineRule="auto"/>
        <w:jc w:val="both"/>
        <w:rPr>
          <w:rFonts w:ascii="Arial" w:eastAsia="Bankinter" w:hAnsi="Arial" w:cs="Arial"/>
          <w:sz w:val="20"/>
          <w:szCs w:val="20"/>
          <w:u w:val="single"/>
        </w:rPr>
      </w:pPr>
      <w:bookmarkStart w:id="9" w:name="_Toc54185192"/>
      <w:r w:rsidRPr="00243FDD">
        <w:rPr>
          <w:rFonts w:ascii="Arial" w:eastAsia="Bankinter" w:hAnsi="Arial" w:cs="Arial"/>
          <w:sz w:val="20"/>
          <w:szCs w:val="20"/>
          <w:highlight w:val="cyan"/>
          <w:u w:val="single"/>
        </w:rPr>
        <w:t>Improcedencia de la modificación de la responsabilidad hipotecaria por la hipotética nulidad de la cláusula de intereses de demora. Necesidad de distinguir entre la responsabilidad personal y la responsabilidad real. Improcedencia de restituir por un supuesto exceso en el IAJD.</w:t>
      </w:r>
      <w:bookmarkEnd w:id="9"/>
    </w:p>
    <w:p w14:paraId="24121BE4" w14:textId="77777777" w:rsidR="00115790" w:rsidRPr="00554476" w:rsidRDefault="00115790" w:rsidP="00554476">
      <w:pPr>
        <w:spacing w:after="0" w:line="360" w:lineRule="auto"/>
        <w:jc w:val="both"/>
        <w:rPr>
          <w:rFonts w:ascii="Arial" w:eastAsia="Calibri" w:hAnsi="Arial" w:cs="Arial"/>
          <w:b/>
          <w:spacing w:val="4"/>
          <w:sz w:val="20"/>
          <w:szCs w:val="20"/>
          <w:u w:val="single"/>
        </w:rPr>
      </w:pPr>
    </w:p>
    <w:p w14:paraId="65C4ACED"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La actora pretende, igualmente que, de declararse la nulidad de la cláusula de intereses de demora, se modifique la responsabilidad hipotecaria que grava la finca. Esta parte muestra </w:t>
      </w:r>
      <w:r w:rsidRPr="00554476">
        <w:rPr>
          <w:rFonts w:ascii="Arial" w:eastAsia="Calibri" w:hAnsi="Arial" w:cs="Arial"/>
          <w:b/>
          <w:bCs/>
          <w:spacing w:val="4"/>
          <w:sz w:val="20"/>
          <w:szCs w:val="20"/>
          <w:u w:val="single"/>
        </w:rPr>
        <w:t>su absoluta disconformidad</w:t>
      </w:r>
      <w:r w:rsidRPr="00554476">
        <w:rPr>
          <w:rFonts w:ascii="Arial" w:eastAsia="Calibri" w:hAnsi="Arial" w:cs="Arial"/>
          <w:spacing w:val="4"/>
          <w:sz w:val="20"/>
          <w:szCs w:val="20"/>
        </w:rPr>
        <w:t xml:space="preserve"> con las alegaciones vertidas de contrario en relación a la dicha pretensión.</w:t>
      </w:r>
    </w:p>
    <w:p w14:paraId="452AFBA8" w14:textId="77777777" w:rsidR="00115790" w:rsidRPr="00554476" w:rsidRDefault="00115790" w:rsidP="00554476">
      <w:pPr>
        <w:spacing w:after="0" w:line="360" w:lineRule="auto"/>
        <w:jc w:val="both"/>
        <w:rPr>
          <w:rFonts w:ascii="Arial" w:eastAsia="Calibri" w:hAnsi="Arial" w:cs="Arial"/>
          <w:spacing w:val="4"/>
          <w:sz w:val="20"/>
          <w:szCs w:val="20"/>
        </w:rPr>
      </w:pPr>
    </w:p>
    <w:p w14:paraId="1D0523AA" w14:textId="77777777" w:rsidR="00115790" w:rsidRPr="00554476" w:rsidRDefault="00115790" w:rsidP="00554476">
      <w:pPr>
        <w:spacing w:after="0" w:line="360" w:lineRule="auto"/>
        <w:jc w:val="both"/>
        <w:rPr>
          <w:rFonts w:ascii="Arial" w:eastAsia="Calibri" w:hAnsi="Arial" w:cs="Arial"/>
          <w:spacing w:val="-3"/>
          <w:sz w:val="20"/>
          <w:szCs w:val="20"/>
        </w:rPr>
      </w:pPr>
      <w:r w:rsidRPr="00554476">
        <w:rPr>
          <w:rFonts w:ascii="Arial" w:eastAsia="Calibri" w:hAnsi="Arial" w:cs="Arial"/>
          <w:spacing w:val="-3"/>
          <w:sz w:val="20"/>
          <w:szCs w:val="20"/>
        </w:rPr>
        <w:t xml:space="preserve">Ante estas afirmaciones, no podemos sino constatar que </w:t>
      </w:r>
      <w:r w:rsidRPr="00554476">
        <w:rPr>
          <w:rFonts w:ascii="Arial" w:eastAsia="Calibri" w:hAnsi="Arial" w:cs="Arial"/>
          <w:b/>
          <w:bCs/>
          <w:spacing w:val="-3"/>
          <w:sz w:val="20"/>
          <w:szCs w:val="20"/>
        </w:rPr>
        <w:t xml:space="preserve">yerra la contraparte, </w:t>
      </w:r>
      <w:r w:rsidRPr="00554476">
        <w:rPr>
          <w:rFonts w:ascii="Arial" w:eastAsia="Calibri" w:hAnsi="Arial" w:cs="Arial"/>
          <w:b/>
          <w:bCs/>
          <w:spacing w:val="-3"/>
          <w:sz w:val="20"/>
          <w:szCs w:val="20"/>
          <w:u w:val="single"/>
        </w:rPr>
        <w:t>pues no debe confundirse la responsabilidad real de los bienes objeto de garantía hipotecaria con la responsabilidad personal derivada del préstamo</w:t>
      </w:r>
      <w:r w:rsidRPr="00554476">
        <w:rPr>
          <w:rFonts w:ascii="Arial" w:eastAsia="Calibri" w:hAnsi="Arial" w:cs="Arial"/>
          <w:spacing w:val="-3"/>
          <w:sz w:val="20"/>
          <w:szCs w:val="20"/>
        </w:rPr>
        <w:t>, distinción básica para la adecuada comprensión del funcionamiento de un préstamo garantizado con hipoteca.</w:t>
      </w:r>
    </w:p>
    <w:p w14:paraId="6935FD1C" w14:textId="77777777" w:rsidR="00115790" w:rsidRPr="00554476" w:rsidRDefault="00115790" w:rsidP="00554476">
      <w:pPr>
        <w:spacing w:after="0" w:line="360" w:lineRule="auto"/>
        <w:jc w:val="both"/>
        <w:rPr>
          <w:rFonts w:ascii="Arial" w:eastAsia="Calibri" w:hAnsi="Arial" w:cs="Arial"/>
          <w:spacing w:val="-3"/>
          <w:sz w:val="20"/>
          <w:szCs w:val="20"/>
        </w:rPr>
      </w:pPr>
    </w:p>
    <w:p w14:paraId="573BF888" w14:textId="77777777" w:rsidR="00115790" w:rsidRPr="00554476" w:rsidRDefault="00115790" w:rsidP="00554476">
      <w:pPr>
        <w:spacing w:after="0" w:line="360" w:lineRule="auto"/>
        <w:jc w:val="both"/>
        <w:rPr>
          <w:rFonts w:ascii="Arial" w:eastAsia="Calibri" w:hAnsi="Arial" w:cs="Arial"/>
          <w:spacing w:val="-3"/>
          <w:sz w:val="20"/>
          <w:szCs w:val="20"/>
        </w:rPr>
      </w:pPr>
      <w:r w:rsidRPr="00554476">
        <w:rPr>
          <w:rFonts w:ascii="Arial" w:eastAsia="Calibri" w:hAnsi="Arial" w:cs="Arial"/>
          <w:spacing w:val="-3"/>
          <w:sz w:val="20"/>
          <w:szCs w:val="20"/>
        </w:rPr>
        <w:t>De esta forma, la escritura de préstamo con garantía hipotecaria presenta dos responsabilidades: la responsabilidad personal, esto es, la deuda que contrae el prestatario, y la responsabilidad real, es decir, la deuda hipotecaria en relación a la finca y su inscripción en el registro de la propiedad, que supone la publicidad y genera efectos frente a terceros (por ejemplo, un futuro adquirente).</w:t>
      </w:r>
    </w:p>
    <w:p w14:paraId="32BA5FAF" w14:textId="77777777" w:rsidR="00115790" w:rsidRPr="00554476" w:rsidRDefault="00115790" w:rsidP="00554476">
      <w:pPr>
        <w:spacing w:after="0" w:line="360" w:lineRule="auto"/>
        <w:jc w:val="both"/>
        <w:rPr>
          <w:rFonts w:ascii="Arial" w:eastAsia="Calibri" w:hAnsi="Arial" w:cs="Arial"/>
          <w:spacing w:val="-3"/>
          <w:sz w:val="20"/>
          <w:szCs w:val="20"/>
        </w:rPr>
      </w:pPr>
    </w:p>
    <w:p w14:paraId="32F59417" w14:textId="77777777" w:rsidR="00115790" w:rsidRPr="00554476" w:rsidRDefault="00115790" w:rsidP="00554476">
      <w:pPr>
        <w:spacing w:after="0" w:line="360" w:lineRule="auto"/>
        <w:jc w:val="both"/>
        <w:rPr>
          <w:rFonts w:ascii="Arial" w:eastAsia="Calibri" w:hAnsi="Arial" w:cs="Arial"/>
          <w:spacing w:val="-3"/>
          <w:sz w:val="20"/>
          <w:szCs w:val="20"/>
        </w:rPr>
      </w:pPr>
      <w:r w:rsidRPr="00554476">
        <w:rPr>
          <w:rFonts w:ascii="Arial" w:eastAsia="Calibri" w:hAnsi="Arial" w:cs="Arial"/>
          <w:spacing w:val="-3"/>
          <w:sz w:val="20"/>
          <w:szCs w:val="20"/>
        </w:rPr>
        <w:t xml:space="preserve">Resulta sencillo comprobar cómo no hay relación entre una y otra responsabilidad. En efecto, la nulidad de la cláusula de intereses de demora se solicita sobre la </w:t>
      </w:r>
      <w:r w:rsidRPr="00554476">
        <w:rPr>
          <w:rFonts w:ascii="Arial" w:eastAsia="Calibri" w:hAnsi="Arial" w:cs="Arial"/>
          <w:b/>
          <w:bCs/>
          <w:spacing w:val="-3"/>
          <w:sz w:val="20"/>
          <w:szCs w:val="20"/>
          <w:u w:val="single"/>
        </w:rPr>
        <w:t>CLÁUSULA FINANCIERA SEXTA</w:t>
      </w:r>
      <w:r w:rsidRPr="00554476">
        <w:rPr>
          <w:rFonts w:ascii="Arial" w:eastAsia="Calibri" w:hAnsi="Arial" w:cs="Arial"/>
          <w:spacing w:val="-3"/>
          <w:sz w:val="20"/>
          <w:szCs w:val="20"/>
        </w:rPr>
        <w:t xml:space="preserve">; estas cláusulas financieras son las referidas </w:t>
      </w:r>
      <w:r w:rsidRPr="00554476">
        <w:rPr>
          <w:rFonts w:ascii="Arial" w:eastAsia="Calibri" w:hAnsi="Arial" w:cs="Arial"/>
          <w:b/>
          <w:bCs/>
          <w:spacing w:val="-3"/>
          <w:sz w:val="20"/>
          <w:szCs w:val="20"/>
          <w:u w:val="single"/>
        </w:rPr>
        <w:t>al deudor o prestatario</w:t>
      </w:r>
      <w:r w:rsidRPr="00554476">
        <w:rPr>
          <w:rFonts w:ascii="Arial" w:eastAsia="Calibri" w:hAnsi="Arial" w:cs="Arial"/>
          <w:spacing w:val="-3"/>
          <w:sz w:val="20"/>
          <w:szCs w:val="20"/>
        </w:rPr>
        <w:t xml:space="preserve">. En cambio, las cláusulas que versan sobre la constitución de la hipoteca se encuentran en el apartado de </w:t>
      </w:r>
      <w:r w:rsidRPr="00554476">
        <w:rPr>
          <w:rFonts w:ascii="Arial" w:eastAsia="Calibri" w:hAnsi="Arial" w:cs="Arial"/>
          <w:b/>
          <w:bCs/>
          <w:spacing w:val="-3"/>
          <w:sz w:val="20"/>
          <w:szCs w:val="20"/>
          <w:u w:val="single"/>
        </w:rPr>
        <w:t>CLÁUSULAS NO FINANCIERAS</w:t>
      </w:r>
      <w:r w:rsidRPr="00554476">
        <w:rPr>
          <w:rFonts w:ascii="Arial" w:eastAsia="Calibri" w:hAnsi="Arial" w:cs="Arial"/>
          <w:spacing w:val="-3"/>
          <w:sz w:val="20"/>
          <w:szCs w:val="20"/>
        </w:rPr>
        <w:t xml:space="preserve">, es decir, no referidas a la deuda, y que se refieren a los efectos frente a terceros. </w:t>
      </w:r>
    </w:p>
    <w:p w14:paraId="123F1631" w14:textId="77777777" w:rsidR="00115790" w:rsidRPr="00554476" w:rsidRDefault="00115790" w:rsidP="00554476">
      <w:pPr>
        <w:spacing w:after="0" w:line="360" w:lineRule="auto"/>
        <w:jc w:val="both"/>
        <w:rPr>
          <w:rFonts w:ascii="Arial" w:eastAsia="Calibri" w:hAnsi="Arial" w:cs="Arial"/>
          <w:spacing w:val="-3"/>
          <w:sz w:val="20"/>
          <w:szCs w:val="20"/>
        </w:rPr>
      </w:pPr>
    </w:p>
    <w:p w14:paraId="1943157E"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3"/>
          <w:sz w:val="20"/>
          <w:szCs w:val="20"/>
        </w:rPr>
        <w:lastRenderedPageBreak/>
        <w:t xml:space="preserve">Así, cabe remitirse a la cláusula no financiera de garantía real, apartado A) de la escritura. </w:t>
      </w:r>
      <w:r w:rsidRPr="00554476">
        <w:rPr>
          <w:rFonts w:ascii="Arial" w:eastAsia="Calibri" w:hAnsi="Arial" w:cs="Arial"/>
          <w:spacing w:val="4"/>
          <w:sz w:val="20"/>
          <w:szCs w:val="20"/>
        </w:rPr>
        <w:t xml:space="preserve">Resulta destacable que, ya al inicio de la misma, se distingue entre </w:t>
      </w:r>
      <w:r w:rsidRPr="00554476">
        <w:rPr>
          <w:rFonts w:ascii="Arial" w:eastAsia="Calibri" w:hAnsi="Arial" w:cs="Arial"/>
          <w:i/>
          <w:iCs/>
          <w:spacing w:val="4"/>
          <w:sz w:val="20"/>
          <w:szCs w:val="20"/>
        </w:rPr>
        <w:t>la responsabilidad personal y solidaria de la parte prestataria</w:t>
      </w:r>
      <w:r w:rsidRPr="00554476">
        <w:rPr>
          <w:rFonts w:ascii="Arial" w:eastAsia="Calibri" w:hAnsi="Arial" w:cs="Arial"/>
          <w:spacing w:val="4"/>
          <w:sz w:val="20"/>
          <w:szCs w:val="20"/>
        </w:rPr>
        <w:t xml:space="preserve"> con la responsabilidad hipotecaria que se constituye sobre la finca descrita. En todo caso, dicha responsabilidad desprende efectos frente a terceros, siendo los porcentajes consignados </w:t>
      </w:r>
      <w:r w:rsidRPr="00554476">
        <w:rPr>
          <w:rFonts w:ascii="Arial" w:eastAsia="Calibri" w:hAnsi="Arial" w:cs="Arial"/>
          <w:b/>
          <w:bCs/>
          <w:spacing w:val="4"/>
          <w:sz w:val="20"/>
          <w:szCs w:val="20"/>
          <w:u w:val="single"/>
        </w:rPr>
        <w:t>máximos, es decir, límites para la adjudicación y venta del bien a terceros</w:t>
      </w:r>
      <w:r w:rsidRPr="00554476">
        <w:rPr>
          <w:rFonts w:ascii="Arial" w:eastAsia="Calibri" w:hAnsi="Arial" w:cs="Arial"/>
          <w:spacing w:val="4"/>
          <w:sz w:val="20"/>
          <w:szCs w:val="20"/>
        </w:rPr>
        <w:t xml:space="preserve">. Todo ello, sin perjuicio de que, obviamente, el deudor responderá por toda la deuda e intereses generados, no en virtud de la responsabilidad hipotecaria, que corresponde al bien, sino </w:t>
      </w:r>
      <w:r w:rsidRPr="00554476">
        <w:rPr>
          <w:rFonts w:ascii="Arial" w:eastAsia="Calibri" w:hAnsi="Arial" w:cs="Arial"/>
          <w:b/>
          <w:bCs/>
          <w:spacing w:val="4"/>
          <w:sz w:val="20"/>
          <w:szCs w:val="20"/>
        </w:rPr>
        <w:t>POR LA RESPONSABILIDAD PERSONAL ADQUIRIDA MEDIANTE EL NEGOCIO DE PRÉSTAMO</w:t>
      </w:r>
      <w:r w:rsidRPr="00554476">
        <w:rPr>
          <w:rFonts w:ascii="Arial" w:eastAsia="Calibri" w:hAnsi="Arial" w:cs="Arial"/>
          <w:spacing w:val="4"/>
          <w:sz w:val="20"/>
          <w:szCs w:val="20"/>
        </w:rPr>
        <w:t xml:space="preserve">. </w:t>
      </w:r>
    </w:p>
    <w:p w14:paraId="3D9C4563" w14:textId="77777777" w:rsidR="00115790" w:rsidRPr="00554476" w:rsidRDefault="00115790" w:rsidP="00554476">
      <w:pPr>
        <w:spacing w:after="0" w:line="360" w:lineRule="auto"/>
        <w:jc w:val="both"/>
        <w:rPr>
          <w:rFonts w:ascii="Arial" w:eastAsia="Calibri" w:hAnsi="Arial" w:cs="Arial"/>
          <w:spacing w:val="4"/>
          <w:sz w:val="20"/>
          <w:szCs w:val="20"/>
        </w:rPr>
      </w:pPr>
    </w:p>
    <w:p w14:paraId="2F1EACCD" w14:textId="77777777" w:rsidR="00115790" w:rsidRPr="00554476" w:rsidRDefault="00115790" w:rsidP="00554476">
      <w:pPr>
        <w:spacing w:after="0" w:line="360" w:lineRule="auto"/>
        <w:jc w:val="both"/>
        <w:rPr>
          <w:rFonts w:ascii="Arial" w:eastAsia="Calibri" w:hAnsi="Arial" w:cs="Arial"/>
          <w:spacing w:val="-3"/>
          <w:sz w:val="20"/>
          <w:szCs w:val="20"/>
        </w:rPr>
      </w:pPr>
      <w:r w:rsidRPr="00554476">
        <w:rPr>
          <w:rFonts w:ascii="Arial" w:eastAsia="Calibri" w:hAnsi="Arial" w:cs="Arial"/>
          <w:spacing w:val="4"/>
          <w:sz w:val="20"/>
          <w:szCs w:val="20"/>
        </w:rPr>
        <w:t>Por lo tanto, ante un impago del deudor, se distinguirían dos responsabilidades:</w:t>
      </w:r>
    </w:p>
    <w:p w14:paraId="46D7F30A" w14:textId="77777777" w:rsidR="00115790" w:rsidRPr="00554476" w:rsidRDefault="00115790" w:rsidP="00554476">
      <w:pPr>
        <w:spacing w:after="0" w:line="360" w:lineRule="auto"/>
        <w:jc w:val="both"/>
        <w:rPr>
          <w:rFonts w:ascii="Arial" w:eastAsia="Calibri" w:hAnsi="Arial" w:cs="Arial"/>
          <w:spacing w:val="4"/>
          <w:sz w:val="20"/>
          <w:szCs w:val="20"/>
        </w:rPr>
      </w:pPr>
    </w:p>
    <w:p w14:paraId="659393CF" w14:textId="77777777" w:rsidR="00115790" w:rsidRPr="00554476" w:rsidRDefault="00115790" w:rsidP="001618DF">
      <w:pPr>
        <w:numPr>
          <w:ilvl w:val="0"/>
          <w:numId w:val="6"/>
        </w:num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La responsabilidad personal (del deudor o prestatario), implicaría que se le reclame la totalidad de la deuda, con los intereses moratorios correspondientes, de conformidad con los pactos recogidos en las CLÁUSULAS FINANCIERAS.</w:t>
      </w:r>
    </w:p>
    <w:p w14:paraId="699A497C" w14:textId="77777777" w:rsidR="00115790" w:rsidRPr="00554476" w:rsidRDefault="00115790" w:rsidP="00554476">
      <w:pPr>
        <w:spacing w:after="0" w:line="360" w:lineRule="auto"/>
        <w:ind w:left="720"/>
        <w:jc w:val="both"/>
        <w:rPr>
          <w:rFonts w:ascii="Arial" w:eastAsia="Calibri" w:hAnsi="Arial" w:cs="Arial"/>
          <w:spacing w:val="4"/>
          <w:sz w:val="20"/>
          <w:szCs w:val="20"/>
        </w:rPr>
      </w:pPr>
    </w:p>
    <w:p w14:paraId="5F01F95B" w14:textId="77777777" w:rsidR="00115790" w:rsidRPr="00554476" w:rsidRDefault="00115790" w:rsidP="001618DF">
      <w:pPr>
        <w:numPr>
          <w:ilvl w:val="0"/>
          <w:numId w:val="6"/>
        </w:num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La responsabilidad real, es decir, por la que responde la finca hipotecada, y que se refiere a los propietarios, y al tercero adquirente. De esta forma </w:t>
      </w:r>
      <w:r w:rsidRPr="00554476">
        <w:rPr>
          <w:rFonts w:ascii="Arial" w:eastAsia="Calibri" w:hAnsi="Arial" w:cs="Arial"/>
          <w:spacing w:val="4"/>
          <w:sz w:val="20"/>
          <w:szCs w:val="20"/>
          <w:u w:val="single"/>
        </w:rPr>
        <w:t>son los importes máximos de adjudicación y venta del bien y por las cantidades que puede responder</w:t>
      </w:r>
      <w:r w:rsidRPr="00554476">
        <w:rPr>
          <w:rFonts w:ascii="Arial" w:eastAsia="Calibri" w:hAnsi="Arial" w:cs="Arial"/>
          <w:spacing w:val="4"/>
          <w:sz w:val="20"/>
          <w:szCs w:val="20"/>
        </w:rPr>
        <w:t xml:space="preserve">, de forma que un tercero no tenga que asumir </w:t>
      </w:r>
      <w:r w:rsidRPr="00554476">
        <w:rPr>
          <w:rFonts w:ascii="Arial" w:eastAsia="Calibri" w:hAnsi="Arial" w:cs="Arial"/>
          <w:b/>
          <w:bCs/>
          <w:spacing w:val="4"/>
          <w:sz w:val="20"/>
          <w:szCs w:val="20"/>
          <w:u w:val="single"/>
        </w:rPr>
        <w:t xml:space="preserve">la deuda personal de la prestataria por </w:t>
      </w:r>
      <w:proofErr w:type="spellStart"/>
      <w:r w:rsidRPr="00554476">
        <w:rPr>
          <w:rFonts w:ascii="Arial" w:eastAsia="Calibri" w:hAnsi="Arial" w:cs="Arial"/>
          <w:b/>
          <w:bCs/>
          <w:spacing w:val="4"/>
          <w:sz w:val="20"/>
          <w:szCs w:val="20"/>
          <w:u w:val="single"/>
        </w:rPr>
        <w:t>impagar</w:t>
      </w:r>
      <w:proofErr w:type="spellEnd"/>
      <w:r w:rsidRPr="00554476">
        <w:rPr>
          <w:rFonts w:ascii="Arial" w:eastAsia="Calibri" w:hAnsi="Arial" w:cs="Arial"/>
          <w:b/>
          <w:bCs/>
          <w:spacing w:val="4"/>
          <w:sz w:val="20"/>
          <w:szCs w:val="20"/>
          <w:u w:val="single"/>
        </w:rPr>
        <w:t xml:space="preserve"> el préstamo concedido</w:t>
      </w:r>
      <w:r w:rsidRPr="00554476">
        <w:rPr>
          <w:rFonts w:ascii="Arial" w:eastAsia="Calibri" w:hAnsi="Arial" w:cs="Arial"/>
          <w:spacing w:val="4"/>
          <w:sz w:val="20"/>
          <w:szCs w:val="20"/>
        </w:rPr>
        <w:t xml:space="preserve">. </w:t>
      </w:r>
    </w:p>
    <w:p w14:paraId="69C7F3B2" w14:textId="77777777" w:rsidR="00115790" w:rsidRPr="00554476" w:rsidRDefault="00115790" w:rsidP="00554476">
      <w:pPr>
        <w:spacing w:after="0" w:line="360" w:lineRule="auto"/>
        <w:ind w:left="720"/>
        <w:contextualSpacing/>
        <w:rPr>
          <w:rFonts w:ascii="Arial" w:eastAsia="Calibri" w:hAnsi="Arial" w:cs="Arial"/>
          <w:spacing w:val="4"/>
          <w:sz w:val="20"/>
          <w:szCs w:val="20"/>
        </w:rPr>
      </w:pPr>
    </w:p>
    <w:p w14:paraId="36DCD320" w14:textId="28701404" w:rsidR="00115790"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Por todo lo anterior, la hipotética nulidad de la cláusula relativa a los intereses de demora, no implicaría la modificación de la responsabilidad hipotecaria, pues como hemos visto, no existe la relación que </w:t>
      </w:r>
      <w:proofErr w:type="spellStart"/>
      <w:r w:rsidRPr="00554476">
        <w:rPr>
          <w:rFonts w:ascii="Arial" w:eastAsia="Calibri" w:hAnsi="Arial" w:cs="Arial"/>
          <w:spacing w:val="4"/>
          <w:sz w:val="20"/>
          <w:szCs w:val="20"/>
        </w:rPr>
        <w:t>de</w:t>
      </w:r>
      <w:proofErr w:type="spellEnd"/>
      <w:r w:rsidRPr="00554476">
        <w:rPr>
          <w:rFonts w:ascii="Arial" w:eastAsia="Calibri" w:hAnsi="Arial" w:cs="Arial"/>
          <w:spacing w:val="4"/>
          <w:sz w:val="20"/>
          <w:szCs w:val="20"/>
        </w:rPr>
        <w:t xml:space="preserve"> contrario se pretende.</w:t>
      </w:r>
    </w:p>
    <w:p w14:paraId="6EBCB8B7" w14:textId="3857ADC2" w:rsidR="001F325A" w:rsidRDefault="001F325A" w:rsidP="00554476">
      <w:pPr>
        <w:spacing w:after="0" w:line="360" w:lineRule="auto"/>
        <w:jc w:val="both"/>
        <w:rPr>
          <w:rFonts w:ascii="Arial" w:eastAsia="Calibri" w:hAnsi="Arial" w:cs="Arial"/>
          <w:spacing w:val="4"/>
          <w:sz w:val="20"/>
          <w:szCs w:val="20"/>
        </w:rPr>
      </w:pPr>
    </w:p>
    <w:p w14:paraId="16B1C7CB" w14:textId="550199DB" w:rsidR="001F325A" w:rsidRDefault="001F325A" w:rsidP="00554476">
      <w:pPr>
        <w:spacing w:after="0" w:line="360" w:lineRule="auto"/>
        <w:jc w:val="both"/>
        <w:rPr>
          <w:rFonts w:ascii="Arial" w:eastAsia="Calibri" w:hAnsi="Arial" w:cs="Arial"/>
          <w:spacing w:val="4"/>
          <w:sz w:val="20"/>
          <w:szCs w:val="20"/>
        </w:rPr>
      </w:pPr>
      <w:r>
        <w:rPr>
          <w:rFonts w:ascii="Arial" w:eastAsia="Calibri" w:hAnsi="Arial" w:cs="Arial"/>
          <w:spacing w:val="4"/>
          <w:sz w:val="20"/>
          <w:szCs w:val="20"/>
        </w:rPr>
        <w:t xml:space="preserve">En dicho sentido, se ha pronunciado recientemente nuestro </w:t>
      </w:r>
      <w:r w:rsidRPr="001F325A">
        <w:rPr>
          <w:rFonts w:ascii="Arial" w:eastAsia="Calibri" w:hAnsi="Arial" w:cs="Arial"/>
          <w:b/>
          <w:spacing w:val="4"/>
          <w:sz w:val="20"/>
          <w:szCs w:val="20"/>
          <w:u w:val="single"/>
        </w:rPr>
        <w:t>Tribunal Supremo, sala de lo Civil, en Sentencia núm. 727/2021, de 26 de octubre</w:t>
      </w:r>
      <w:r>
        <w:rPr>
          <w:rFonts w:ascii="Arial" w:eastAsia="Calibri" w:hAnsi="Arial" w:cs="Arial"/>
          <w:spacing w:val="4"/>
          <w:sz w:val="20"/>
          <w:szCs w:val="20"/>
        </w:rPr>
        <w:t>:</w:t>
      </w:r>
    </w:p>
    <w:p w14:paraId="39785142" w14:textId="07449194" w:rsidR="001F325A" w:rsidRDefault="001F325A" w:rsidP="00554476">
      <w:pPr>
        <w:spacing w:after="0" w:line="360" w:lineRule="auto"/>
        <w:jc w:val="both"/>
        <w:rPr>
          <w:rFonts w:ascii="Arial" w:eastAsia="Calibri" w:hAnsi="Arial" w:cs="Arial"/>
          <w:spacing w:val="4"/>
          <w:sz w:val="20"/>
          <w:szCs w:val="20"/>
        </w:rPr>
      </w:pPr>
    </w:p>
    <w:p w14:paraId="271A41E3" w14:textId="55B15DC0" w:rsidR="001F325A" w:rsidRPr="00A312FE" w:rsidRDefault="001F325A" w:rsidP="00A312FE">
      <w:pPr>
        <w:autoSpaceDE w:val="0"/>
        <w:autoSpaceDN w:val="0"/>
        <w:spacing w:line="360" w:lineRule="auto"/>
        <w:ind w:left="709"/>
        <w:jc w:val="both"/>
        <w:rPr>
          <w:rFonts w:ascii="Arial" w:hAnsi="Arial" w:cs="Arial"/>
          <w:i/>
          <w:iCs/>
          <w:sz w:val="20"/>
        </w:rPr>
      </w:pPr>
      <w:r w:rsidRPr="00A312FE">
        <w:rPr>
          <w:rFonts w:ascii="Arial" w:hAnsi="Arial" w:cs="Arial"/>
          <w:i/>
          <w:iCs/>
          <w:sz w:val="20"/>
        </w:rPr>
        <w:t xml:space="preserve">“En el marco de una acción restitutoria derivada de una acción de nulidad, a diferencia de lo que sucede con los gastos (notaría, registro, gestoría, etc.), en que el banco se enriqueció indebidamente al ahorrarse -a costa del consumidor- unas cantidades que debería haber abonado, </w:t>
      </w:r>
      <w:r w:rsidRPr="00A312FE">
        <w:rPr>
          <w:rFonts w:ascii="Arial" w:hAnsi="Arial" w:cs="Arial"/>
          <w:b/>
          <w:i/>
          <w:iCs/>
          <w:sz w:val="20"/>
        </w:rPr>
        <w:t xml:space="preserve">en el caso del </w:t>
      </w:r>
      <w:r w:rsidRPr="00A312FE">
        <w:rPr>
          <w:rFonts w:ascii="Arial" w:hAnsi="Arial" w:cs="Arial"/>
          <w:b/>
          <w:bCs/>
          <w:i/>
          <w:iCs/>
          <w:sz w:val="20"/>
        </w:rPr>
        <w:t>IAJD</w:t>
      </w:r>
      <w:r w:rsidRPr="00A312FE">
        <w:rPr>
          <w:rFonts w:ascii="Arial" w:hAnsi="Arial" w:cs="Arial"/>
          <w:b/>
          <w:i/>
          <w:iCs/>
          <w:sz w:val="20"/>
        </w:rPr>
        <w:t>, una vez que por Ley (en la fecha de suscripción del contrato) el prestatario era el sujeto pasivo del impuesto, el banco no se benefició de que la cuota tributaria fuera mayor o menor, sino que esta cuestión competía en exclusiva al prestatario, como sujeto pasivo, y a la administración tributaria</w:t>
      </w:r>
      <w:r w:rsidRPr="00A312FE">
        <w:rPr>
          <w:rFonts w:ascii="Arial" w:hAnsi="Arial" w:cs="Arial"/>
          <w:i/>
          <w:iCs/>
          <w:sz w:val="20"/>
        </w:rPr>
        <w:t>.</w:t>
      </w:r>
    </w:p>
    <w:p w14:paraId="1167FB51" w14:textId="1C93D8B0" w:rsidR="001F325A" w:rsidRPr="00A312FE" w:rsidRDefault="001F325A" w:rsidP="00A312FE">
      <w:pPr>
        <w:autoSpaceDE w:val="0"/>
        <w:autoSpaceDN w:val="0"/>
        <w:spacing w:line="360" w:lineRule="auto"/>
        <w:ind w:left="709"/>
        <w:jc w:val="both"/>
        <w:rPr>
          <w:rFonts w:ascii="Arial" w:hAnsi="Arial" w:cs="Arial"/>
          <w:i/>
          <w:iCs/>
          <w:sz w:val="20"/>
        </w:rPr>
      </w:pPr>
      <w:r w:rsidRPr="00A312FE">
        <w:rPr>
          <w:rFonts w:ascii="Arial" w:hAnsi="Arial" w:cs="Arial"/>
          <w:i/>
          <w:iCs/>
          <w:sz w:val="20"/>
        </w:rPr>
        <w:t xml:space="preserve">Una vez que el prestatario abonó en su día el impuesto, </w:t>
      </w:r>
      <w:r w:rsidRPr="00A312FE">
        <w:rPr>
          <w:rFonts w:ascii="Arial" w:hAnsi="Arial" w:cs="Arial"/>
          <w:b/>
          <w:i/>
          <w:iCs/>
          <w:sz w:val="20"/>
        </w:rPr>
        <w:t xml:space="preserve">no corresponde a la jurisdicción civil un pronunciamiento que atribuya a la otra parte la condición de sujeto pasivo del impuesto, sino que el prestatario tiene la posibilidad de solicitar </w:t>
      </w:r>
      <w:r w:rsidRPr="00A312FE">
        <w:rPr>
          <w:rFonts w:ascii="Arial" w:hAnsi="Arial" w:cs="Arial"/>
          <w:b/>
          <w:i/>
          <w:iCs/>
          <w:sz w:val="20"/>
        </w:rPr>
        <w:lastRenderedPageBreak/>
        <w:t xml:space="preserve">de la administración tributaria la devolución del </w:t>
      </w:r>
      <w:r w:rsidRPr="00A312FE">
        <w:rPr>
          <w:rFonts w:ascii="Arial" w:hAnsi="Arial" w:cs="Arial"/>
          <w:b/>
          <w:bCs/>
          <w:i/>
          <w:iCs/>
          <w:sz w:val="20"/>
        </w:rPr>
        <w:t xml:space="preserve">exceso </w:t>
      </w:r>
      <w:r w:rsidRPr="00A312FE">
        <w:rPr>
          <w:rFonts w:ascii="Arial" w:hAnsi="Arial" w:cs="Arial"/>
          <w:b/>
          <w:i/>
          <w:iCs/>
          <w:sz w:val="20"/>
        </w:rPr>
        <w:t xml:space="preserve">abonado por la cuota, una vez declarada la nulidad de la cláusula de </w:t>
      </w:r>
      <w:r w:rsidRPr="00A312FE">
        <w:rPr>
          <w:rFonts w:ascii="Arial" w:hAnsi="Arial" w:cs="Arial"/>
          <w:b/>
          <w:bCs/>
          <w:i/>
          <w:iCs/>
          <w:sz w:val="20"/>
        </w:rPr>
        <w:t xml:space="preserve">intereses </w:t>
      </w:r>
      <w:r w:rsidRPr="00A312FE">
        <w:rPr>
          <w:rFonts w:ascii="Arial" w:hAnsi="Arial" w:cs="Arial"/>
          <w:b/>
          <w:i/>
          <w:iCs/>
          <w:sz w:val="20"/>
        </w:rPr>
        <w:t>moratorios</w:t>
      </w:r>
      <w:r w:rsidRPr="00A312FE">
        <w:rPr>
          <w:rFonts w:ascii="Arial" w:hAnsi="Arial" w:cs="Arial"/>
          <w:i/>
          <w:iCs/>
          <w:sz w:val="20"/>
        </w:rPr>
        <w:t>, conforme prevé el art. 57.1 TRLITPAJD, en relación con los arts. 32 y 66 c) y d) de la Ley General Tributaria (LGT). Por el contrario, la entidad prestamista no podría subrogarse en su posición de sujeto pasivo y efectuar la reclamación ante la administración, debido a la indisponibilidad de dicha posición, conforme a lo dispuesto en el art. 17.5 LGT.</w:t>
      </w:r>
    </w:p>
    <w:p w14:paraId="5D20FAF6" w14:textId="6A244054" w:rsidR="001F325A" w:rsidRPr="00A312FE" w:rsidRDefault="001F325A" w:rsidP="00A312FE">
      <w:pPr>
        <w:autoSpaceDE w:val="0"/>
        <w:autoSpaceDN w:val="0"/>
        <w:spacing w:line="360" w:lineRule="auto"/>
        <w:ind w:left="709"/>
        <w:jc w:val="both"/>
        <w:rPr>
          <w:rFonts w:ascii="Arial" w:hAnsi="Arial" w:cs="Arial"/>
          <w:i/>
          <w:iCs/>
          <w:sz w:val="20"/>
        </w:rPr>
      </w:pPr>
      <w:r w:rsidRPr="00A312FE">
        <w:rPr>
          <w:rFonts w:ascii="Arial" w:hAnsi="Arial" w:cs="Arial"/>
          <w:i/>
          <w:iCs/>
          <w:sz w:val="20"/>
        </w:rPr>
        <w:t xml:space="preserve">Conforme al art. 99 del Reglamento del ITPAJD, el impuesto debe ser objeto de autoliquidación por el sujeto pasivo (el prestatario, en la fecha en que se otorgó la escritura pública de </w:t>
      </w:r>
      <w:r w:rsidRPr="00A312FE">
        <w:rPr>
          <w:rFonts w:ascii="Arial" w:hAnsi="Arial" w:cs="Arial"/>
          <w:bCs/>
          <w:i/>
          <w:iCs/>
          <w:sz w:val="20"/>
        </w:rPr>
        <w:t>préstamo</w:t>
      </w:r>
      <w:r w:rsidRPr="00A312FE">
        <w:rPr>
          <w:rFonts w:ascii="Arial" w:hAnsi="Arial" w:cs="Arial"/>
          <w:i/>
          <w:iCs/>
          <w:sz w:val="20"/>
        </w:rPr>
        <w:t>), correspondiendo a la Administración Tributaria su comprobación y liquidación, que, en su caso, sería impugnable ante la jurisdicción contencioso administrativo”.</w:t>
      </w:r>
    </w:p>
    <w:p w14:paraId="509C35D6" w14:textId="77777777" w:rsidR="00115790" w:rsidRPr="00554476" w:rsidRDefault="00115790" w:rsidP="00554476">
      <w:pPr>
        <w:spacing w:after="0" w:line="360" w:lineRule="auto"/>
        <w:jc w:val="both"/>
        <w:rPr>
          <w:rFonts w:ascii="Arial" w:eastAsia="Calibri" w:hAnsi="Arial" w:cs="Arial"/>
          <w:spacing w:val="4"/>
          <w:sz w:val="20"/>
          <w:szCs w:val="20"/>
        </w:rPr>
      </w:pPr>
    </w:p>
    <w:p w14:paraId="13CA29F6" w14:textId="3242598F"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w:t>
      </w:r>
      <w:r w:rsidR="001F325A">
        <w:rPr>
          <w:rFonts w:ascii="Arial" w:eastAsia="Calibri" w:hAnsi="Arial" w:cs="Arial"/>
          <w:spacing w:val="4"/>
          <w:sz w:val="20"/>
          <w:szCs w:val="20"/>
        </w:rPr>
        <w:t>el mismo</w:t>
      </w:r>
      <w:r w:rsidRPr="00554476">
        <w:rPr>
          <w:rFonts w:ascii="Arial" w:eastAsia="Calibri" w:hAnsi="Arial" w:cs="Arial"/>
          <w:spacing w:val="4"/>
          <w:sz w:val="20"/>
          <w:szCs w:val="20"/>
        </w:rPr>
        <w:t xml:space="preserve"> sentido, cabe destacar la </w:t>
      </w:r>
      <w:r w:rsidRPr="00554476">
        <w:rPr>
          <w:rFonts w:ascii="Arial" w:eastAsia="Calibri" w:hAnsi="Arial" w:cs="Arial"/>
          <w:b/>
          <w:spacing w:val="4"/>
          <w:sz w:val="20"/>
          <w:szCs w:val="20"/>
          <w:u w:val="single"/>
        </w:rPr>
        <w:t>Sentencia de la Audiencia Provincial de Barcelona, Sección 15ª, núm. 1630/2020, de 8 de julio, FJ Segundo</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w:t>
      </w:r>
    </w:p>
    <w:p w14:paraId="4DB88654" w14:textId="77777777" w:rsidR="00115790" w:rsidRPr="00554476" w:rsidRDefault="00115790" w:rsidP="00554476">
      <w:pPr>
        <w:spacing w:after="0" w:line="360" w:lineRule="auto"/>
        <w:jc w:val="both"/>
        <w:rPr>
          <w:rFonts w:ascii="Arial" w:eastAsia="Calibri" w:hAnsi="Arial" w:cs="Arial"/>
          <w:spacing w:val="4"/>
          <w:sz w:val="20"/>
          <w:szCs w:val="20"/>
        </w:rPr>
      </w:pPr>
    </w:p>
    <w:p w14:paraId="3B0614B1"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eastAsia="Calibri" w:hAnsi="Arial" w:cs="Arial"/>
          <w:i/>
          <w:spacing w:val="4"/>
          <w:sz w:val="20"/>
          <w:szCs w:val="20"/>
        </w:rPr>
        <w:t>“El prestatario, en la fecha en la que se otorgó el contrato, era el sujeto pasivo del impuesto, de conformidad con lo previsto en el art. 68 del RD 828/1995, de 29 de mayo, por el que se aprueba el R</w:t>
      </w:r>
      <w:r w:rsidRPr="00554476">
        <w:rPr>
          <w:rFonts w:ascii="Arial" w:hAnsi="Arial" w:cs="Arial"/>
          <w:i/>
          <w:sz w:val="20"/>
          <w:szCs w:val="20"/>
        </w:rPr>
        <w:t xml:space="preserve">eglamento del Impuesto sobre Transmisiones Patrimoniales y Actos Jurídicos Documentados, hasta que fue modificado el art. 29 del Real Decreto Legislativo 1/1993, de 24 de septiembre, por el que se aprueba el Texto refundido de la Ley del Impuesto sobre Transmisiones Patrimoniales y Actos Jurídicos Documentados, por Real Decreto-ley 17/2018, de 8 de noviembre. </w:t>
      </w:r>
    </w:p>
    <w:p w14:paraId="73548B69" w14:textId="77777777" w:rsidR="00115790" w:rsidRPr="00554476" w:rsidRDefault="00115790" w:rsidP="00554476">
      <w:pPr>
        <w:spacing w:after="0" w:line="360" w:lineRule="auto"/>
        <w:ind w:left="567"/>
        <w:jc w:val="both"/>
        <w:rPr>
          <w:rFonts w:ascii="Arial" w:hAnsi="Arial" w:cs="Arial"/>
          <w:i/>
          <w:sz w:val="20"/>
          <w:szCs w:val="20"/>
        </w:rPr>
      </w:pPr>
    </w:p>
    <w:p w14:paraId="0D75356E"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El impuesto, de conformidad con lo dispuesto en el art. 99 RD 828/1995, ha de ser objeto de autoliquidación por el sujeto pasivo, por lo que nuevamente es el prestatario el responsable de dicha autoliquidación. Pues bien, corresponde exclusivamente a la Agencia Tributaria comprobar esa autoliquidación, siendo su decisión impugnable ante la jurisdicción contencioso administrativo. En ningún caso corresponde a los tribunales civiles hacer, ni tan siquiera a efectos </w:t>
      </w:r>
      <w:proofErr w:type="spellStart"/>
      <w:r w:rsidRPr="00554476">
        <w:rPr>
          <w:rFonts w:ascii="Arial" w:hAnsi="Arial" w:cs="Arial"/>
          <w:i/>
          <w:sz w:val="20"/>
          <w:szCs w:val="20"/>
        </w:rPr>
        <w:t>prejudiciales</w:t>
      </w:r>
      <w:proofErr w:type="spellEnd"/>
      <w:r w:rsidRPr="00554476">
        <w:rPr>
          <w:rFonts w:ascii="Arial" w:hAnsi="Arial" w:cs="Arial"/>
          <w:i/>
          <w:sz w:val="20"/>
          <w:szCs w:val="20"/>
        </w:rPr>
        <w:t xml:space="preserve">, una liquidación tributaria, de conformidad con lo establecido en el art. 101 Ley 58/2003, de 17 de diciembre, General Tributaria (LGT). </w:t>
      </w:r>
    </w:p>
    <w:p w14:paraId="648F8138" w14:textId="77777777" w:rsidR="00115790" w:rsidRPr="00554476" w:rsidRDefault="00115790" w:rsidP="00554476">
      <w:pPr>
        <w:spacing w:after="0" w:line="360" w:lineRule="auto"/>
        <w:ind w:left="567"/>
        <w:jc w:val="both"/>
        <w:rPr>
          <w:rFonts w:ascii="Arial" w:hAnsi="Arial" w:cs="Arial"/>
          <w:i/>
          <w:sz w:val="20"/>
          <w:szCs w:val="20"/>
        </w:rPr>
      </w:pPr>
    </w:p>
    <w:p w14:paraId="705D2D63"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Con carácter general, de acuerdo con el art. 17.5 LGT “los elementos de la obligación tributaria no podrán ser alterados por actos o convenios de los particulares, que no producirán efectos ante la Administración, sin perjuicio de sus consecuencias jurídico-privadas”. Por lo tanto, las relaciones entre los particulares, el prestatario y el banco, se mantiene al margen de la obligación tributaria. </w:t>
      </w:r>
    </w:p>
    <w:p w14:paraId="41A32C52" w14:textId="77777777" w:rsidR="00115790" w:rsidRPr="00554476" w:rsidRDefault="00115790" w:rsidP="00554476">
      <w:pPr>
        <w:spacing w:after="0" w:line="360" w:lineRule="auto"/>
        <w:ind w:left="567"/>
        <w:jc w:val="both"/>
        <w:rPr>
          <w:rFonts w:ascii="Arial" w:hAnsi="Arial" w:cs="Arial"/>
          <w:i/>
          <w:sz w:val="20"/>
          <w:szCs w:val="20"/>
        </w:rPr>
      </w:pPr>
    </w:p>
    <w:p w14:paraId="2BE81B49"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lastRenderedPageBreak/>
        <w:t>Si como consecuencia de la declaración de nulidad de una de las cláusulas del contrato, el sujeto pasivo considera que se le ha de devolver una parte de la cuota satisfecha, ha de acudir al procedimiento previsto con carácter general en el art. 32 LGT [..]</w:t>
      </w:r>
    </w:p>
    <w:p w14:paraId="026B7CAA" w14:textId="77777777" w:rsidR="00115790" w:rsidRPr="00554476" w:rsidRDefault="00115790" w:rsidP="00554476">
      <w:pPr>
        <w:spacing w:after="0" w:line="360" w:lineRule="auto"/>
        <w:ind w:left="567"/>
        <w:jc w:val="both"/>
        <w:rPr>
          <w:rFonts w:ascii="Arial" w:hAnsi="Arial" w:cs="Arial"/>
          <w:i/>
          <w:sz w:val="20"/>
          <w:szCs w:val="20"/>
        </w:rPr>
      </w:pPr>
    </w:p>
    <w:p w14:paraId="709A419F"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En todo caso, junto al ámbito estrictamente tributario, es conveniente distinguir, entre el plano de la responsabilidad personal, esto es, aquello a que se obliga el prestatario por principal e intereses, y el plano de la cobertura hipotecaria, que tiene un alcance que excede de lo meramente personal, dado que se configura como un tope máximo que afecta a terceros ajenos a la relación de préstamo, como pueden ser el deudor hipotecante, el tercer poseedor o los titulares de cargas posteriores. Ese techo de responsabilidad hipotecaria viene impuesto por el artículo 12 de la Ley Hipotecaria, que establece lo siguiente: "En la inscripción del derecho real de hipoteca se expresará el importe del principal de la deuda y, en su caso, el de los intereses pactados, o, el importe máximo de la responsabilidad hipotecaria, identificando las obligaciones garantizadas, cualquiera que sea la naturaleza de éstas y su duración."</w:t>
      </w:r>
    </w:p>
    <w:p w14:paraId="68D475FC" w14:textId="77777777" w:rsidR="00115790" w:rsidRPr="00554476" w:rsidRDefault="00115790" w:rsidP="00554476">
      <w:pPr>
        <w:spacing w:after="0" w:line="360" w:lineRule="auto"/>
        <w:ind w:left="567"/>
        <w:jc w:val="both"/>
        <w:rPr>
          <w:rFonts w:ascii="Arial" w:hAnsi="Arial" w:cs="Arial"/>
          <w:i/>
          <w:sz w:val="20"/>
          <w:szCs w:val="20"/>
        </w:rPr>
      </w:pPr>
    </w:p>
    <w:p w14:paraId="39BF33D1"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Por tanto, entendemos que la nulidad de la cláusula de intereses de demora por exceder en más de dos puntos los intereses ordinarios pactados, sólo produce, en principio, efectos en el ámbito de la responsabilidad personal del prestatario, esto es, la cláusula quedará expulsada del contrato y el deudor en mora únicamente vendrá obligado a abonar el interés remuneratorio. </w:t>
      </w:r>
      <w:r w:rsidRPr="00554476">
        <w:rPr>
          <w:rFonts w:ascii="Arial" w:hAnsi="Arial" w:cs="Arial"/>
          <w:b/>
          <w:i/>
          <w:sz w:val="20"/>
          <w:szCs w:val="20"/>
          <w:u w:val="single"/>
        </w:rPr>
        <w:t>No es posible, en definitiva, extender sin más los efectos de la nulidad de la cláusula de intereses moratorios a la cláusula que establece los límites de la responsabilidad frente a terceros de la finca hipotecada.</w:t>
      </w:r>
    </w:p>
    <w:p w14:paraId="7733A8A5" w14:textId="77777777" w:rsidR="00115790" w:rsidRPr="00554476" w:rsidRDefault="00115790" w:rsidP="00554476">
      <w:pPr>
        <w:spacing w:after="0" w:line="360" w:lineRule="auto"/>
        <w:ind w:left="567"/>
        <w:jc w:val="both"/>
        <w:rPr>
          <w:rFonts w:ascii="Arial" w:hAnsi="Arial" w:cs="Arial"/>
          <w:i/>
          <w:sz w:val="20"/>
          <w:szCs w:val="20"/>
        </w:rPr>
      </w:pPr>
    </w:p>
    <w:p w14:paraId="13D9CC56"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Por otro lado, aunque aceptáramos que ha de tenerse también por impugnada la cláusula que delimita la cobertura hipotecaria o que el banco ha incurrido en algún tipo de responsabilidad, entendemos que tampoco procede la condena en los términos interesados en el recurso (el pago del supuesto exceso del IAJD). En efecto, como señala la Resolución de la DGRN de 20 de mayo de 1987, citada por la Resolución de 21 de marzo de 2017, los intereses de demora, al generarse como consecuencia de un incumplimiento, tienen por definición carácter eventual o contingente. Es indeterminada su existencia misma y su cuantía. Por tal motivo </w:t>
      </w:r>
      <w:r w:rsidRPr="00554476">
        <w:rPr>
          <w:rFonts w:ascii="Arial" w:hAnsi="Arial" w:cs="Arial"/>
          <w:i/>
          <w:sz w:val="20"/>
          <w:szCs w:val="20"/>
          <w:u w:val="single"/>
        </w:rPr>
        <w:t>el tope máximo de responsabilidad hipotecaria establecido en la escritura por intereses moratorios</w:t>
      </w:r>
      <w:r w:rsidRPr="00554476">
        <w:rPr>
          <w:rFonts w:ascii="Arial" w:hAnsi="Arial" w:cs="Arial"/>
          <w:i/>
          <w:sz w:val="20"/>
          <w:szCs w:val="20"/>
        </w:rPr>
        <w:t xml:space="preserve"> (o el previsto para las costas de una eventual ejecución) </w:t>
      </w:r>
      <w:r w:rsidRPr="00554476">
        <w:rPr>
          <w:rFonts w:ascii="Arial" w:hAnsi="Arial" w:cs="Arial"/>
          <w:i/>
          <w:sz w:val="20"/>
          <w:szCs w:val="20"/>
          <w:u w:val="single"/>
        </w:rPr>
        <w:t>es meramente estimado, como lo es la base imponible del IAJD que, insistimos, no distingue entre intereses ordinarios y moratorios. El hecho de que se declare nula la cláusula de intereses de demora no implica que el deudor en situación de mora, antes y después de vencido el préstamo, no venga obligado a abonar intereses (los remuneratorios o, en su caso, los del artículo 576 de la LEC, una vez despachada ejecución), cantidad que queda cubierta con la garantía hipotecaria.</w:t>
      </w:r>
      <w:r w:rsidRPr="00554476">
        <w:rPr>
          <w:rFonts w:ascii="Arial" w:hAnsi="Arial" w:cs="Arial"/>
          <w:i/>
          <w:sz w:val="20"/>
          <w:szCs w:val="20"/>
        </w:rPr>
        <w:t xml:space="preserve"> Por tanto, no </w:t>
      </w:r>
      <w:r w:rsidRPr="00554476">
        <w:rPr>
          <w:rFonts w:ascii="Arial" w:hAnsi="Arial" w:cs="Arial"/>
          <w:b/>
          <w:i/>
          <w:sz w:val="20"/>
          <w:szCs w:val="20"/>
        </w:rPr>
        <w:t xml:space="preserve">es posible eliminar, sin más, de la base imponible del impuesto la cantidad </w:t>
      </w:r>
      <w:r w:rsidRPr="00554476">
        <w:rPr>
          <w:rFonts w:ascii="Arial" w:hAnsi="Arial" w:cs="Arial"/>
          <w:b/>
          <w:i/>
          <w:sz w:val="20"/>
          <w:szCs w:val="20"/>
        </w:rPr>
        <w:lastRenderedPageBreak/>
        <w:t>prevista en la escritura por intereses de demora, cuando existe cobertura hipotecaria por ese concepto y cuando el monto total de los intereses de demora en un escenario de incumplimiento viene determinada, no sólo por el tipo pactado, sino también por factores tales como el momento en que el deudor incurre en mora, el tipo de interés remuneratorio (de ser variable), el tiempo que se prolonga esa situación o si se ha dado por vencido el préstamo y se ha iniciado la ejecución</w:t>
      </w:r>
      <w:r w:rsidRPr="00554476">
        <w:rPr>
          <w:rFonts w:ascii="Arial" w:hAnsi="Arial" w:cs="Arial"/>
          <w:i/>
          <w:sz w:val="20"/>
          <w:szCs w:val="20"/>
        </w:rPr>
        <w:t>”.</w:t>
      </w:r>
    </w:p>
    <w:p w14:paraId="2580C59A" w14:textId="77777777" w:rsidR="00115790" w:rsidRPr="00554476" w:rsidRDefault="00115790" w:rsidP="00554476">
      <w:pPr>
        <w:spacing w:after="0" w:line="360" w:lineRule="auto"/>
        <w:jc w:val="both"/>
        <w:rPr>
          <w:rFonts w:ascii="Arial" w:eastAsia="Calibri" w:hAnsi="Arial" w:cs="Arial"/>
          <w:spacing w:val="4"/>
          <w:sz w:val="20"/>
          <w:szCs w:val="20"/>
        </w:rPr>
      </w:pPr>
    </w:p>
    <w:p w14:paraId="58296DED"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Igualmente, la </w:t>
      </w:r>
      <w:r w:rsidRPr="00554476">
        <w:rPr>
          <w:rFonts w:ascii="Arial" w:eastAsia="Calibri" w:hAnsi="Arial" w:cs="Arial"/>
          <w:b/>
          <w:spacing w:val="4"/>
          <w:sz w:val="20"/>
          <w:szCs w:val="20"/>
          <w:u w:val="single"/>
        </w:rPr>
        <w:t>Sentencia de la Audiencia Provincial de Bizkaia, Sección cuarta, núm. 1605/2020, de 24 de junio, FJ Segundo</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w:t>
      </w:r>
    </w:p>
    <w:p w14:paraId="486AF3CA" w14:textId="77777777" w:rsidR="00115790" w:rsidRPr="00554476" w:rsidRDefault="00115790" w:rsidP="00554476">
      <w:pPr>
        <w:spacing w:after="0" w:line="360" w:lineRule="auto"/>
        <w:jc w:val="both"/>
        <w:rPr>
          <w:rFonts w:ascii="Arial" w:eastAsia="Calibri" w:hAnsi="Arial" w:cs="Arial"/>
          <w:spacing w:val="4"/>
          <w:sz w:val="20"/>
          <w:szCs w:val="20"/>
        </w:rPr>
      </w:pPr>
    </w:p>
    <w:p w14:paraId="4A176C4A" w14:textId="77777777" w:rsidR="00115790" w:rsidRPr="00554476" w:rsidRDefault="00115790" w:rsidP="00A312FE">
      <w:pPr>
        <w:spacing w:after="0" w:line="360" w:lineRule="auto"/>
        <w:ind w:left="709"/>
        <w:jc w:val="both"/>
        <w:rPr>
          <w:rFonts w:ascii="Arial" w:eastAsia="Calibri" w:hAnsi="Arial" w:cs="Arial"/>
          <w:i/>
          <w:spacing w:val="4"/>
          <w:sz w:val="20"/>
          <w:szCs w:val="20"/>
        </w:rPr>
      </w:pPr>
      <w:r w:rsidRPr="00554476">
        <w:rPr>
          <w:rFonts w:ascii="Arial" w:hAnsi="Arial" w:cs="Arial"/>
          <w:i/>
          <w:sz w:val="20"/>
          <w:szCs w:val="20"/>
        </w:rPr>
        <w:t>“La cuestión ha sido abordada por este Tribunal en sus sentencias de 3 de Febrero de 2020(ACG 985/19 y ACG 991/19), en las referidas resoluciones, y en aplicación de los criterios sentados por el TS en su sentencia de 23 de Ebro de 2019, y en las de las AP. de Alicante de 2 de Julio del 20199; Baleares de 17 de Mayo de 2019 y Barcelona de 25 de Noviembre de 2019,hemos rechazado la restitución del exceso de IAJD, devengado en aplicación de la cláusula de intereses moratorios, que ha sido declarada nula. Los razonamientos que conducen a tal denegación, quedan compendiados en la reciente sentencia de la AP de Barcelona de 10 de febrero de 2020, razonamientos que este Tribunal comparte en su integridad”.</w:t>
      </w:r>
    </w:p>
    <w:p w14:paraId="7FA23FE6" w14:textId="77777777" w:rsidR="00115790" w:rsidRPr="00554476" w:rsidRDefault="00115790" w:rsidP="00554476">
      <w:pPr>
        <w:spacing w:after="0" w:line="360" w:lineRule="auto"/>
        <w:jc w:val="both"/>
        <w:rPr>
          <w:rFonts w:ascii="Arial" w:eastAsia="Calibri" w:hAnsi="Arial" w:cs="Arial"/>
          <w:spacing w:val="4"/>
          <w:sz w:val="20"/>
          <w:szCs w:val="20"/>
        </w:rPr>
      </w:pPr>
    </w:p>
    <w:p w14:paraId="0E7A65C6"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En este sentido, cabe destacar la </w:t>
      </w:r>
      <w:r w:rsidRPr="00554476">
        <w:rPr>
          <w:rFonts w:ascii="Arial" w:eastAsia="Calibri" w:hAnsi="Arial" w:cs="Arial"/>
          <w:b/>
          <w:spacing w:val="4"/>
          <w:sz w:val="20"/>
          <w:szCs w:val="20"/>
          <w:u w:val="single"/>
        </w:rPr>
        <w:t>Sentencia de la Audiencia Provincial de Burgos, Sección Tercera, núm. 524/2019, de 4 de noviembre, FJ Segundo</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w:t>
      </w:r>
    </w:p>
    <w:p w14:paraId="089F234B" w14:textId="77777777" w:rsidR="00115790" w:rsidRPr="00554476" w:rsidRDefault="00115790" w:rsidP="00554476">
      <w:pPr>
        <w:spacing w:after="0" w:line="360" w:lineRule="auto"/>
        <w:jc w:val="both"/>
        <w:rPr>
          <w:rFonts w:ascii="Arial" w:eastAsia="Calibri" w:hAnsi="Arial" w:cs="Arial"/>
          <w:b/>
          <w:spacing w:val="4"/>
          <w:sz w:val="20"/>
          <w:szCs w:val="20"/>
          <w:u w:val="single"/>
        </w:rPr>
      </w:pPr>
    </w:p>
    <w:p w14:paraId="5C1996DD"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r w:rsidRPr="00554476">
        <w:rPr>
          <w:rFonts w:ascii="Arial" w:eastAsia="Calibri" w:hAnsi="Arial" w:cs="Arial"/>
          <w:i/>
          <w:iCs/>
          <w:spacing w:val="4"/>
          <w:sz w:val="20"/>
          <w:szCs w:val="20"/>
        </w:rPr>
        <w:t>“Por lo que respecta al pretendido exceso en la liquidación del impuesto de actos jurídicos documentados por haberse incluido en la base de tal liquidación las cantidades que por intereses moratorios responde la hipoteca y no ser debidas tales cantidades al haber sido anulada la cláusula de intereses moratorios que permite su cobro, hemos de señalar que tal liquidación es una cuestión ajena a la nulidad de la cláusula de intereses que nada incide en la misma en orden a una condena del banco demandado a restituir al prestatario el posible exceso aplicado en la liquidación, y ello por el sencillo motivo que el banco nada ha cobrado por tal concepto, y por ello nada tiene que restituir como consecuencia de la nulidad, pues el art. 1.303 del CC sólo obliga a restituir las cantidades que se perciben o cobran, y en este caso quien ha cobrado la liquidación del impuesto y por ello el pretendido exceso es la Hacienda Pública, por lo cual sólo a ella se la pueda reclamar una revisión de la liquidación y la restitución del exceso de lo cobrado,</w:t>
      </w:r>
    </w:p>
    <w:p w14:paraId="5CBD72FA"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r w:rsidRPr="00554476">
        <w:rPr>
          <w:rFonts w:ascii="Arial" w:eastAsia="Calibri" w:hAnsi="Arial" w:cs="Arial"/>
          <w:i/>
          <w:iCs/>
          <w:spacing w:val="4"/>
          <w:sz w:val="20"/>
          <w:szCs w:val="20"/>
        </w:rPr>
        <w:t>reclamación que como es obvio debe efectuarse en vía administrativa, y en caso de rechazo interponiendo el correspondiente recurso contencioso ante la jurisdicción contenciosa administrativa, no siendo competentes los tribunales del orden jurisdiccional civil para revisar la liquidación de un impuesto.</w:t>
      </w:r>
    </w:p>
    <w:p w14:paraId="6AF0C0BA"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p>
    <w:p w14:paraId="311E8C98"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r w:rsidRPr="00554476">
        <w:rPr>
          <w:rFonts w:ascii="Arial" w:eastAsia="Calibri" w:hAnsi="Arial" w:cs="Arial"/>
          <w:i/>
          <w:iCs/>
          <w:spacing w:val="4"/>
          <w:sz w:val="20"/>
          <w:szCs w:val="20"/>
        </w:rPr>
        <w:t>Desde otro punto de vista el banco prestamista tampoco puede ser condenado a una restitución con fundamento a un supuesto enriquecimiento injusto derivado de un pago indebido que correspondía haber efectuado al citado banco, siendo este el fundamento de la restitución de los gastos pagados por la cláusula de gastos, y ello por las mismas razones que se excluye la restitución de lo pagado por el impuesto de actos jurídicos documentados, es decir en consideración a que es el prestatario quien está obligado a pagar tal impuesto, no estándolo el banco que tampoco se beneficia de tal pago. Es decir el banco no tiene ninguna ganancia o beneficio por el hecho que exista un exceso en la liquidación del impuesto de actos jurídicos documentados, y por tanto la existencia de dicho pretendido exceso no orina ninguna situación de enriquecimiento injusto para el banco que justifique la restitución de cantidad alguna.</w:t>
      </w:r>
    </w:p>
    <w:p w14:paraId="7C0461C8"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p>
    <w:p w14:paraId="4F282932"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r w:rsidRPr="00554476">
        <w:rPr>
          <w:rFonts w:ascii="Arial" w:eastAsia="Calibri" w:hAnsi="Arial" w:cs="Arial"/>
          <w:i/>
          <w:iCs/>
          <w:spacing w:val="4"/>
          <w:sz w:val="20"/>
          <w:szCs w:val="20"/>
        </w:rPr>
        <w:t>La única opción que tiene el prestatario para exigir del banco el abono de lo pagado por el prestamista por el exceso en la liquidación del impuesto de actos jurídicos documentados, es mediante el ejercicio de una acción resarcitoria por daños y perjuicios fundada en la responsabilidad civil contractual en consideración a que la inclusión en el contrato de una cláusula abusiva, que es predispuesta por el banco e impuesta al prestatario consumidor, originó a tal prestatario un perjuicio al tener que pagar un exceso de liquidación en el impuesto. Ahora bien, tal acción resarcitoria no ha sido ejercitada, y en todo caso estaría prescrita por las mismas razones que lo está la acción de restitución de los gastos pagados indebidamente.</w:t>
      </w:r>
    </w:p>
    <w:p w14:paraId="52C14099"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p>
    <w:p w14:paraId="5AD81AD3" w14:textId="77777777" w:rsidR="00115790" w:rsidRPr="00554476" w:rsidRDefault="00115790" w:rsidP="00A312FE">
      <w:pPr>
        <w:spacing w:after="0" w:line="360" w:lineRule="auto"/>
        <w:ind w:left="709" w:right="-1"/>
        <w:jc w:val="both"/>
        <w:rPr>
          <w:rFonts w:ascii="Arial" w:eastAsia="Calibri" w:hAnsi="Arial" w:cs="Arial"/>
          <w:i/>
          <w:iCs/>
          <w:spacing w:val="4"/>
          <w:sz w:val="20"/>
          <w:szCs w:val="20"/>
        </w:rPr>
      </w:pPr>
      <w:r w:rsidRPr="00554476">
        <w:rPr>
          <w:rFonts w:ascii="Arial" w:eastAsia="Calibri" w:hAnsi="Arial" w:cs="Arial"/>
          <w:i/>
          <w:iCs/>
          <w:spacing w:val="4"/>
          <w:sz w:val="20"/>
          <w:szCs w:val="20"/>
        </w:rPr>
        <w:t>A todo ello debe añadirse que es también discutible que exista un exceso en la liquidación del impuesto de actos jurídicos documentados, o que en su caso tal exceso implique culpa imputable al banco, pues en primer lugar la nulidad de la cláusula de intereses moratorios se declara con posterioridad a la liquidación -incluso cunando se practicó la liquidación no se habían dictado las sentencias del Tribunal Supremo por las que se establecen los criterios para apreciar que el interés moratorio pactado es nulo-, y debe considerase que la declaración de nulidad de los intereses moratorios no impide aplicar los intereses remuneratorios pactados una vez resuelto y vencido el contrato por impago, por lo cual cantidad establecida en la base del impuesto para responder de los intereses debe aplicarse a la responsabilidad por tales intereses que si son debidos. Y en todo caso la cuantificación del exceso en la liquidación sería una cuestión de difícil determinación, y de hecho el actor no señala base alguna para practicar tal cuantificación.</w:t>
      </w:r>
    </w:p>
    <w:p w14:paraId="2F8A0A6A" w14:textId="77777777" w:rsidR="00115790" w:rsidRPr="00554476" w:rsidRDefault="00115790" w:rsidP="00554476">
      <w:pPr>
        <w:spacing w:after="0" w:line="360" w:lineRule="auto"/>
        <w:ind w:left="284" w:right="566"/>
        <w:jc w:val="both"/>
        <w:rPr>
          <w:rFonts w:ascii="Arial" w:eastAsia="Calibri" w:hAnsi="Arial" w:cs="Arial"/>
          <w:i/>
          <w:iCs/>
          <w:spacing w:val="4"/>
          <w:sz w:val="20"/>
          <w:szCs w:val="20"/>
        </w:rPr>
      </w:pPr>
    </w:p>
    <w:p w14:paraId="5DBE3E5A" w14:textId="77777777" w:rsidR="00115790" w:rsidRPr="00554476" w:rsidRDefault="00115790" w:rsidP="00554476">
      <w:pPr>
        <w:spacing w:after="0" w:line="360" w:lineRule="auto"/>
        <w:jc w:val="both"/>
        <w:rPr>
          <w:rFonts w:ascii="Arial" w:eastAsia="Calibri" w:hAnsi="Arial" w:cs="Arial"/>
          <w:spacing w:val="4"/>
          <w:sz w:val="20"/>
          <w:szCs w:val="20"/>
        </w:rPr>
      </w:pPr>
      <w:r w:rsidRPr="002C77D4">
        <w:rPr>
          <w:rFonts w:ascii="Arial" w:eastAsia="Calibri" w:hAnsi="Arial" w:cs="Arial"/>
          <w:spacing w:val="4"/>
          <w:sz w:val="20"/>
          <w:szCs w:val="20"/>
        </w:rPr>
        <w:t>También, la</w:t>
      </w:r>
      <w:r w:rsidRPr="00554476">
        <w:rPr>
          <w:rFonts w:ascii="Arial" w:eastAsia="Calibri" w:hAnsi="Arial" w:cs="Arial"/>
          <w:b/>
          <w:spacing w:val="4"/>
          <w:sz w:val="20"/>
          <w:szCs w:val="20"/>
          <w:u w:val="single"/>
        </w:rPr>
        <w:t xml:space="preserve"> Audiencia Provincial de Teruel, Sección Única, núm. 102/2019, de 28 de marzo, </w:t>
      </w:r>
      <w:proofErr w:type="spellStart"/>
      <w:r w:rsidRPr="00554476">
        <w:rPr>
          <w:rFonts w:ascii="Arial" w:eastAsia="Calibri" w:hAnsi="Arial" w:cs="Arial"/>
          <w:b/>
          <w:spacing w:val="4"/>
          <w:sz w:val="20"/>
          <w:szCs w:val="20"/>
          <w:u w:val="single"/>
        </w:rPr>
        <w:t>rec.</w:t>
      </w:r>
      <w:proofErr w:type="spellEnd"/>
      <w:r w:rsidRPr="00554476">
        <w:rPr>
          <w:rFonts w:ascii="Arial" w:eastAsia="Calibri" w:hAnsi="Arial" w:cs="Arial"/>
          <w:b/>
          <w:spacing w:val="4"/>
          <w:sz w:val="20"/>
          <w:szCs w:val="20"/>
          <w:u w:val="single"/>
        </w:rPr>
        <w:t xml:space="preserve"> 47/2019, FJ V</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w:t>
      </w:r>
    </w:p>
    <w:p w14:paraId="666AE539" w14:textId="77777777" w:rsidR="00115790" w:rsidRPr="00554476" w:rsidRDefault="00115790" w:rsidP="00554476">
      <w:pPr>
        <w:spacing w:after="0" w:line="360" w:lineRule="auto"/>
        <w:jc w:val="both"/>
        <w:rPr>
          <w:rFonts w:ascii="Arial" w:eastAsia="Calibri" w:hAnsi="Arial" w:cs="Arial"/>
          <w:spacing w:val="4"/>
          <w:sz w:val="20"/>
          <w:szCs w:val="20"/>
        </w:rPr>
      </w:pPr>
    </w:p>
    <w:p w14:paraId="2DE8B671" w14:textId="4F41F0CE" w:rsidR="00115790" w:rsidRPr="00554476" w:rsidRDefault="00115790" w:rsidP="00A312FE">
      <w:pPr>
        <w:autoSpaceDE w:val="0"/>
        <w:autoSpaceDN w:val="0"/>
        <w:adjustRightInd w:val="0"/>
        <w:spacing w:after="0" w:line="360" w:lineRule="auto"/>
        <w:ind w:left="709" w:right="-1"/>
        <w:jc w:val="both"/>
        <w:rPr>
          <w:rFonts w:ascii="Arial" w:eastAsia="Calibri" w:hAnsi="Arial" w:cs="Arial"/>
          <w:b/>
          <w:i/>
          <w:spacing w:val="4"/>
          <w:sz w:val="20"/>
          <w:szCs w:val="20"/>
        </w:rPr>
      </w:pPr>
      <w:r w:rsidRPr="00554476">
        <w:rPr>
          <w:rFonts w:ascii="Arial" w:eastAsia="Calibri" w:hAnsi="Arial" w:cs="Arial"/>
          <w:i/>
          <w:spacing w:val="4"/>
          <w:sz w:val="20"/>
          <w:szCs w:val="20"/>
        </w:rPr>
        <w:t xml:space="preserve">Finalmente, la parte recurrente impugna la condena a restituir las cantidades que se reclaman como consecuencia de la declaración de nulidad de la cláusula de intereses de demora, abonadas de más en el Impuesto de Actos Jurídicos Documentados; a tal decisión se opone la parte apelada alegando que tal pretensión no es consecuencia de la declaración de nulidad. El motivo ha de ser estimado pues </w:t>
      </w:r>
      <w:r w:rsidRPr="00554476">
        <w:rPr>
          <w:rFonts w:ascii="Arial" w:eastAsia="Calibri" w:hAnsi="Arial" w:cs="Arial"/>
          <w:b/>
          <w:i/>
          <w:spacing w:val="4"/>
          <w:sz w:val="20"/>
          <w:szCs w:val="20"/>
        </w:rPr>
        <w:t>la pretensión cuantitativa anudada a la declaración de nulidad, no son intereses de demora abonados por la parte actora por aplicación de la cláusula nula; se trata de cantidades pagadas por la liquidación del IAJD, que tomó como base para su cálculo la garantía hipotecaria y por tanto no existe relación directa consecuente entre dicha declaración y lo pretendido en consecuencia</w:t>
      </w:r>
      <w:r w:rsidR="00A312FE">
        <w:rPr>
          <w:rFonts w:ascii="Arial" w:eastAsia="Calibri" w:hAnsi="Arial" w:cs="Arial"/>
          <w:b/>
          <w:i/>
          <w:spacing w:val="4"/>
          <w:sz w:val="20"/>
          <w:szCs w:val="20"/>
        </w:rPr>
        <w:t>.</w:t>
      </w:r>
    </w:p>
    <w:p w14:paraId="53ABD4C2" w14:textId="77777777" w:rsidR="00115790" w:rsidRPr="00554476" w:rsidRDefault="00115790" w:rsidP="00554476">
      <w:pPr>
        <w:spacing w:after="0" w:line="360" w:lineRule="auto"/>
        <w:jc w:val="both"/>
        <w:rPr>
          <w:rFonts w:ascii="Arial" w:eastAsia="Calibri" w:hAnsi="Arial" w:cs="Arial"/>
          <w:spacing w:val="4"/>
          <w:sz w:val="20"/>
          <w:szCs w:val="20"/>
        </w:rPr>
      </w:pPr>
    </w:p>
    <w:p w14:paraId="020DE9CD"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De igual modo, la </w:t>
      </w:r>
      <w:r w:rsidRPr="00554476">
        <w:rPr>
          <w:rFonts w:ascii="Arial" w:eastAsia="Calibri" w:hAnsi="Arial" w:cs="Arial"/>
          <w:b/>
          <w:spacing w:val="4"/>
          <w:sz w:val="20"/>
          <w:szCs w:val="20"/>
          <w:u w:val="single"/>
        </w:rPr>
        <w:t>Sentencia de la Audiencia Provincial de Málaga, Sección Sexta, núm. 756/2019, de 12 de septiembre, FJ Segundo</w:t>
      </w:r>
      <w:r w:rsidRPr="00554476">
        <w:rPr>
          <w:rFonts w:ascii="Arial" w:eastAsia="Calibri" w:hAnsi="Arial" w:cs="Arial"/>
          <w:spacing w:val="4"/>
          <w:sz w:val="20"/>
          <w:szCs w:val="20"/>
          <w:u w:val="single"/>
        </w:rPr>
        <w:t>:</w:t>
      </w:r>
      <w:r w:rsidRPr="00554476">
        <w:rPr>
          <w:rFonts w:ascii="Arial" w:eastAsia="Calibri" w:hAnsi="Arial" w:cs="Arial"/>
          <w:spacing w:val="4"/>
          <w:sz w:val="20"/>
          <w:szCs w:val="20"/>
        </w:rPr>
        <w:t xml:space="preserve"> </w:t>
      </w:r>
    </w:p>
    <w:p w14:paraId="6ACF1059" w14:textId="77777777" w:rsidR="00115790" w:rsidRPr="00554476" w:rsidRDefault="00115790" w:rsidP="00554476">
      <w:pPr>
        <w:spacing w:after="0" w:line="360" w:lineRule="auto"/>
        <w:jc w:val="both"/>
        <w:rPr>
          <w:rFonts w:ascii="Arial" w:eastAsia="Calibri" w:hAnsi="Arial" w:cs="Arial"/>
          <w:spacing w:val="4"/>
          <w:sz w:val="20"/>
          <w:szCs w:val="20"/>
        </w:rPr>
      </w:pPr>
    </w:p>
    <w:p w14:paraId="24B30CFD" w14:textId="77777777" w:rsidR="00115790" w:rsidRPr="00554476" w:rsidRDefault="00115790" w:rsidP="00A312FE">
      <w:pPr>
        <w:autoSpaceDE w:val="0"/>
        <w:autoSpaceDN w:val="0"/>
        <w:adjustRightInd w:val="0"/>
        <w:spacing w:after="0" w:line="360" w:lineRule="auto"/>
        <w:ind w:left="709" w:right="-1"/>
        <w:jc w:val="both"/>
        <w:rPr>
          <w:rFonts w:ascii="Arial" w:eastAsia="Calibri" w:hAnsi="Arial" w:cs="Arial"/>
          <w:i/>
          <w:sz w:val="20"/>
          <w:szCs w:val="20"/>
        </w:rPr>
      </w:pPr>
      <w:r w:rsidRPr="00554476">
        <w:rPr>
          <w:rFonts w:ascii="Arial" w:eastAsia="Calibri" w:hAnsi="Arial" w:cs="Arial"/>
          <w:i/>
          <w:sz w:val="20"/>
          <w:szCs w:val="20"/>
        </w:rPr>
        <w:t>Conforme al artículo 30 del Real Decreto Legislativo 1/1993, de 24 de septiembre, por el que se aprueba el Texto refundido de la Ley del Impuesto sobre Transmisiones Patrimoniales y Actos Jurídicos Documentados “</w:t>
      </w:r>
      <w:r w:rsidRPr="00554476">
        <w:rPr>
          <w:rFonts w:ascii="Arial" w:eastAsia="Calibri" w:hAnsi="Arial" w:cs="Arial"/>
          <w:i/>
          <w:iCs/>
          <w:sz w:val="20"/>
          <w:szCs w:val="20"/>
        </w:rPr>
        <w:t>La base imponible en los derechos reales</w:t>
      </w:r>
      <w:r w:rsidRPr="00554476">
        <w:rPr>
          <w:rFonts w:ascii="Arial" w:eastAsia="Calibri" w:hAnsi="Arial" w:cs="Arial"/>
          <w:i/>
          <w:sz w:val="20"/>
          <w:szCs w:val="20"/>
        </w:rPr>
        <w:t xml:space="preserve"> </w:t>
      </w:r>
      <w:r w:rsidRPr="00554476">
        <w:rPr>
          <w:rFonts w:ascii="Arial" w:eastAsia="Calibri" w:hAnsi="Arial" w:cs="Arial"/>
          <w:i/>
          <w:iCs/>
          <w:sz w:val="20"/>
          <w:szCs w:val="20"/>
        </w:rPr>
        <w:t>de garantía y en las escrituras que documenten préstamos con garantía estará constituida</w:t>
      </w:r>
      <w:r w:rsidRPr="00554476">
        <w:rPr>
          <w:rFonts w:ascii="Arial" w:eastAsia="Calibri" w:hAnsi="Arial" w:cs="Arial"/>
          <w:i/>
          <w:sz w:val="20"/>
          <w:szCs w:val="20"/>
        </w:rPr>
        <w:t xml:space="preserve"> </w:t>
      </w:r>
      <w:r w:rsidRPr="00554476">
        <w:rPr>
          <w:rFonts w:ascii="Arial" w:eastAsia="Calibri" w:hAnsi="Arial" w:cs="Arial"/>
          <w:i/>
          <w:iCs/>
          <w:sz w:val="20"/>
          <w:szCs w:val="20"/>
        </w:rPr>
        <w:t>por el importe de la obligación o capital garantizado, comprendiendo las sumas que se</w:t>
      </w:r>
      <w:r w:rsidRPr="00554476">
        <w:rPr>
          <w:rFonts w:ascii="Arial" w:eastAsia="Calibri" w:hAnsi="Arial" w:cs="Arial"/>
          <w:i/>
          <w:sz w:val="20"/>
          <w:szCs w:val="20"/>
        </w:rPr>
        <w:t xml:space="preserve"> </w:t>
      </w:r>
      <w:r w:rsidRPr="00554476">
        <w:rPr>
          <w:rFonts w:ascii="Arial" w:eastAsia="Calibri" w:hAnsi="Arial" w:cs="Arial"/>
          <w:i/>
          <w:iCs/>
          <w:sz w:val="20"/>
          <w:szCs w:val="20"/>
        </w:rPr>
        <w:t>aseguren por intereses, indemnizaciones, penas por incumplimiento u otros conceptos</w:t>
      </w:r>
      <w:r w:rsidRPr="00554476">
        <w:rPr>
          <w:rFonts w:ascii="Arial" w:eastAsia="Calibri" w:hAnsi="Arial" w:cs="Arial"/>
          <w:i/>
          <w:sz w:val="20"/>
          <w:szCs w:val="20"/>
        </w:rPr>
        <w:t xml:space="preserve"> </w:t>
      </w:r>
      <w:r w:rsidRPr="00554476">
        <w:rPr>
          <w:rFonts w:ascii="Arial" w:eastAsia="Calibri" w:hAnsi="Arial" w:cs="Arial"/>
          <w:i/>
          <w:iCs/>
          <w:sz w:val="20"/>
          <w:szCs w:val="20"/>
        </w:rPr>
        <w:t>análogos.” (</w:t>
      </w:r>
      <w:r w:rsidRPr="00554476">
        <w:rPr>
          <w:rFonts w:ascii="Arial" w:eastAsia="Calibri" w:hAnsi="Arial" w:cs="Arial"/>
          <w:i/>
          <w:sz w:val="20"/>
          <w:szCs w:val="20"/>
        </w:rPr>
        <w:t xml:space="preserve">Así el artículo 69 del Reglamento del mismo: En las primeras copias de escrituras públicas que tengan por objeto directo cantidad o cosa </w:t>
      </w:r>
      <w:proofErr w:type="spellStart"/>
      <w:r w:rsidRPr="00554476">
        <w:rPr>
          <w:rFonts w:ascii="Arial" w:eastAsia="Calibri" w:hAnsi="Arial" w:cs="Arial"/>
          <w:i/>
          <w:sz w:val="20"/>
          <w:szCs w:val="20"/>
        </w:rPr>
        <w:t>valuable</w:t>
      </w:r>
      <w:proofErr w:type="spellEnd"/>
      <w:r w:rsidRPr="00554476">
        <w:rPr>
          <w:rFonts w:ascii="Arial" w:eastAsia="Calibri" w:hAnsi="Arial" w:cs="Arial"/>
          <w:i/>
          <w:sz w:val="20"/>
          <w:szCs w:val="20"/>
        </w:rPr>
        <w:t xml:space="preserve"> servirá de base el valor declarado, sin perjuicio de la comprobación administrativa.) </w:t>
      </w:r>
      <w:r w:rsidRPr="00554476">
        <w:rPr>
          <w:rFonts w:ascii="Arial" w:eastAsia="Calibri" w:hAnsi="Arial" w:cs="Arial"/>
          <w:b/>
          <w:i/>
          <w:sz w:val="20"/>
          <w:szCs w:val="20"/>
        </w:rPr>
        <w:t>Es evidente que en el momento de contratación se fija una cuantía que deriva del interés moratorio (entre otros) y finalmente una garantía concreta por la que responderá el bien en supuestos hipotecarios. Es esta la que determina el impuesto por lo que al no haberse declarado nula la garantía sigue vigente y el cálculo por tanto del impuesto no resulta afectado</w:t>
      </w:r>
      <w:r w:rsidRPr="00554476">
        <w:rPr>
          <w:rFonts w:ascii="Arial" w:eastAsia="Calibri" w:hAnsi="Arial" w:cs="Arial"/>
          <w:i/>
          <w:sz w:val="20"/>
          <w:szCs w:val="20"/>
        </w:rPr>
        <w:t>, por lo que procede la estimación de este motivo.</w:t>
      </w:r>
    </w:p>
    <w:p w14:paraId="04060AA0" w14:textId="77777777" w:rsidR="00115790" w:rsidRPr="00554476" w:rsidRDefault="00115790" w:rsidP="00554476">
      <w:pPr>
        <w:spacing w:after="0" w:line="360" w:lineRule="auto"/>
        <w:jc w:val="both"/>
        <w:rPr>
          <w:rFonts w:ascii="Arial" w:eastAsia="Calibri" w:hAnsi="Arial" w:cs="Arial"/>
          <w:spacing w:val="4"/>
          <w:sz w:val="20"/>
          <w:szCs w:val="20"/>
        </w:rPr>
      </w:pPr>
    </w:p>
    <w:p w14:paraId="76D23EE4" w14:textId="77777777" w:rsidR="00115790" w:rsidRPr="00554476" w:rsidRDefault="00115790"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Asimismo, la </w:t>
      </w:r>
      <w:r w:rsidRPr="00554476">
        <w:rPr>
          <w:rFonts w:ascii="Arial" w:eastAsia="Calibri" w:hAnsi="Arial" w:cs="Arial"/>
          <w:b/>
          <w:spacing w:val="-3"/>
          <w:sz w:val="20"/>
          <w:szCs w:val="20"/>
          <w:u w:val="single"/>
        </w:rPr>
        <w:t>Sentencia nº 598/2018 del Juzgado de 1ª Instancia nº 2 bis de Cádiz, de 29 de junio de 2018:</w:t>
      </w:r>
    </w:p>
    <w:p w14:paraId="7AC39574" w14:textId="77777777" w:rsidR="00115790" w:rsidRPr="00554476" w:rsidRDefault="00115790" w:rsidP="00554476">
      <w:pPr>
        <w:spacing w:after="0" w:line="360" w:lineRule="auto"/>
        <w:ind w:left="567" w:right="991"/>
        <w:jc w:val="both"/>
        <w:rPr>
          <w:rFonts w:ascii="Arial" w:eastAsia="Times New Roman" w:hAnsi="Arial" w:cs="Arial"/>
          <w:i/>
          <w:spacing w:val="4"/>
          <w:sz w:val="20"/>
          <w:szCs w:val="20"/>
          <w:lang w:val="es-ES_tradnl" w:eastAsia="es-ES"/>
        </w:rPr>
      </w:pPr>
    </w:p>
    <w:p w14:paraId="3C49813F"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r w:rsidRPr="00554476">
        <w:rPr>
          <w:rFonts w:ascii="Arial" w:eastAsia="Times New Roman" w:hAnsi="Arial" w:cs="Arial"/>
          <w:i/>
          <w:spacing w:val="4"/>
          <w:sz w:val="20"/>
          <w:szCs w:val="20"/>
          <w:lang w:val="es-ES_tradnl" w:eastAsia="es-ES"/>
        </w:rPr>
        <w:t>“La responsabilidad hipotecaria se determina principalmente, con arreglo a los artículos 1861 y 1255 del Código Civil y los artículos 12 y 105 de la Ley Hipotecaria.</w:t>
      </w:r>
    </w:p>
    <w:p w14:paraId="6AF01C56"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r w:rsidRPr="00554476">
        <w:rPr>
          <w:rFonts w:ascii="Arial" w:eastAsia="Times New Roman" w:hAnsi="Arial" w:cs="Arial"/>
          <w:i/>
          <w:spacing w:val="4"/>
          <w:sz w:val="20"/>
          <w:szCs w:val="20"/>
          <w:lang w:val="es-ES_tradnl" w:eastAsia="es-ES"/>
        </w:rPr>
        <w:t>De los citados preceptos se desprende que, el importe de la responsabilidad hipotecaria, cubrirá además del principal del préstamo, la cantidad que las partes consideren oportuno en concepto de intereses y costas procesales.</w:t>
      </w:r>
    </w:p>
    <w:p w14:paraId="187BEFE7"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p>
    <w:p w14:paraId="65AF30AE"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r w:rsidRPr="00554476">
        <w:rPr>
          <w:rFonts w:ascii="Arial" w:eastAsia="Times New Roman" w:hAnsi="Arial" w:cs="Arial"/>
          <w:i/>
          <w:spacing w:val="4"/>
          <w:sz w:val="20"/>
          <w:szCs w:val="20"/>
          <w:lang w:val="es-ES_tradnl" w:eastAsia="es-ES"/>
        </w:rPr>
        <w:lastRenderedPageBreak/>
        <w:t>Pues bien, la cantidad fijada en la cláusula decimoquinta del préstamo hipotecario (de responsabilidad hipotecaria) se fijó con independencia del interés moratorio fijado en el contrato. Es decir, aún en el supuesto en que el interés de demora hubiese sido distinto,</w:t>
      </w:r>
      <w:r w:rsidRPr="00554476">
        <w:rPr>
          <w:rFonts w:ascii="Arial" w:eastAsia="Calibri" w:hAnsi="Arial" w:cs="Arial"/>
          <w:i/>
          <w:spacing w:val="4"/>
          <w:sz w:val="20"/>
          <w:szCs w:val="20"/>
        </w:rPr>
        <w:t xml:space="preserve"> </w:t>
      </w:r>
      <w:r w:rsidRPr="00554476">
        <w:rPr>
          <w:rFonts w:ascii="Arial" w:eastAsia="Times New Roman" w:hAnsi="Arial" w:cs="Arial"/>
          <w:i/>
          <w:spacing w:val="4"/>
          <w:sz w:val="20"/>
          <w:szCs w:val="20"/>
          <w:lang w:val="es-ES_tradnl" w:eastAsia="es-ES"/>
        </w:rPr>
        <w:t xml:space="preserve">la responsabilidad hipotecaria hubiese fijado un interés de demora de 28.800, pues la responsabilidad hipotecaria fija la cantidad máxima por la que responde el bien hipotecado, con independencia de los intereses moratorios fijados es la cláusula octava, que únicamente influyen sobre la deuda derivada del crédito. </w:t>
      </w:r>
    </w:p>
    <w:p w14:paraId="0CEB7328"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p>
    <w:p w14:paraId="3FAD873E"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r w:rsidRPr="00554476">
        <w:rPr>
          <w:rFonts w:ascii="Arial" w:eastAsia="Times New Roman" w:hAnsi="Arial" w:cs="Arial"/>
          <w:i/>
          <w:spacing w:val="4"/>
          <w:sz w:val="20"/>
          <w:szCs w:val="20"/>
          <w:lang w:val="es-ES_tradnl" w:eastAsia="es-ES"/>
        </w:rPr>
        <w:t>Por tanto, son dos intereses de demora no conexos entre sí, el incluido en la cláusula octava (con repercusión sobre la deuda derivada del crédito garantizada con la responsabilidad hipotecaria y la personal) y los intereses de demora fijados en concepto de responsabilidad hipotecaria, que son independiente de los anteriores y que por disposición legal son incluidos en la base imponible del Impuesto de Actos Jurídicos Documentados. Por ello</w:t>
      </w:r>
      <w:r w:rsidRPr="00554476">
        <w:rPr>
          <w:rFonts w:ascii="Arial" w:eastAsia="Times New Roman" w:hAnsi="Arial" w:cs="Arial"/>
          <w:b/>
          <w:i/>
          <w:spacing w:val="4"/>
          <w:sz w:val="20"/>
          <w:szCs w:val="20"/>
          <w:lang w:val="es-ES_tradnl" w:eastAsia="es-ES"/>
        </w:rPr>
        <w:t>, la nulidad del interés moratorio pactado, no afecta al importe de la responsabilidad hipotecaria</w:t>
      </w:r>
      <w:r w:rsidRPr="00554476">
        <w:rPr>
          <w:rFonts w:ascii="Arial" w:eastAsia="Times New Roman" w:hAnsi="Arial" w:cs="Arial"/>
          <w:i/>
          <w:spacing w:val="4"/>
          <w:sz w:val="20"/>
          <w:szCs w:val="20"/>
          <w:lang w:val="es-ES_tradnl" w:eastAsia="es-ES"/>
        </w:rPr>
        <w:t xml:space="preserve"> fijada en la cláusula decimoquinta.</w:t>
      </w:r>
    </w:p>
    <w:p w14:paraId="7F2A3AD3"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p>
    <w:p w14:paraId="121FA0AC" w14:textId="77777777" w:rsidR="00115790" w:rsidRPr="00554476" w:rsidRDefault="00115790" w:rsidP="00A312FE">
      <w:pPr>
        <w:spacing w:after="0" w:line="360" w:lineRule="auto"/>
        <w:ind w:left="709" w:right="-1"/>
        <w:jc w:val="both"/>
        <w:rPr>
          <w:rFonts w:ascii="Arial" w:eastAsia="Times New Roman" w:hAnsi="Arial" w:cs="Arial"/>
          <w:i/>
          <w:spacing w:val="4"/>
          <w:sz w:val="20"/>
          <w:szCs w:val="20"/>
          <w:lang w:val="es-ES_tradnl" w:eastAsia="es-ES"/>
        </w:rPr>
      </w:pPr>
      <w:r w:rsidRPr="00554476">
        <w:rPr>
          <w:rFonts w:ascii="Arial" w:eastAsia="Times New Roman" w:hAnsi="Arial" w:cs="Arial"/>
          <w:i/>
          <w:spacing w:val="4"/>
          <w:sz w:val="20"/>
          <w:szCs w:val="20"/>
          <w:lang w:val="es-ES_tradnl" w:eastAsia="es-ES"/>
        </w:rPr>
        <w:t xml:space="preserve">Por los motivos expuestos, </w:t>
      </w:r>
      <w:r w:rsidRPr="00554476">
        <w:rPr>
          <w:rFonts w:ascii="Arial" w:eastAsia="Times New Roman" w:hAnsi="Arial" w:cs="Arial"/>
          <w:b/>
          <w:i/>
          <w:spacing w:val="4"/>
          <w:sz w:val="20"/>
          <w:szCs w:val="20"/>
          <w:lang w:val="es-ES_tradnl" w:eastAsia="es-ES"/>
        </w:rPr>
        <w:t>se rechaza la pretensión de restitución del exceso abonado en concepto de IAJD, al no existir conexión entre la determinación de la base imponible, y la cláusula octava incluida en el contrato</w:t>
      </w:r>
      <w:r w:rsidRPr="00554476">
        <w:rPr>
          <w:rFonts w:ascii="Arial" w:eastAsia="Times New Roman" w:hAnsi="Arial" w:cs="Arial"/>
          <w:i/>
          <w:spacing w:val="4"/>
          <w:sz w:val="20"/>
          <w:szCs w:val="20"/>
          <w:lang w:val="es-ES_tradnl" w:eastAsia="es-ES"/>
        </w:rPr>
        <w:t>”.</w:t>
      </w:r>
    </w:p>
    <w:p w14:paraId="6263AF3D" w14:textId="27B0C4AE" w:rsidR="00115790" w:rsidRPr="00554476" w:rsidRDefault="00115790" w:rsidP="00554476">
      <w:pPr>
        <w:spacing w:after="0" w:line="360" w:lineRule="auto"/>
        <w:jc w:val="both"/>
        <w:rPr>
          <w:rFonts w:ascii="Arial" w:hAnsi="Arial" w:cs="Arial"/>
          <w:sz w:val="20"/>
          <w:szCs w:val="20"/>
        </w:rPr>
      </w:pPr>
    </w:p>
    <w:p w14:paraId="437613A3" w14:textId="77777777" w:rsidR="00115790" w:rsidRPr="00554476" w:rsidRDefault="00115790" w:rsidP="00554476">
      <w:pPr>
        <w:spacing w:after="0" w:line="360" w:lineRule="auto"/>
        <w:jc w:val="both"/>
        <w:rPr>
          <w:rFonts w:ascii="Arial" w:hAnsi="Arial" w:cs="Arial"/>
          <w:sz w:val="20"/>
          <w:szCs w:val="20"/>
        </w:rPr>
      </w:pPr>
    </w:p>
    <w:p w14:paraId="50CF5A1F" w14:textId="611A925E" w:rsidR="00115790" w:rsidRDefault="00115790" w:rsidP="00554476">
      <w:pPr>
        <w:pStyle w:val="Ttulo2"/>
        <w:spacing w:before="0" w:line="360" w:lineRule="auto"/>
        <w:jc w:val="both"/>
        <w:rPr>
          <w:rFonts w:ascii="Arial" w:eastAsia="Bankinter" w:hAnsi="Arial" w:cs="Arial"/>
          <w:b/>
          <w:color w:val="auto"/>
          <w:sz w:val="20"/>
          <w:szCs w:val="20"/>
          <w:u w:val="single"/>
        </w:rPr>
      </w:pPr>
      <w:bookmarkStart w:id="10" w:name="_Toc54185193"/>
      <w:r w:rsidRPr="00554476">
        <w:rPr>
          <w:rFonts w:ascii="Arial" w:eastAsia="Bankinter" w:hAnsi="Arial" w:cs="Arial"/>
          <w:b/>
          <w:color w:val="auto"/>
          <w:sz w:val="20"/>
          <w:szCs w:val="20"/>
          <w:u w:val="single"/>
        </w:rPr>
        <w:t xml:space="preserve">SEXTO. </w:t>
      </w:r>
      <w:r w:rsidR="00E230CF" w:rsidRPr="00554476">
        <w:rPr>
          <w:rFonts w:ascii="Arial" w:eastAsia="Bankinter" w:hAnsi="Arial" w:cs="Arial"/>
          <w:b/>
          <w:color w:val="auto"/>
          <w:sz w:val="20"/>
          <w:szCs w:val="20"/>
          <w:u w:val="single"/>
        </w:rPr>
        <w:t>–</w:t>
      </w:r>
      <w:r w:rsidRPr="00554476">
        <w:rPr>
          <w:rFonts w:ascii="Arial" w:eastAsia="Bankinter" w:hAnsi="Arial" w:cs="Arial"/>
          <w:b/>
          <w:color w:val="auto"/>
          <w:sz w:val="20"/>
          <w:szCs w:val="20"/>
          <w:u w:val="single"/>
        </w:rPr>
        <w:t xml:space="preserve"> </w:t>
      </w:r>
      <w:r w:rsidR="00E230CF" w:rsidRPr="00554476">
        <w:rPr>
          <w:rFonts w:ascii="Arial" w:eastAsia="Bankinter" w:hAnsi="Arial" w:cs="Arial"/>
          <w:b/>
          <w:color w:val="auto"/>
          <w:sz w:val="20"/>
          <w:szCs w:val="20"/>
          <w:u w:val="single"/>
        </w:rPr>
        <w:t xml:space="preserve">Validez, legalidad y no </w:t>
      </w:r>
      <w:proofErr w:type="spellStart"/>
      <w:r w:rsidR="00E230CF" w:rsidRPr="00554476">
        <w:rPr>
          <w:rFonts w:ascii="Arial" w:eastAsia="Bankinter" w:hAnsi="Arial" w:cs="Arial"/>
          <w:b/>
          <w:color w:val="auto"/>
          <w:sz w:val="20"/>
          <w:szCs w:val="20"/>
          <w:u w:val="single"/>
        </w:rPr>
        <w:t>abusividad</w:t>
      </w:r>
      <w:proofErr w:type="spellEnd"/>
      <w:r w:rsidR="00E230CF" w:rsidRPr="00554476">
        <w:rPr>
          <w:rFonts w:ascii="Arial" w:eastAsia="Bankinter" w:hAnsi="Arial" w:cs="Arial"/>
          <w:b/>
          <w:color w:val="auto"/>
          <w:sz w:val="20"/>
          <w:szCs w:val="20"/>
          <w:u w:val="single"/>
        </w:rPr>
        <w:t xml:space="preserve"> de la cláusula de </w:t>
      </w:r>
      <w:r w:rsidR="00E230CF" w:rsidRPr="009444E5">
        <w:rPr>
          <w:rFonts w:ascii="Arial" w:eastAsia="Bankinter" w:hAnsi="Arial" w:cs="Arial"/>
          <w:b/>
          <w:color w:val="auto"/>
          <w:sz w:val="20"/>
          <w:szCs w:val="20"/>
          <w:highlight w:val="cyan"/>
          <w:u w:val="single"/>
        </w:rPr>
        <w:t>vencimiento anticipado</w:t>
      </w:r>
      <w:r w:rsidRPr="00554476">
        <w:rPr>
          <w:rFonts w:ascii="Arial" w:eastAsia="Bankinter" w:hAnsi="Arial" w:cs="Arial"/>
          <w:b/>
          <w:color w:val="auto"/>
          <w:sz w:val="20"/>
          <w:szCs w:val="20"/>
          <w:u w:val="single"/>
        </w:rPr>
        <w:t>.</w:t>
      </w:r>
      <w:bookmarkEnd w:id="10"/>
    </w:p>
    <w:p w14:paraId="34B7B3F5" w14:textId="77777777" w:rsidR="00A42C7C" w:rsidRDefault="00A42C7C" w:rsidP="00A42C7C"/>
    <w:p w14:paraId="642576DA" w14:textId="172ACC2D" w:rsidR="00A42C7C" w:rsidRPr="00A42C7C" w:rsidRDefault="00A42C7C" w:rsidP="00A42C7C">
      <w:r w:rsidRPr="00A42C7C">
        <w:rPr>
          <w:highlight w:val="green"/>
        </w:rPr>
        <w:t>[LO QUITAMOS SI NO ES NUESTRO CASO]</w:t>
      </w:r>
    </w:p>
    <w:p w14:paraId="3E91DFC5" w14:textId="77777777" w:rsidR="00E230CF" w:rsidRPr="00554476" w:rsidRDefault="00E230CF" w:rsidP="00554476">
      <w:pPr>
        <w:spacing w:after="0" w:line="360" w:lineRule="auto"/>
        <w:jc w:val="center"/>
        <w:rPr>
          <w:rFonts w:ascii="Arial" w:eastAsia="Calibri" w:hAnsi="Arial" w:cs="Arial"/>
          <w:b/>
          <w:sz w:val="20"/>
          <w:szCs w:val="20"/>
        </w:rPr>
      </w:pPr>
    </w:p>
    <w:p w14:paraId="3DC145EE" w14:textId="063849B0" w:rsidR="00115790" w:rsidRPr="00554476" w:rsidRDefault="00115790"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I</w:t>
      </w:r>
    </w:p>
    <w:p w14:paraId="6D144867" w14:textId="77777777" w:rsidR="00E230CF" w:rsidRPr="00554476" w:rsidRDefault="00E230CF" w:rsidP="00554476">
      <w:pPr>
        <w:spacing w:after="0" w:line="360" w:lineRule="auto"/>
        <w:rPr>
          <w:rFonts w:ascii="Arial" w:eastAsia="Calibri" w:hAnsi="Arial" w:cs="Arial"/>
          <w:b/>
          <w:sz w:val="20"/>
          <w:szCs w:val="20"/>
        </w:rPr>
      </w:pPr>
    </w:p>
    <w:p w14:paraId="58A149E4" w14:textId="1431BA87" w:rsidR="00115790" w:rsidRPr="00554476" w:rsidRDefault="00115790" w:rsidP="00554476">
      <w:pPr>
        <w:pStyle w:val="escribir"/>
        <w:numPr>
          <w:ilvl w:val="0"/>
          <w:numId w:val="0"/>
        </w:numPr>
        <w:rPr>
          <w:rFonts w:ascii="Arial" w:hAnsi="Arial" w:cs="Arial"/>
          <w:sz w:val="20"/>
          <w:szCs w:val="20"/>
        </w:rPr>
      </w:pPr>
      <w:r w:rsidRPr="00554476">
        <w:rPr>
          <w:rFonts w:ascii="Arial" w:hAnsi="Arial" w:cs="Arial"/>
          <w:sz w:val="20"/>
          <w:szCs w:val="20"/>
        </w:rPr>
        <w:t xml:space="preserve">La parte actora interesa la declaración de nulidad de esta cláusula, considerando que la misma es abusiva, al entender que, de conformidad con el artículo 80.1 TRLGDCU, </w:t>
      </w:r>
      <w:r w:rsidR="00E230CF" w:rsidRPr="00554476">
        <w:rPr>
          <w:rFonts w:ascii="Arial" w:hAnsi="Arial" w:cs="Arial"/>
          <w:sz w:val="20"/>
          <w:szCs w:val="20"/>
        </w:rPr>
        <w:t xml:space="preserve">que resultaría </w:t>
      </w:r>
      <w:r w:rsidRPr="00554476">
        <w:rPr>
          <w:rFonts w:ascii="Arial" w:hAnsi="Arial" w:cs="Arial"/>
          <w:sz w:val="20"/>
          <w:szCs w:val="20"/>
        </w:rPr>
        <w:t>contraria a la buena fe al causar</w:t>
      </w:r>
      <w:r w:rsidR="00E230CF" w:rsidRPr="00554476">
        <w:rPr>
          <w:rFonts w:ascii="Arial" w:hAnsi="Arial" w:cs="Arial"/>
          <w:sz w:val="20"/>
          <w:szCs w:val="20"/>
        </w:rPr>
        <w:t xml:space="preserve"> un</w:t>
      </w:r>
      <w:r w:rsidRPr="00554476">
        <w:rPr>
          <w:rFonts w:ascii="Arial" w:hAnsi="Arial" w:cs="Arial"/>
          <w:sz w:val="20"/>
          <w:szCs w:val="20"/>
        </w:rPr>
        <w:t xml:space="preserve"> desequilibrio</w:t>
      </w:r>
      <w:r w:rsidR="00E230CF" w:rsidRPr="00554476">
        <w:rPr>
          <w:rFonts w:ascii="Arial" w:hAnsi="Arial" w:cs="Arial"/>
          <w:sz w:val="20"/>
          <w:szCs w:val="20"/>
        </w:rPr>
        <w:t xml:space="preserve"> </w:t>
      </w:r>
      <w:r w:rsidRPr="00554476">
        <w:rPr>
          <w:rFonts w:ascii="Arial" w:hAnsi="Arial" w:cs="Arial"/>
          <w:sz w:val="20"/>
          <w:szCs w:val="20"/>
        </w:rPr>
        <w:t>en perjuicio del consumidor</w:t>
      </w:r>
      <w:r w:rsidR="00E230CF" w:rsidRPr="00554476">
        <w:rPr>
          <w:rFonts w:ascii="Arial" w:hAnsi="Arial" w:cs="Arial"/>
          <w:sz w:val="20"/>
          <w:szCs w:val="20"/>
        </w:rPr>
        <w:t xml:space="preserve"> en comparación con la protección de los intereses de la parte prestamista.</w:t>
      </w:r>
    </w:p>
    <w:p w14:paraId="3E9C997A" w14:textId="77777777" w:rsidR="00115790" w:rsidRPr="00554476" w:rsidRDefault="00115790" w:rsidP="00554476">
      <w:pPr>
        <w:pStyle w:val="escribir"/>
        <w:numPr>
          <w:ilvl w:val="0"/>
          <w:numId w:val="0"/>
        </w:numPr>
        <w:rPr>
          <w:rFonts w:ascii="Arial" w:hAnsi="Arial" w:cs="Arial"/>
          <w:sz w:val="20"/>
          <w:szCs w:val="20"/>
        </w:rPr>
      </w:pPr>
    </w:p>
    <w:p w14:paraId="18B8BB82" w14:textId="680A8343" w:rsidR="00115790" w:rsidRPr="00554476" w:rsidRDefault="00115790" w:rsidP="00554476">
      <w:pPr>
        <w:pStyle w:val="escribir"/>
        <w:numPr>
          <w:ilvl w:val="0"/>
          <w:numId w:val="0"/>
        </w:numPr>
        <w:rPr>
          <w:rFonts w:ascii="Arial" w:hAnsi="Arial" w:cs="Arial"/>
          <w:sz w:val="20"/>
          <w:szCs w:val="20"/>
        </w:rPr>
      </w:pPr>
      <w:r w:rsidRPr="00554476">
        <w:rPr>
          <w:rFonts w:ascii="Arial" w:hAnsi="Arial" w:cs="Arial"/>
          <w:sz w:val="20"/>
          <w:szCs w:val="20"/>
        </w:rPr>
        <w:t xml:space="preserve">Dicha pretensión </w:t>
      </w:r>
      <w:r w:rsidR="00E230CF" w:rsidRPr="00554476">
        <w:rPr>
          <w:rFonts w:ascii="Arial" w:hAnsi="Arial" w:cs="Arial"/>
          <w:sz w:val="20"/>
          <w:szCs w:val="20"/>
        </w:rPr>
        <w:t xml:space="preserve">se sostiene de contrario con el argumento de </w:t>
      </w:r>
      <w:r w:rsidRPr="00554476">
        <w:rPr>
          <w:rFonts w:ascii="Arial" w:hAnsi="Arial" w:cs="Arial"/>
          <w:sz w:val="20"/>
          <w:szCs w:val="20"/>
        </w:rPr>
        <w:t xml:space="preserve">que la cláusula que nos ocupa permite al prestamista dar por vencido anticipadamente el contrato ante el impago de </w:t>
      </w:r>
      <w:r w:rsidR="00E230CF" w:rsidRPr="00554476">
        <w:rPr>
          <w:rFonts w:ascii="Arial" w:hAnsi="Arial" w:cs="Arial"/>
          <w:sz w:val="20"/>
          <w:szCs w:val="20"/>
        </w:rPr>
        <w:t>una</w:t>
      </w:r>
      <w:r w:rsidRPr="00554476">
        <w:rPr>
          <w:rFonts w:ascii="Arial" w:hAnsi="Arial" w:cs="Arial"/>
          <w:sz w:val="20"/>
          <w:szCs w:val="20"/>
        </w:rPr>
        <w:t xml:space="preserve"> de las cuotas pactadas en </w:t>
      </w:r>
      <w:r w:rsidR="00E230CF" w:rsidRPr="00554476">
        <w:rPr>
          <w:rFonts w:ascii="Arial" w:hAnsi="Arial" w:cs="Arial"/>
          <w:sz w:val="20"/>
          <w:szCs w:val="20"/>
        </w:rPr>
        <w:t>el préstamo.</w:t>
      </w:r>
    </w:p>
    <w:p w14:paraId="01FE2A12" w14:textId="77777777" w:rsidR="00115790" w:rsidRPr="00554476" w:rsidRDefault="00115790" w:rsidP="00554476">
      <w:pPr>
        <w:pStyle w:val="Sinespaciado"/>
        <w:spacing w:line="360" w:lineRule="auto"/>
        <w:jc w:val="both"/>
        <w:rPr>
          <w:rFonts w:ascii="Arial" w:hAnsi="Arial" w:cs="Arial"/>
          <w:sz w:val="20"/>
          <w:szCs w:val="20"/>
        </w:rPr>
      </w:pPr>
    </w:p>
    <w:p w14:paraId="3C5F0C00" w14:textId="2FC0BB08" w:rsidR="00E230CF" w:rsidRPr="00554476" w:rsidRDefault="00E230CF" w:rsidP="00554476">
      <w:pPr>
        <w:pStyle w:val="escribir"/>
        <w:numPr>
          <w:ilvl w:val="0"/>
          <w:numId w:val="0"/>
        </w:numPr>
        <w:rPr>
          <w:rFonts w:ascii="Arial" w:hAnsi="Arial" w:cs="Arial"/>
          <w:sz w:val="20"/>
          <w:szCs w:val="20"/>
        </w:rPr>
      </w:pPr>
      <w:r w:rsidRPr="00554476">
        <w:rPr>
          <w:rFonts w:ascii="Arial" w:hAnsi="Arial" w:cs="Arial"/>
          <w:sz w:val="20"/>
          <w:szCs w:val="20"/>
        </w:rPr>
        <w:t xml:space="preserve">Sin perjuicio de las razones de fondo que se expondrán a continuación, suficientes para hacer decaer dicha petición, cabe señalar, en primer lugar que, a raíz de la entrada en vigor de la </w:t>
      </w:r>
      <w:r w:rsidRPr="00554476">
        <w:rPr>
          <w:rFonts w:ascii="Arial" w:hAnsi="Arial" w:cs="Arial"/>
          <w:sz w:val="20"/>
          <w:szCs w:val="20"/>
        </w:rPr>
        <w:lastRenderedPageBreak/>
        <w:t xml:space="preserve">reciente </w:t>
      </w:r>
      <w:r w:rsidRPr="00554476">
        <w:rPr>
          <w:rFonts w:ascii="Arial" w:hAnsi="Arial" w:cs="Arial"/>
          <w:b/>
          <w:bCs/>
          <w:sz w:val="20"/>
          <w:szCs w:val="20"/>
        </w:rPr>
        <w:t xml:space="preserve">Ley 5/2019, de 15 de marzo, reguladora de los contratos de crédito inmobiliario </w:t>
      </w:r>
      <w:r w:rsidRPr="00554476">
        <w:rPr>
          <w:rFonts w:ascii="Arial" w:hAnsi="Arial" w:cs="Arial"/>
          <w:sz w:val="20"/>
          <w:szCs w:val="20"/>
        </w:rPr>
        <w:t>(En lo siguiente, LCCI)</w:t>
      </w:r>
      <w:r w:rsidRPr="00554476">
        <w:rPr>
          <w:rFonts w:ascii="Arial" w:hAnsi="Arial" w:cs="Arial"/>
          <w:b/>
          <w:bCs/>
          <w:sz w:val="20"/>
          <w:szCs w:val="20"/>
        </w:rPr>
        <w:t>,</w:t>
      </w:r>
      <w:r w:rsidRPr="00554476">
        <w:rPr>
          <w:rFonts w:ascii="Arial" w:hAnsi="Arial" w:cs="Arial"/>
          <w:sz w:val="20"/>
          <w:szCs w:val="20"/>
        </w:rPr>
        <w:t xml:space="preserve"> la referida pretensión encuentra un escollo insalvable para poder ser estimada, teniendo en cuenta que la misma ha perdido complemente su objeto y razón de ser, lo que produce una </w:t>
      </w:r>
      <w:r w:rsidRPr="00554476">
        <w:rPr>
          <w:rFonts w:ascii="Arial" w:hAnsi="Arial" w:cs="Arial"/>
          <w:b/>
          <w:bCs/>
          <w:sz w:val="20"/>
          <w:szCs w:val="20"/>
        </w:rPr>
        <w:t>carencia de objeto que hace decaer el interés legítimo de la contraparte en sostener una pretensión de nulidad sobre esta concreta estipulación</w:t>
      </w:r>
      <w:r w:rsidRPr="00554476">
        <w:rPr>
          <w:rFonts w:ascii="Arial" w:hAnsi="Arial" w:cs="Arial"/>
          <w:sz w:val="20"/>
          <w:szCs w:val="20"/>
        </w:rPr>
        <w:t>. Señala el artículo 22.1 de la Ley de Enjuiciamiento Civil que “</w:t>
      </w:r>
      <w:r w:rsidRPr="00554476">
        <w:rPr>
          <w:rFonts w:ascii="Arial" w:eastAsia="Calibri" w:hAnsi="Arial" w:cs="Arial"/>
          <w:i/>
          <w:sz w:val="20"/>
          <w:szCs w:val="20"/>
        </w:rPr>
        <w:t xml:space="preserve">Cuando, por circunstancias sobrevenidas a la demanda y a la reconvención, dejare de haber interés legítimo en obtener la tutela judicial pretendida, porque se hayan satisfecho, fuera del proceso, las pretensiones del actor y, en su caso, del demandado </w:t>
      </w:r>
      <w:proofErr w:type="spellStart"/>
      <w:r w:rsidRPr="00554476">
        <w:rPr>
          <w:rFonts w:ascii="Arial" w:eastAsia="Calibri" w:hAnsi="Arial" w:cs="Arial"/>
          <w:i/>
          <w:sz w:val="20"/>
          <w:szCs w:val="20"/>
        </w:rPr>
        <w:t>reconviniente</w:t>
      </w:r>
      <w:proofErr w:type="spellEnd"/>
      <w:r w:rsidRPr="00554476">
        <w:rPr>
          <w:rFonts w:ascii="Arial" w:eastAsia="Calibri" w:hAnsi="Arial" w:cs="Arial"/>
          <w:i/>
          <w:sz w:val="20"/>
          <w:szCs w:val="20"/>
        </w:rPr>
        <w:t xml:space="preserve"> o por cualquier otra causa, se pondrá de manifiesto esta circunstancia y, si hubiere acuerdo de las partes, se decretará por el Secretario judicial la terminación del proceso, sin que proceda condena en costas.</w:t>
      </w:r>
    </w:p>
    <w:p w14:paraId="1F3E841D" w14:textId="77777777" w:rsidR="00E230CF" w:rsidRPr="00554476" w:rsidRDefault="00E230CF" w:rsidP="00554476">
      <w:pPr>
        <w:spacing w:after="0" w:line="360" w:lineRule="auto"/>
        <w:jc w:val="both"/>
        <w:rPr>
          <w:rFonts w:ascii="Arial" w:eastAsia="Calibri" w:hAnsi="Arial" w:cs="Arial"/>
          <w:sz w:val="20"/>
          <w:szCs w:val="20"/>
          <w:lang w:val="es-ES_tradnl"/>
        </w:rPr>
      </w:pPr>
    </w:p>
    <w:p w14:paraId="201FC0B8" w14:textId="22F43369" w:rsidR="00115790" w:rsidRPr="00554476" w:rsidRDefault="00E230CF"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efecto, si nos detenemos en </w:t>
      </w:r>
      <w:r w:rsidR="00115790" w:rsidRPr="00554476">
        <w:rPr>
          <w:rFonts w:ascii="Arial" w:eastAsia="Calibri" w:hAnsi="Arial" w:cs="Arial"/>
          <w:sz w:val="20"/>
          <w:szCs w:val="20"/>
          <w:lang w:val="es-ES_tradnl"/>
        </w:rPr>
        <w:t>el artículo 24 LCCI</w:t>
      </w:r>
      <w:r w:rsidRPr="00554476">
        <w:rPr>
          <w:rFonts w:ascii="Arial" w:eastAsia="Calibri" w:hAnsi="Arial" w:cs="Arial"/>
          <w:sz w:val="20"/>
          <w:szCs w:val="20"/>
          <w:lang w:val="es-ES_tradnl"/>
        </w:rPr>
        <w:t xml:space="preserve">, que </w:t>
      </w:r>
      <w:r w:rsidR="00115790" w:rsidRPr="00554476">
        <w:rPr>
          <w:rFonts w:ascii="Arial" w:eastAsia="Calibri" w:hAnsi="Arial" w:cs="Arial"/>
          <w:sz w:val="20"/>
          <w:szCs w:val="20"/>
          <w:lang w:val="es-ES_tradnl"/>
        </w:rPr>
        <w:t>viene a regular los motivos y las condiciones por las que el prestamista puede dar por vencido anticipadamente el contrato</w:t>
      </w:r>
      <w:r w:rsidRPr="00554476">
        <w:rPr>
          <w:rFonts w:ascii="Arial" w:eastAsia="Calibri" w:hAnsi="Arial" w:cs="Arial"/>
          <w:sz w:val="20"/>
          <w:szCs w:val="20"/>
          <w:lang w:val="es-ES_tradnl"/>
        </w:rPr>
        <w:t>, éste</w:t>
      </w:r>
      <w:r w:rsidR="001B404E" w:rsidRPr="00554476">
        <w:rPr>
          <w:rFonts w:ascii="Arial" w:eastAsia="Calibri" w:hAnsi="Arial" w:cs="Arial"/>
          <w:sz w:val="20"/>
          <w:szCs w:val="20"/>
          <w:lang w:val="es-ES_tradnl"/>
        </w:rPr>
        <w:t xml:space="preserve"> refiere</w:t>
      </w:r>
      <w:r w:rsidRPr="00554476">
        <w:rPr>
          <w:rFonts w:ascii="Arial" w:eastAsia="Calibri" w:hAnsi="Arial" w:cs="Arial"/>
          <w:sz w:val="20"/>
          <w:szCs w:val="20"/>
          <w:lang w:val="es-ES_tradnl"/>
        </w:rPr>
        <w:t>:</w:t>
      </w:r>
    </w:p>
    <w:p w14:paraId="16B0E21B" w14:textId="77777777" w:rsidR="00E230CF" w:rsidRPr="00554476" w:rsidRDefault="00E230CF" w:rsidP="00554476">
      <w:pPr>
        <w:spacing w:after="0" w:line="360" w:lineRule="auto"/>
        <w:jc w:val="both"/>
        <w:rPr>
          <w:rFonts w:ascii="Arial" w:eastAsia="Calibri" w:hAnsi="Arial" w:cs="Arial"/>
          <w:sz w:val="20"/>
          <w:szCs w:val="20"/>
          <w:lang w:val="es-ES_tradnl"/>
        </w:rPr>
      </w:pPr>
    </w:p>
    <w:p w14:paraId="7D31166D" w14:textId="1ADEE400"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Que el prestatario se encuentre en mora en el pago de una parte del capital del préstamo o de los intereses.</w:t>
      </w:r>
    </w:p>
    <w:p w14:paraId="73DDA4B2" w14:textId="77777777" w:rsidR="00E230CF" w:rsidRPr="00554476" w:rsidRDefault="00E230CF" w:rsidP="00554476">
      <w:pPr>
        <w:spacing w:after="0" w:line="360" w:lineRule="auto"/>
        <w:ind w:left="567"/>
        <w:jc w:val="both"/>
        <w:rPr>
          <w:rFonts w:ascii="Arial" w:eastAsia="Calibri" w:hAnsi="Arial" w:cs="Arial"/>
          <w:i/>
          <w:sz w:val="20"/>
          <w:szCs w:val="20"/>
        </w:rPr>
      </w:pPr>
    </w:p>
    <w:p w14:paraId="5F364DA7" w14:textId="1904328F"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Que la cuantía de las cuotas vencidas y no satisfechas equivalgan al menos:</w:t>
      </w:r>
    </w:p>
    <w:p w14:paraId="51144F05" w14:textId="77777777" w:rsidR="00E230CF" w:rsidRPr="00554476" w:rsidRDefault="00E230CF" w:rsidP="00554476">
      <w:pPr>
        <w:spacing w:after="0" w:line="360" w:lineRule="auto"/>
        <w:ind w:left="567"/>
        <w:jc w:val="both"/>
        <w:rPr>
          <w:rFonts w:ascii="Arial" w:eastAsia="Calibri" w:hAnsi="Arial" w:cs="Arial"/>
          <w:i/>
          <w:sz w:val="20"/>
          <w:szCs w:val="20"/>
        </w:rPr>
      </w:pPr>
    </w:p>
    <w:p w14:paraId="414DFBD3" w14:textId="2BA5E677" w:rsidR="00115790" w:rsidRPr="00554476" w:rsidRDefault="00115790" w:rsidP="001618DF">
      <w:pPr>
        <w:pStyle w:val="Prrafodelista"/>
        <w:numPr>
          <w:ilvl w:val="0"/>
          <w:numId w:val="14"/>
        </w:numPr>
        <w:spacing w:after="0" w:line="360" w:lineRule="auto"/>
        <w:jc w:val="both"/>
        <w:rPr>
          <w:rFonts w:ascii="Arial" w:eastAsia="Calibri" w:hAnsi="Arial" w:cs="Arial"/>
          <w:i/>
          <w:sz w:val="20"/>
          <w:szCs w:val="20"/>
        </w:rPr>
      </w:pPr>
      <w:r w:rsidRPr="00554476">
        <w:rPr>
          <w:rFonts w:ascii="Arial" w:eastAsia="Calibri" w:hAnsi="Arial" w:cs="Arial"/>
          <w:i/>
          <w:sz w:val="20"/>
          <w:szCs w:val="20"/>
        </w:rPr>
        <w:t>Al tres por ciento de la cuantía del capital concedido, si la mora se produjera dentro de la primera mitad de la duración del préstamo. Se considerará cumplido este requisito cuando las cuotas vencidas y no satisfechas equivalgan al impago de doce plazos mensuales o un número de cuotas tal que suponga que el deudor ha incumplido su obligación por un plazo al menos equivalente a doce meses.</w:t>
      </w:r>
    </w:p>
    <w:p w14:paraId="0EFA1936" w14:textId="77777777" w:rsidR="00E230CF" w:rsidRPr="00554476" w:rsidRDefault="00E230CF" w:rsidP="00554476">
      <w:pPr>
        <w:pStyle w:val="Prrafodelista"/>
        <w:spacing w:after="0" w:line="360" w:lineRule="auto"/>
        <w:ind w:left="1287"/>
        <w:jc w:val="both"/>
        <w:rPr>
          <w:rFonts w:ascii="Arial" w:eastAsia="Calibri" w:hAnsi="Arial" w:cs="Arial"/>
          <w:i/>
          <w:sz w:val="20"/>
          <w:szCs w:val="20"/>
        </w:rPr>
      </w:pPr>
    </w:p>
    <w:p w14:paraId="5C0F6407" w14:textId="77777777" w:rsidR="00E230CF" w:rsidRPr="00554476" w:rsidRDefault="00115790" w:rsidP="001618DF">
      <w:pPr>
        <w:pStyle w:val="Prrafodelista"/>
        <w:numPr>
          <w:ilvl w:val="0"/>
          <w:numId w:val="14"/>
        </w:numPr>
        <w:spacing w:after="0" w:line="360" w:lineRule="auto"/>
        <w:jc w:val="both"/>
        <w:rPr>
          <w:rFonts w:ascii="Arial" w:eastAsia="Calibri" w:hAnsi="Arial" w:cs="Arial"/>
          <w:i/>
          <w:sz w:val="20"/>
          <w:szCs w:val="20"/>
        </w:rPr>
      </w:pPr>
      <w:r w:rsidRPr="00554476">
        <w:rPr>
          <w:rFonts w:ascii="Arial" w:eastAsia="Calibri" w:hAnsi="Arial" w:cs="Arial"/>
          <w:i/>
          <w:sz w:val="20"/>
          <w:szCs w:val="20"/>
        </w:rPr>
        <w:t>Al siete por ciento de la cuantía del capital concedido, si la mora se produjera dentro de la segunda mitad de la duración del préstamo. Se considerará cumplido este requisito cuando las cuotas vencidas y no satisfechas equivalgan al impago de quince plazos mensuales o un número de cuotas tal que suponga que el deudor ha incumplido su obligación por un plazo al menos equivalente a quince meses.</w:t>
      </w:r>
    </w:p>
    <w:p w14:paraId="557D494B" w14:textId="77777777" w:rsidR="00E230CF" w:rsidRPr="00554476" w:rsidRDefault="00E230CF" w:rsidP="00554476">
      <w:pPr>
        <w:pStyle w:val="Prrafodelista"/>
        <w:spacing w:after="0" w:line="360" w:lineRule="auto"/>
        <w:rPr>
          <w:rFonts w:ascii="Arial" w:eastAsia="Calibri" w:hAnsi="Arial" w:cs="Arial"/>
          <w:i/>
          <w:sz w:val="20"/>
          <w:szCs w:val="20"/>
        </w:rPr>
      </w:pPr>
    </w:p>
    <w:p w14:paraId="3180BFDE" w14:textId="4F46914E" w:rsidR="00115790" w:rsidRPr="00554476" w:rsidRDefault="00115790" w:rsidP="001618DF">
      <w:pPr>
        <w:pStyle w:val="Prrafodelista"/>
        <w:numPr>
          <w:ilvl w:val="0"/>
          <w:numId w:val="14"/>
        </w:numPr>
        <w:spacing w:after="0" w:line="360" w:lineRule="auto"/>
        <w:jc w:val="both"/>
        <w:rPr>
          <w:rFonts w:ascii="Arial" w:eastAsia="Calibri" w:hAnsi="Arial" w:cs="Arial"/>
          <w:i/>
          <w:sz w:val="20"/>
          <w:szCs w:val="20"/>
        </w:rPr>
      </w:pPr>
      <w:r w:rsidRPr="00554476">
        <w:rPr>
          <w:rFonts w:ascii="Arial" w:eastAsia="Calibri" w:hAnsi="Arial" w:cs="Arial"/>
          <w:i/>
          <w:sz w:val="20"/>
          <w:szCs w:val="20"/>
        </w:rPr>
        <w:t>Que el prestamista haya requerido el pago al prestatario concediéndole un plazo de al menos un mes para su cumplimiento y advirtiéndole de que, de no ser atendido, reclamará el reembolso total adeudado del préstamo.</w:t>
      </w:r>
    </w:p>
    <w:p w14:paraId="334D8802"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40677ED5" w14:textId="01ADDC68"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Dichos requisitos y motivos </w:t>
      </w:r>
      <w:r w:rsidR="001B404E" w:rsidRPr="00554476">
        <w:rPr>
          <w:rFonts w:ascii="Arial" w:eastAsia="Calibri" w:hAnsi="Arial" w:cs="Arial"/>
          <w:b/>
          <w:bCs/>
          <w:sz w:val="20"/>
          <w:szCs w:val="20"/>
          <w:lang w:val="es-ES_tradnl"/>
        </w:rPr>
        <w:t>resultan</w:t>
      </w:r>
      <w:r w:rsidRPr="00554476">
        <w:rPr>
          <w:rFonts w:ascii="Arial" w:eastAsia="Calibri" w:hAnsi="Arial" w:cs="Arial"/>
          <w:b/>
          <w:bCs/>
          <w:sz w:val="20"/>
          <w:szCs w:val="20"/>
          <w:lang w:val="es-ES_tradnl"/>
        </w:rPr>
        <w:t xml:space="preserve"> de aplicación, con independencia del contenido y redacción del pacto en cuestión, </w:t>
      </w:r>
      <w:r w:rsidR="001B404E" w:rsidRPr="00554476">
        <w:rPr>
          <w:rFonts w:ascii="Arial" w:eastAsia="Calibri" w:hAnsi="Arial" w:cs="Arial"/>
          <w:b/>
          <w:bCs/>
          <w:sz w:val="20"/>
          <w:szCs w:val="20"/>
          <w:lang w:val="es-ES_tradnl"/>
        </w:rPr>
        <w:t>no únicamente</w:t>
      </w:r>
      <w:r w:rsidRPr="00554476">
        <w:rPr>
          <w:rFonts w:ascii="Arial" w:eastAsia="Calibri" w:hAnsi="Arial" w:cs="Arial"/>
          <w:b/>
          <w:bCs/>
          <w:sz w:val="20"/>
          <w:szCs w:val="20"/>
          <w:lang w:val="es-ES_tradnl"/>
        </w:rPr>
        <w:t xml:space="preserve"> para los contratos firmados a partir de su </w:t>
      </w:r>
      <w:r w:rsidRPr="00554476">
        <w:rPr>
          <w:rFonts w:ascii="Arial" w:eastAsia="Calibri" w:hAnsi="Arial" w:cs="Arial"/>
          <w:b/>
          <w:bCs/>
          <w:sz w:val="20"/>
          <w:szCs w:val="20"/>
          <w:lang w:val="es-ES_tradnl"/>
        </w:rPr>
        <w:lastRenderedPageBreak/>
        <w:t>entrada en vigor</w:t>
      </w:r>
      <w:r w:rsidRPr="00675D5B">
        <w:rPr>
          <w:rFonts w:ascii="Arial" w:eastAsia="Calibri" w:hAnsi="Arial" w:cs="Arial"/>
          <w:b/>
          <w:sz w:val="20"/>
          <w:szCs w:val="20"/>
          <w:lang w:val="es-ES_tradnl"/>
        </w:rPr>
        <w:t>, 16 de junio de 2019,</w:t>
      </w:r>
      <w:r w:rsidRPr="00554476">
        <w:rPr>
          <w:rFonts w:ascii="Arial" w:eastAsia="Calibri" w:hAnsi="Arial" w:cs="Arial"/>
          <w:sz w:val="20"/>
          <w:szCs w:val="20"/>
          <w:lang w:val="es-ES_tradnl"/>
        </w:rPr>
        <w:t xml:space="preserve"> </w:t>
      </w:r>
      <w:r w:rsidRPr="00554476">
        <w:rPr>
          <w:rFonts w:ascii="Arial" w:eastAsia="Calibri" w:hAnsi="Arial" w:cs="Arial"/>
          <w:b/>
          <w:bCs/>
          <w:sz w:val="20"/>
          <w:szCs w:val="20"/>
          <w:lang w:val="es-ES_tradnl"/>
        </w:rPr>
        <w:t>sino</w:t>
      </w:r>
      <w:r w:rsidR="001B404E" w:rsidRPr="00554476">
        <w:rPr>
          <w:rFonts w:ascii="Arial" w:eastAsia="Calibri" w:hAnsi="Arial" w:cs="Arial"/>
          <w:b/>
          <w:bCs/>
          <w:sz w:val="20"/>
          <w:szCs w:val="20"/>
          <w:lang w:val="es-ES_tradnl"/>
        </w:rPr>
        <w:t xml:space="preserve"> respecto a toda contratación</w:t>
      </w:r>
      <w:r w:rsidR="001B404E" w:rsidRPr="00554476">
        <w:rPr>
          <w:rFonts w:ascii="Arial" w:eastAsia="Calibri" w:hAnsi="Arial" w:cs="Arial"/>
          <w:sz w:val="20"/>
          <w:szCs w:val="20"/>
          <w:lang w:val="es-ES_tradnl"/>
        </w:rPr>
        <w:t xml:space="preserve">, </w:t>
      </w:r>
      <w:r w:rsidRPr="00554476">
        <w:rPr>
          <w:rFonts w:ascii="Arial" w:eastAsia="Calibri" w:hAnsi="Arial" w:cs="Arial"/>
          <w:sz w:val="20"/>
          <w:szCs w:val="20"/>
          <w:lang w:val="es-ES_tradnl"/>
        </w:rPr>
        <w:t xml:space="preserve">tal y como establece la </w:t>
      </w:r>
      <w:r w:rsidRPr="00554476">
        <w:rPr>
          <w:rFonts w:ascii="Arial" w:eastAsia="Calibri" w:hAnsi="Arial" w:cs="Arial"/>
          <w:sz w:val="20"/>
          <w:szCs w:val="20"/>
          <w:u w:val="single"/>
          <w:lang w:val="es-ES_tradnl"/>
        </w:rPr>
        <w:t>Disposición Transitoria Primera, apartado cuarto</w:t>
      </w:r>
      <w:r w:rsidRPr="00554476">
        <w:rPr>
          <w:rFonts w:ascii="Arial" w:eastAsia="Calibri" w:hAnsi="Arial" w:cs="Arial"/>
          <w:sz w:val="20"/>
          <w:szCs w:val="20"/>
          <w:lang w:val="es-ES_tradnl"/>
        </w:rPr>
        <w:t>:</w:t>
      </w:r>
    </w:p>
    <w:p w14:paraId="5D797D81"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18D0ACAF" w14:textId="5E88BA8D"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Disposición transitoria primera. Contratos preexistentes.</w:t>
      </w:r>
    </w:p>
    <w:p w14:paraId="3E69A125" w14:textId="77777777" w:rsidR="00E230CF" w:rsidRPr="00554476" w:rsidRDefault="00E230CF" w:rsidP="00554476">
      <w:pPr>
        <w:spacing w:after="0" w:line="360" w:lineRule="auto"/>
        <w:ind w:left="567"/>
        <w:jc w:val="both"/>
        <w:rPr>
          <w:rFonts w:ascii="Arial" w:eastAsia="Calibri" w:hAnsi="Arial" w:cs="Arial"/>
          <w:i/>
          <w:sz w:val="20"/>
          <w:szCs w:val="20"/>
        </w:rPr>
      </w:pPr>
    </w:p>
    <w:p w14:paraId="187D81DB"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4. </w:t>
      </w:r>
      <w:r w:rsidRPr="00554476">
        <w:rPr>
          <w:rFonts w:ascii="Arial" w:eastAsia="Calibri" w:hAnsi="Arial" w:cs="Arial"/>
          <w:b/>
          <w:bCs/>
          <w:i/>
          <w:sz w:val="20"/>
          <w:szCs w:val="20"/>
        </w:rPr>
        <w:t>Para los contratos anteriores a la entrada en vigor de esta Ley en los que se incluyan cláusulas de vencimiento anticipado, será de aplicación lo previsto en el artículo 24 de esta Ley, salvo que el deudor alegara que la previsión que contiene resulta más favorable para él</w:t>
      </w:r>
      <w:r w:rsidRPr="00554476">
        <w:rPr>
          <w:rFonts w:ascii="Arial" w:eastAsia="Calibri" w:hAnsi="Arial" w:cs="Arial"/>
          <w:i/>
          <w:sz w:val="20"/>
          <w:szCs w:val="20"/>
        </w:rPr>
        <w:t>. Sin embargo, no será de aplicación este artículo a los contratos cuyo vencimiento anticipado se hubiera producido con anterioridad a la entrada en vigor de esta Ley, se hubiese instado o no un procedimiento de ejecución hipotecaria para hacerlo efectivo, y estuviera este suspendido o no.</w:t>
      </w:r>
    </w:p>
    <w:p w14:paraId="21EB5E97"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5D988AE4"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Como es de ver, únicamente se prevén dos excepciones a la aplicación de la Ley:</w:t>
      </w:r>
    </w:p>
    <w:p w14:paraId="401523F8"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0611C474" w14:textId="77777777" w:rsidR="00115790" w:rsidRPr="00554476" w:rsidRDefault="00115790" w:rsidP="001618DF">
      <w:pPr>
        <w:numPr>
          <w:ilvl w:val="0"/>
          <w:numId w:val="12"/>
        </w:num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Que la cláusula del vencimiento anticipado pactada en la escritura sea más favorable para el deudor que la prevista en el artículo 24 LCI y éste así lo alegara. </w:t>
      </w:r>
    </w:p>
    <w:p w14:paraId="72AA4412" w14:textId="77777777" w:rsidR="00115790" w:rsidRPr="00554476" w:rsidRDefault="00115790" w:rsidP="00554476">
      <w:pPr>
        <w:spacing w:after="0" w:line="360" w:lineRule="auto"/>
        <w:ind w:left="720"/>
        <w:jc w:val="both"/>
        <w:rPr>
          <w:rFonts w:ascii="Arial" w:eastAsia="Calibri" w:hAnsi="Arial" w:cs="Arial"/>
          <w:sz w:val="20"/>
          <w:szCs w:val="20"/>
        </w:rPr>
      </w:pPr>
    </w:p>
    <w:p w14:paraId="09024DA5" w14:textId="77777777" w:rsidR="00115790" w:rsidRPr="00554476" w:rsidRDefault="00115790" w:rsidP="001618DF">
      <w:pPr>
        <w:numPr>
          <w:ilvl w:val="0"/>
          <w:numId w:val="12"/>
        </w:num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Que la entidad hubiese dado por vencido el contrato y comunicado de esa forma al deudor, con independencia o no el correspondiente procedimiento de ejecución hipotecaria (artículo 572 y 573 LEC), extremos </w:t>
      </w:r>
      <w:r w:rsidRPr="00554476">
        <w:rPr>
          <w:rFonts w:ascii="Arial" w:eastAsia="Calibri" w:hAnsi="Arial" w:cs="Arial"/>
          <w:b/>
          <w:bCs/>
          <w:sz w:val="20"/>
          <w:szCs w:val="20"/>
        </w:rPr>
        <w:t xml:space="preserve">que, en el caso concreto, no han ocurrido.  </w:t>
      </w:r>
    </w:p>
    <w:p w14:paraId="38696405" w14:textId="77777777" w:rsidR="00115790" w:rsidRPr="00554476" w:rsidRDefault="00115790" w:rsidP="00554476">
      <w:pPr>
        <w:spacing w:after="0" w:line="360" w:lineRule="auto"/>
        <w:jc w:val="both"/>
        <w:rPr>
          <w:rFonts w:ascii="Arial" w:eastAsia="Calibri" w:hAnsi="Arial" w:cs="Arial"/>
          <w:sz w:val="20"/>
          <w:szCs w:val="20"/>
        </w:rPr>
      </w:pPr>
    </w:p>
    <w:p w14:paraId="3E2EECAF" w14:textId="05ED45F8"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Así las cosas, la nulidad pretendida de contrario ya no requiere de un pronunciamiento judicial al respecto, ya que la misma ha sido sustituida </w:t>
      </w:r>
      <w:r w:rsidRPr="00554476">
        <w:rPr>
          <w:rFonts w:ascii="Arial" w:eastAsia="Calibri" w:hAnsi="Arial" w:cs="Arial"/>
          <w:i/>
          <w:iCs/>
          <w:sz w:val="20"/>
          <w:szCs w:val="20"/>
          <w:lang w:val="es-ES_tradnl"/>
        </w:rPr>
        <w:t>ex lege</w:t>
      </w:r>
      <w:r w:rsidRPr="00554476">
        <w:rPr>
          <w:rFonts w:ascii="Arial" w:eastAsia="Calibri" w:hAnsi="Arial" w:cs="Arial"/>
          <w:sz w:val="20"/>
          <w:szCs w:val="20"/>
          <w:lang w:val="es-ES_tradnl"/>
        </w:rPr>
        <w:t xml:space="preserve"> por la Ley 5/2019, de 15 de marzo, reguladora de los contratos de crédito inmobiliario.</w:t>
      </w:r>
    </w:p>
    <w:p w14:paraId="7AA1F9CF" w14:textId="77777777" w:rsidR="001B404E" w:rsidRPr="00554476" w:rsidRDefault="001B404E" w:rsidP="00554476">
      <w:pPr>
        <w:spacing w:after="0" w:line="360" w:lineRule="auto"/>
        <w:jc w:val="both"/>
        <w:rPr>
          <w:rFonts w:ascii="Arial" w:eastAsia="Calibri" w:hAnsi="Arial" w:cs="Arial"/>
          <w:sz w:val="20"/>
          <w:szCs w:val="20"/>
          <w:lang w:val="es-ES_tradnl"/>
        </w:rPr>
      </w:pPr>
    </w:p>
    <w:p w14:paraId="293AB963"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Y es que, si bien es conocido por todos que, hasta la fecha, han sido miles las sentencias en las que se ha declarado la nulidad de esta cláusula, expulsándola sin más del contrato, nuestra actual jurisprudencia se ha hecho eco de esta nueva normativa, compartiendo las conclusiones expuestas por esta parte.</w:t>
      </w:r>
    </w:p>
    <w:p w14:paraId="4CE6CD33"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4D5B0D3F"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Buen ejemplo de lo anterior lo encontramos en la </w:t>
      </w:r>
      <w:r w:rsidRPr="00554476">
        <w:rPr>
          <w:rFonts w:ascii="Arial" w:eastAsia="Calibri" w:hAnsi="Arial" w:cs="Arial"/>
          <w:b/>
          <w:sz w:val="20"/>
          <w:szCs w:val="20"/>
          <w:u w:val="single"/>
          <w:lang w:val="es-ES_tradnl"/>
        </w:rPr>
        <w:t>Sentencia núm. 306/2019 de la</w:t>
      </w:r>
      <w:r w:rsidRPr="00554476">
        <w:rPr>
          <w:rFonts w:ascii="Arial" w:eastAsia="Calibri" w:hAnsi="Arial" w:cs="Arial"/>
          <w:sz w:val="20"/>
          <w:szCs w:val="20"/>
          <w:u w:val="single"/>
          <w:lang w:val="es-ES_tradnl"/>
        </w:rPr>
        <w:t xml:space="preserve"> </w:t>
      </w:r>
      <w:r w:rsidRPr="00554476">
        <w:rPr>
          <w:rFonts w:ascii="Arial" w:eastAsia="Calibri" w:hAnsi="Arial" w:cs="Arial"/>
          <w:b/>
          <w:sz w:val="20"/>
          <w:szCs w:val="20"/>
          <w:u w:val="single"/>
          <w:lang w:val="es-ES_tradnl"/>
        </w:rPr>
        <w:t>Audiencia Provincial de Burgos</w:t>
      </w:r>
      <w:r w:rsidRPr="00554476">
        <w:rPr>
          <w:rFonts w:ascii="Arial" w:eastAsia="Calibri" w:hAnsi="Arial" w:cs="Arial"/>
          <w:sz w:val="20"/>
          <w:szCs w:val="20"/>
          <w:u w:val="single"/>
          <w:lang w:val="es-ES_tradnl"/>
        </w:rPr>
        <w:t xml:space="preserve">, </w:t>
      </w:r>
      <w:r w:rsidRPr="00554476">
        <w:rPr>
          <w:rFonts w:ascii="Arial" w:eastAsia="Calibri" w:hAnsi="Arial" w:cs="Arial"/>
          <w:b/>
          <w:sz w:val="20"/>
          <w:szCs w:val="20"/>
          <w:u w:val="single"/>
          <w:lang w:val="es-ES_tradnl"/>
        </w:rPr>
        <w:t>Sección Tercera</w:t>
      </w:r>
      <w:r w:rsidRPr="00554476">
        <w:rPr>
          <w:rFonts w:ascii="Arial" w:eastAsia="Calibri" w:hAnsi="Arial" w:cs="Arial"/>
          <w:sz w:val="20"/>
          <w:szCs w:val="20"/>
          <w:lang w:val="es-ES_tradnl"/>
        </w:rPr>
        <w:t>, que consideró que la nulidad del vencimiento anticipado pretendida por la actora “</w:t>
      </w:r>
      <w:r w:rsidRPr="00554476">
        <w:rPr>
          <w:rFonts w:ascii="Arial" w:eastAsia="Calibri" w:hAnsi="Arial" w:cs="Arial"/>
          <w:b/>
          <w:sz w:val="20"/>
          <w:szCs w:val="20"/>
          <w:lang w:val="es-ES_tradnl"/>
        </w:rPr>
        <w:t xml:space="preserve">no tenía relevancia práctica” </w:t>
      </w:r>
      <w:r w:rsidRPr="00554476">
        <w:rPr>
          <w:rFonts w:ascii="Arial" w:eastAsia="Calibri" w:hAnsi="Arial" w:cs="Arial"/>
          <w:sz w:val="20"/>
          <w:szCs w:val="20"/>
          <w:lang w:val="es-ES_tradnl"/>
        </w:rPr>
        <w:t>puesto que como el contrato no se había resuelto, continuando vigente, para el caso de que la entidad bancaria tuviera que hacer uso de la cláusula, tendría que respetar forzosamente el artículo 24 LCCI:</w:t>
      </w:r>
    </w:p>
    <w:p w14:paraId="3917FD0F"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6853F3C0"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“Segundo. – Centrado el recurso en el pronunciamiento sobre la imposición de costas en primera instancia, hemos de comenzar diciendo que en la demanda rectora se ejercitan </w:t>
      </w:r>
      <w:r w:rsidRPr="00554476">
        <w:rPr>
          <w:rFonts w:ascii="Arial" w:eastAsia="Calibri" w:hAnsi="Arial" w:cs="Arial"/>
          <w:i/>
          <w:sz w:val="20"/>
          <w:szCs w:val="20"/>
        </w:rPr>
        <w:lastRenderedPageBreak/>
        <w:t>dos pretensiones de anulación de cláusulas abusivas. La primera es la de vencimiento anticipado, y respecto de la misma hemos de decir que al margen de ser discutible su anulación – no hay jurisprudencia unánime al respecto, si bien el banco demandado no ha recurrido la anulación-, tal anulación no tiene relevancia práctica, dado que el contrato no se ha resuelto por impago de las cuotas, y continúa vigente, y en caso de que se resuelva en lo sucesivo será de aplicación el art. 24 de la nueva Ley de Créditos Inmobiliarios en relación con la disposición transitoria primera de la misma”.</w:t>
      </w:r>
    </w:p>
    <w:p w14:paraId="77BAFBA4" w14:textId="77777777" w:rsidR="00115790" w:rsidRPr="00554476" w:rsidRDefault="00115790" w:rsidP="00554476">
      <w:pPr>
        <w:spacing w:after="0" w:line="360" w:lineRule="auto"/>
        <w:ind w:left="567"/>
        <w:jc w:val="both"/>
        <w:rPr>
          <w:rFonts w:ascii="Arial" w:eastAsia="Calibri" w:hAnsi="Arial" w:cs="Arial"/>
          <w:i/>
          <w:sz w:val="20"/>
          <w:szCs w:val="20"/>
        </w:rPr>
      </w:pPr>
    </w:p>
    <w:p w14:paraId="5B54BC2F" w14:textId="77777777" w:rsidR="00115790" w:rsidRPr="00554476" w:rsidRDefault="00115790" w:rsidP="00554476">
      <w:pPr>
        <w:spacing w:after="0" w:line="360" w:lineRule="auto"/>
        <w:jc w:val="both"/>
        <w:rPr>
          <w:rFonts w:ascii="Arial" w:eastAsia="Calibri" w:hAnsi="Arial" w:cs="Arial"/>
          <w:b/>
          <w:sz w:val="20"/>
          <w:szCs w:val="20"/>
          <w:lang w:val="es-ES_tradnl"/>
        </w:rPr>
      </w:pPr>
      <w:r w:rsidRPr="00554476">
        <w:rPr>
          <w:rFonts w:ascii="Arial" w:eastAsia="Calibri" w:hAnsi="Arial" w:cs="Arial"/>
          <w:sz w:val="20"/>
          <w:szCs w:val="20"/>
          <w:lang w:val="es-ES_tradnl"/>
        </w:rPr>
        <w:t xml:space="preserve">En el mismo sentido se pronuncia el Juzgado de Primera Instancia nº 12 bis de Zaragoza en su </w:t>
      </w:r>
      <w:r w:rsidRPr="00554476">
        <w:rPr>
          <w:rFonts w:ascii="Arial" w:eastAsia="Calibri" w:hAnsi="Arial" w:cs="Arial"/>
          <w:b/>
          <w:sz w:val="20"/>
          <w:szCs w:val="20"/>
          <w:u w:val="single"/>
          <w:lang w:val="es-ES_tradnl"/>
        </w:rPr>
        <w:t>S</w:t>
      </w:r>
      <w:r w:rsidRPr="00554476">
        <w:rPr>
          <w:rFonts w:ascii="Arial" w:eastAsia="Calibri" w:hAnsi="Arial" w:cs="Arial"/>
          <w:b/>
          <w:bCs/>
          <w:sz w:val="20"/>
          <w:szCs w:val="20"/>
          <w:u w:val="single"/>
          <w:lang w:val="es-ES_tradnl"/>
        </w:rPr>
        <w:t xml:space="preserve">entencia </w:t>
      </w:r>
      <w:r w:rsidRPr="00554476">
        <w:rPr>
          <w:rFonts w:ascii="Arial" w:eastAsia="Calibri" w:hAnsi="Arial" w:cs="Arial"/>
          <w:b/>
          <w:sz w:val="20"/>
          <w:szCs w:val="20"/>
          <w:u w:val="single"/>
          <w:lang w:val="es-ES_tradnl"/>
        </w:rPr>
        <w:t>Nº 001283/2019, de fecha 18 de julio de 2019, FD 2º</w:t>
      </w:r>
      <w:r w:rsidRPr="00554476">
        <w:rPr>
          <w:rFonts w:ascii="Arial" w:eastAsia="Calibri" w:hAnsi="Arial" w:cs="Arial"/>
          <w:b/>
          <w:sz w:val="20"/>
          <w:szCs w:val="20"/>
          <w:lang w:val="es-ES_tradnl"/>
        </w:rPr>
        <w:t>:</w:t>
      </w:r>
    </w:p>
    <w:p w14:paraId="5CC44FC8"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72359D65"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 Segundo.- La Ley 5/2019, de 15 de marzo, reguladora de los contratos de crédito inmobiliario, se refiere al vencimiento anticipado en su artículo 24. En principio, la regulación de esta ley se refiere a los contratos suscritos con posterioridad a su entrada en vigor (D. Trans. 1ª.1). Sin embargo, en relación con el vencimiento anticipado, la D. Trans. 1ª.4 establece: “Para los contratos anteriores a la entrada en vigor de esta Ley en los que se incluyan cláusulas de vencimiento anticipado, será de aplicación lo previsto en el artículo 24 de esta Ley, salvo que el deudor alegara que la previsión que contiene resulta más favorable para él”. Es decir, una vez en vigor esta ley, todos aquellos contratos firmados con anterioridad y que contengan cláusulas de vencimiento anticipado pasarán a regirse, en esta materia, por lo dispuesto en el artículo 24 de la Ley, salvo que la cláusula fuese más beneficiosa para el prestatario. […] Parece clara, por lo tanto, la voluntad del legislador de establecer un régimen legal único para el vencimiento anticipado, incluso de los contratos suscritos con anterioridad, de modo que el régimen establecido queda sustituido por el fijado legalmente. Por ello </w:t>
      </w:r>
      <w:r w:rsidRPr="00554476">
        <w:rPr>
          <w:rFonts w:ascii="Arial" w:eastAsia="Calibri" w:hAnsi="Arial" w:cs="Arial"/>
          <w:i/>
          <w:sz w:val="20"/>
          <w:szCs w:val="20"/>
          <w:u w:val="single"/>
        </w:rPr>
        <w:t xml:space="preserve">desaparece el objeto de la demanda, ya que la cláusula impugnada nunca ha sido aplicada, y ha dejado de ser aplicable desde el momento de entrada en vigor de la Ley 5/2019. Entender que procede examinar la posible </w:t>
      </w:r>
      <w:proofErr w:type="spellStart"/>
      <w:r w:rsidRPr="00554476">
        <w:rPr>
          <w:rFonts w:ascii="Arial" w:eastAsia="Calibri" w:hAnsi="Arial" w:cs="Arial"/>
          <w:i/>
          <w:sz w:val="20"/>
          <w:szCs w:val="20"/>
          <w:u w:val="single"/>
        </w:rPr>
        <w:t>abusividad</w:t>
      </w:r>
      <w:proofErr w:type="spellEnd"/>
      <w:r w:rsidRPr="00554476">
        <w:rPr>
          <w:rFonts w:ascii="Arial" w:eastAsia="Calibri" w:hAnsi="Arial" w:cs="Arial"/>
          <w:i/>
          <w:sz w:val="20"/>
          <w:szCs w:val="20"/>
          <w:u w:val="single"/>
        </w:rPr>
        <w:t xml:space="preserve"> y nulidad de la cláusula</w:t>
      </w:r>
      <w:r w:rsidRPr="00554476">
        <w:rPr>
          <w:rFonts w:ascii="Arial" w:eastAsia="Calibri" w:hAnsi="Arial" w:cs="Arial"/>
          <w:i/>
          <w:sz w:val="20"/>
          <w:szCs w:val="20"/>
        </w:rPr>
        <w:t xml:space="preserve"> (puesto que, entonces, la cláusula se expulsaría del contrato y, por lo tanto, no sería de aplicación lo dispuesto en la D. Trans. 1ª.4 ni, en consecuencia, el artículo 24) </w:t>
      </w:r>
      <w:r w:rsidRPr="00554476">
        <w:rPr>
          <w:rFonts w:ascii="Arial" w:eastAsia="Calibri" w:hAnsi="Arial" w:cs="Arial"/>
          <w:i/>
          <w:sz w:val="20"/>
          <w:szCs w:val="20"/>
          <w:u w:val="single"/>
        </w:rPr>
        <w:t>supondría vaciar de contenido lo dispuesto en el apartado 4 de la disposición transitoria primera de la Ley</w:t>
      </w:r>
      <w:r w:rsidRPr="00554476">
        <w:rPr>
          <w:rFonts w:ascii="Arial" w:eastAsia="Calibri" w:hAnsi="Arial" w:cs="Arial"/>
          <w:i/>
          <w:sz w:val="20"/>
          <w:szCs w:val="20"/>
        </w:rPr>
        <w:t xml:space="preserve">. Y se frustraría la finalidad del legislador, que es la de establecer un régimen único para el vencimiento anticipado, incluso para los contratos celebrados con anterioridad a la entrada en vigor de la Ley. […] En definitiva, tras la entrada en vigor de la Ley 5/2019, las cláusulas de vencimiento anticipado existentes en este tipo de contratos han quedado sustituidas por el régimen legal establecido en el artículo 24 de la mencionada ley, por lo que carece de sentido examinar su posible </w:t>
      </w:r>
      <w:proofErr w:type="spellStart"/>
      <w:r w:rsidRPr="00554476">
        <w:rPr>
          <w:rFonts w:ascii="Arial" w:eastAsia="Calibri" w:hAnsi="Arial" w:cs="Arial"/>
          <w:i/>
          <w:sz w:val="20"/>
          <w:szCs w:val="20"/>
        </w:rPr>
        <w:t>abusividad</w:t>
      </w:r>
      <w:proofErr w:type="spellEnd"/>
      <w:r w:rsidRPr="00554476">
        <w:rPr>
          <w:rFonts w:ascii="Arial" w:eastAsia="Calibri" w:hAnsi="Arial" w:cs="Arial"/>
          <w:i/>
          <w:sz w:val="20"/>
          <w:szCs w:val="20"/>
        </w:rPr>
        <w:t xml:space="preserve"> y consecuente nulidad. </w:t>
      </w:r>
    </w:p>
    <w:p w14:paraId="0DE4218F" w14:textId="77777777" w:rsidR="00115790" w:rsidRPr="00554476" w:rsidRDefault="00115790" w:rsidP="00554476">
      <w:pPr>
        <w:spacing w:after="0" w:line="360" w:lineRule="auto"/>
        <w:ind w:left="567"/>
        <w:jc w:val="both"/>
        <w:rPr>
          <w:rFonts w:ascii="Arial" w:eastAsia="Calibri" w:hAnsi="Arial" w:cs="Arial"/>
          <w:i/>
          <w:sz w:val="20"/>
          <w:szCs w:val="20"/>
          <w:u w:val="single"/>
        </w:rPr>
      </w:pPr>
      <w:r w:rsidRPr="00554476">
        <w:rPr>
          <w:rFonts w:ascii="Arial" w:eastAsia="Calibri" w:hAnsi="Arial" w:cs="Arial"/>
          <w:i/>
          <w:sz w:val="20"/>
          <w:szCs w:val="20"/>
        </w:rPr>
        <w:t xml:space="preserve">Por todo lo expuesto, </w:t>
      </w:r>
      <w:r w:rsidRPr="00554476">
        <w:rPr>
          <w:rFonts w:ascii="Arial" w:eastAsia="Calibri" w:hAnsi="Arial" w:cs="Arial"/>
          <w:i/>
          <w:sz w:val="20"/>
          <w:szCs w:val="20"/>
          <w:u w:val="single"/>
        </w:rPr>
        <w:t>de conformidad con lo establecido en el artículo 22 de la LEC, se aprecia la carencia sobrevenida del objeto, en relación con la petición de declaración de nulidad de la cláusula de vencimiento anticipado. […]”.</w:t>
      </w:r>
    </w:p>
    <w:p w14:paraId="03E813CA" w14:textId="77777777" w:rsidR="00115790" w:rsidRPr="00554476" w:rsidRDefault="00115790" w:rsidP="00554476">
      <w:pPr>
        <w:spacing w:after="0" w:line="360" w:lineRule="auto"/>
        <w:ind w:left="567"/>
        <w:jc w:val="both"/>
        <w:rPr>
          <w:rFonts w:ascii="Arial" w:eastAsia="Calibri" w:hAnsi="Arial" w:cs="Arial"/>
          <w:i/>
          <w:sz w:val="20"/>
          <w:szCs w:val="20"/>
        </w:rPr>
      </w:pPr>
    </w:p>
    <w:p w14:paraId="794BDFA1" w14:textId="77777777" w:rsidR="00115790" w:rsidRPr="00554476" w:rsidRDefault="00115790" w:rsidP="00554476">
      <w:pPr>
        <w:spacing w:after="0" w:line="360" w:lineRule="auto"/>
        <w:jc w:val="both"/>
        <w:rPr>
          <w:rFonts w:ascii="Arial" w:eastAsia="Calibri" w:hAnsi="Arial" w:cs="Arial"/>
          <w:b/>
          <w:bCs/>
          <w:sz w:val="20"/>
          <w:szCs w:val="20"/>
          <w:lang w:val="es-ES_tradnl"/>
        </w:rPr>
      </w:pPr>
      <w:r w:rsidRPr="00554476">
        <w:rPr>
          <w:rFonts w:ascii="Arial" w:eastAsia="Calibri" w:hAnsi="Arial" w:cs="Arial"/>
          <w:sz w:val="20"/>
          <w:szCs w:val="20"/>
          <w:lang w:val="es-ES_tradnl"/>
        </w:rPr>
        <w:t xml:space="preserve">Del mismo modo, en su </w:t>
      </w:r>
      <w:r w:rsidRPr="00554476">
        <w:rPr>
          <w:rFonts w:ascii="Arial" w:eastAsia="Calibri" w:hAnsi="Arial" w:cs="Arial"/>
          <w:b/>
          <w:bCs/>
          <w:sz w:val="20"/>
          <w:szCs w:val="20"/>
          <w:u w:val="single"/>
          <w:lang w:val="es-ES_tradnl"/>
        </w:rPr>
        <w:t>Sentencia Nº 001256/2019, de fecha 15 de julio de 2019, FD 7º</w:t>
      </w:r>
      <w:r w:rsidRPr="00554476">
        <w:rPr>
          <w:rFonts w:ascii="Arial" w:eastAsia="Calibri" w:hAnsi="Arial" w:cs="Arial"/>
          <w:b/>
          <w:bCs/>
          <w:sz w:val="20"/>
          <w:szCs w:val="20"/>
          <w:lang w:val="es-ES_tradnl"/>
        </w:rPr>
        <w:t>:</w:t>
      </w:r>
    </w:p>
    <w:p w14:paraId="6ECF2CFB"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1CFD7F03" w14:textId="77777777" w:rsidR="00115790" w:rsidRPr="00554476" w:rsidRDefault="00115790" w:rsidP="00554476">
      <w:pPr>
        <w:spacing w:after="0" w:line="360" w:lineRule="auto"/>
        <w:ind w:left="567"/>
        <w:jc w:val="both"/>
        <w:rPr>
          <w:rFonts w:ascii="Arial" w:eastAsia="Calibri" w:hAnsi="Arial" w:cs="Arial"/>
          <w:i/>
          <w:sz w:val="20"/>
          <w:szCs w:val="20"/>
          <w:u w:val="single"/>
        </w:rPr>
      </w:pPr>
      <w:r w:rsidRPr="00554476">
        <w:rPr>
          <w:rFonts w:ascii="Arial" w:eastAsia="Calibri" w:hAnsi="Arial" w:cs="Arial"/>
          <w:i/>
          <w:sz w:val="20"/>
          <w:szCs w:val="20"/>
        </w:rPr>
        <w:t xml:space="preserve">“[…] La Ley 5/2019, de 15 de marzo, reguladora de los contratos de crédito inmobiliario, en su Disposición Transitoria Primera establece: “Para los contratos anteriores a la entrada en vigor de esta Ley en los que se incluyan cláusulas de vencimiento anticipado, </w:t>
      </w:r>
      <w:r w:rsidRPr="00554476">
        <w:rPr>
          <w:rFonts w:ascii="Arial" w:eastAsia="Calibri" w:hAnsi="Arial" w:cs="Arial"/>
          <w:i/>
          <w:sz w:val="20"/>
          <w:szCs w:val="20"/>
          <w:u w:val="single"/>
        </w:rPr>
        <w:t>será de aplicación lo previsto en el artículo 24 de esta Ley</w:t>
      </w:r>
      <w:r w:rsidRPr="00554476">
        <w:rPr>
          <w:rFonts w:ascii="Arial" w:eastAsia="Calibri" w:hAnsi="Arial" w:cs="Arial"/>
          <w:i/>
          <w:sz w:val="20"/>
          <w:szCs w:val="20"/>
        </w:rPr>
        <w:t xml:space="preserve">, salvo que el deudor alegara que la previsión que contiene resulta más favorable para él. Sin embargo, no será de aplicación este artículo a los contratos cuyo vencimiento anticipado se hubiera producido con anterioridad a la entrada en vigor de esta Ley, se hubiese instado o no un procedimiento de ejecución hipotecaria para hacerlo efectivo, y estuviera este suspendido o no”. El art.24 establece los casos en los que se producirá el vencimiento anticipado de los contratos de préstamo hipotecario en los que el prestatario, fiador o garante sea una persona física y que estén garantizados mediante hipoteca o por otra garantía real sobre bienes inmuebles de uso residencial o cuya finalidad sea adquirir o conservar derechos de propiedad sobre terrenos o inmuebles construidos o por construir para uso residencial. </w:t>
      </w:r>
      <w:r w:rsidRPr="00554476">
        <w:rPr>
          <w:rFonts w:ascii="Arial" w:eastAsia="Calibri" w:hAnsi="Arial" w:cs="Arial"/>
          <w:i/>
          <w:sz w:val="20"/>
          <w:szCs w:val="20"/>
          <w:u w:val="single"/>
        </w:rPr>
        <w:t>Y lo hace de forma menos perjudicial para el prestatario que en el caso de la cláusula cuya nulidad se pide. Estableciéndose ex lege, tras la presentación de la demanda, una regulación de la resolución anticipada del contrato plenamente aplicable al caso de autos, nos encontramos ante una situación de carencia sobrevenida del objeto en relación con esta cuestión, que impide que se pueda dictar un pronunciamiento sobre el fondo del asunto, en aplicación del art.22 de la LEC. […]”.</w:t>
      </w:r>
    </w:p>
    <w:p w14:paraId="43FE6A3C" w14:textId="77777777" w:rsidR="00115790" w:rsidRPr="00554476" w:rsidRDefault="00115790" w:rsidP="00554476">
      <w:pPr>
        <w:spacing w:after="0" w:line="360" w:lineRule="auto"/>
        <w:ind w:left="567"/>
        <w:jc w:val="both"/>
        <w:rPr>
          <w:rFonts w:ascii="Arial" w:eastAsia="Calibri" w:hAnsi="Arial" w:cs="Arial"/>
          <w:i/>
          <w:sz w:val="20"/>
          <w:szCs w:val="20"/>
          <w:u w:val="single"/>
        </w:rPr>
      </w:pPr>
    </w:p>
    <w:p w14:paraId="123E58F7" w14:textId="77777777" w:rsidR="00115790" w:rsidRPr="00554476" w:rsidRDefault="00115790" w:rsidP="00554476">
      <w:pPr>
        <w:spacing w:after="0" w:line="360" w:lineRule="auto"/>
        <w:jc w:val="both"/>
        <w:rPr>
          <w:rFonts w:ascii="Arial" w:eastAsia="Calibri" w:hAnsi="Arial" w:cs="Arial"/>
          <w:iCs/>
          <w:sz w:val="20"/>
          <w:szCs w:val="20"/>
          <w:lang w:val="es-ES_tradnl"/>
        </w:rPr>
      </w:pPr>
      <w:r w:rsidRPr="00554476">
        <w:rPr>
          <w:rFonts w:ascii="Arial" w:eastAsia="Calibri" w:hAnsi="Arial" w:cs="Arial"/>
          <w:iCs/>
          <w:sz w:val="20"/>
          <w:szCs w:val="20"/>
          <w:lang w:val="es-ES_tradnl"/>
        </w:rPr>
        <w:t xml:space="preserve">Igualmente, la </w:t>
      </w:r>
      <w:r w:rsidRPr="00554476">
        <w:rPr>
          <w:rFonts w:ascii="Arial" w:eastAsia="Calibri" w:hAnsi="Arial" w:cs="Arial"/>
          <w:b/>
          <w:bCs/>
          <w:sz w:val="20"/>
          <w:szCs w:val="20"/>
          <w:u w:val="single"/>
          <w:lang w:val="es-ES_tradnl"/>
        </w:rPr>
        <w:t xml:space="preserve">Sentencia </w:t>
      </w:r>
      <w:r w:rsidRPr="00554476">
        <w:rPr>
          <w:rFonts w:ascii="Arial" w:eastAsia="Calibri" w:hAnsi="Arial" w:cs="Arial"/>
          <w:b/>
          <w:iCs/>
          <w:sz w:val="20"/>
          <w:szCs w:val="20"/>
          <w:u w:val="single"/>
          <w:lang w:val="es-ES_tradnl"/>
        </w:rPr>
        <w:t>nº 1137/2019 de fecha 16 de septiembre de 2019, del Juzgado de Primera Instancia nº 4 de Valladolid, FD 6º</w:t>
      </w:r>
      <w:r w:rsidRPr="00554476">
        <w:rPr>
          <w:rFonts w:ascii="Arial" w:eastAsia="Calibri" w:hAnsi="Arial" w:cs="Arial"/>
          <w:iCs/>
          <w:sz w:val="20"/>
          <w:szCs w:val="20"/>
          <w:lang w:val="es-ES_tradnl"/>
        </w:rPr>
        <w:t xml:space="preserve">: </w:t>
      </w:r>
    </w:p>
    <w:p w14:paraId="7CE7B50C" w14:textId="77777777" w:rsidR="00115790" w:rsidRPr="00554476" w:rsidRDefault="00115790" w:rsidP="00554476">
      <w:pPr>
        <w:spacing w:after="0" w:line="360" w:lineRule="auto"/>
        <w:jc w:val="both"/>
        <w:rPr>
          <w:rFonts w:ascii="Arial" w:eastAsia="Calibri" w:hAnsi="Arial" w:cs="Arial"/>
          <w:iCs/>
          <w:sz w:val="20"/>
          <w:szCs w:val="20"/>
          <w:lang w:val="es-ES_tradnl"/>
        </w:rPr>
      </w:pPr>
    </w:p>
    <w:p w14:paraId="60198BD6"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“El artículo 24 será de aplicación para los contratos anteriores a la entrada en vigor de esta Ley en los que se incluyan cláusulas de vencimiento anticipado, salvo que el deudor alegara que la previsión que contiene resulta más favorable para él. Sin embargo, </w:t>
      </w:r>
      <w:r w:rsidRPr="00554476">
        <w:rPr>
          <w:rFonts w:ascii="Arial" w:eastAsia="Calibri" w:hAnsi="Arial" w:cs="Arial"/>
          <w:i/>
          <w:sz w:val="20"/>
          <w:szCs w:val="20"/>
          <w:u w:val="single"/>
        </w:rPr>
        <w:t>no será de aplicación a los contratos cuyo vencimiento anticipado se hubiera producido con anterioridad a la entrada en vigor, se hubiese instado o no un procedimiento de ejecución hipotecaria para hacerlo efectivo</w:t>
      </w:r>
      <w:r w:rsidRPr="00554476">
        <w:rPr>
          <w:rFonts w:ascii="Arial" w:eastAsia="Calibri" w:hAnsi="Arial" w:cs="Arial"/>
          <w:i/>
          <w:sz w:val="20"/>
          <w:szCs w:val="20"/>
        </w:rPr>
        <w:t xml:space="preserve">, y estuviera este suspendido o no, conforme establece el número 4 de la disposición transitoria primera de la presente Ley, según el cual; Para los contratos anteriores a la entrada en vigor de esta Ley en los que se incluyan cláusulas de vencimiento anticipado, será de aplicación lo previsto en el artículo 24 de esta Ley, salvo que el deudor alegara que la previsión que contiene resulta más favorable para él. Sin embargo, no será de aplicación este artículo a los contratos cuyo vencimiento anticipado se hubiera producido con anterioridad a la entrada en vigor de esta Ley, se hubiese instado o no un procedimiento de ejecución hipotecaria para hacerlo efectivo, y estuviera este suspendido o no. En el presente caso, nos encontramos ante la cláusula de vencimiento </w:t>
      </w:r>
      <w:r w:rsidRPr="00554476">
        <w:rPr>
          <w:rFonts w:ascii="Arial" w:eastAsia="Calibri" w:hAnsi="Arial" w:cs="Arial"/>
          <w:i/>
          <w:sz w:val="20"/>
          <w:szCs w:val="20"/>
        </w:rPr>
        <w:lastRenderedPageBreak/>
        <w:t>anticipado dentro de un contrato de préstamo hipotecario de fecha 7 de septiembre de 2001, impugnada por el deudor, por lo que evidentemente no la considera más beneficiosa que lo señalado en la indicada ley y finalmente no se ha producido el vencimiento anticipado con anterioridad a la entrada en vigor de la ley, ni se ha instado un procedimiento de ejecución hipotecaria para hacerlo efectivo, por lo que resulta plenamente aplicable el artículo 24 de le ley señalada.</w:t>
      </w:r>
    </w:p>
    <w:p w14:paraId="4F1681F5" w14:textId="77777777" w:rsidR="00115790" w:rsidRPr="00554476" w:rsidRDefault="00115790" w:rsidP="00554476">
      <w:pPr>
        <w:spacing w:after="0" w:line="360" w:lineRule="auto"/>
        <w:ind w:left="567"/>
        <w:jc w:val="both"/>
        <w:rPr>
          <w:rFonts w:ascii="Arial" w:eastAsia="Calibri" w:hAnsi="Arial" w:cs="Arial"/>
          <w:i/>
          <w:sz w:val="20"/>
          <w:szCs w:val="20"/>
        </w:rPr>
      </w:pPr>
    </w:p>
    <w:p w14:paraId="2D847F74" w14:textId="5C722736"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En conclusión, </w:t>
      </w:r>
      <w:r w:rsidRPr="00554476">
        <w:rPr>
          <w:rFonts w:ascii="Arial" w:eastAsia="Calibri" w:hAnsi="Arial" w:cs="Arial"/>
          <w:i/>
          <w:sz w:val="20"/>
          <w:szCs w:val="20"/>
          <w:u w:val="single"/>
        </w:rPr>
        <w:t>las causas de vencimiento anticipado del préstamo de 2001, serán las indicadas en el referido precepto y no las previstas en la escritura impugnada</w:t>
      </w:r>
      <w:r w:rsidRPr="00554476">
        <w:rPr>
          <w:rFonts w:ascii="Arial" w:eastAsia="Calibri" w:hAnsi="Arial" w:cs="Arial"/>
          <w:i/>
          <w:sz w:val="20"/>
          <w:szCs w:val="20"/>
        </w:rPr>
        <w:t>.</w:t>
      </w:r>
    </w:p>
    <w:p w14:paraId="2257296C" w14:textId="77777777" w:rsidR="001B404E" w:rsidRPr="00554476" w:rsidRDefault="001B404E" w:rsidP="00554476">
      <w:pPr>
        <w:spacing w:after="0" w:line="360" w:lineRule="auto"/>
        <w:ind w:left="567"/>
        <w:jc w:val="both"/>
        <w:rPr>
          <w:rFonts w:ascii="Arial" w:eastAsia="Calibri" w:hAnsi="Arial" w:cs="Arial"/>
          <w:i/>
          <w:sz w:val="20"/>
          <w:szCs w:val="20"/>
        </w:rPr>
      </w:pPr>
    </w:p>
    <w:p w14:paraId="4F1A4AC0"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Así la situación existente, como indica la parte demandada, se ha producido una carencia sobrevenida de objeto de conformidad con el artículo 22 de la ley de Enjuiciamiento Civil, por circunstancias sobrevenidas a la demanda ha dejado de haber interés legítimo en obtener la tutela judicial pretendida respecto de esa cláusula de vencimiento anticipado.</w:t>
      </w:r>
    </w:p>
    <w:p w14:paraId="3EB277C6" w14:textId="77777777" w:rsidR="00115790" w:rsidRPr="00554476" w:rsidRDefault="00115790" w:rsidP="00554476">
      <w:pPr>
        <w:spacing w:after="0" w:line="360" w:lineRule="auto"/>
        <w:ind w:left="567"/>
        <w:jc w:val="both"/>
        <w:rPr>
          <w:rFonts w:ascii="Arial" w:eastAsia="Calibri" w:hAnsi="Arial" w:cs="Arial"/>
          <w:i/>
          <w:sz w:val="20"/>
          <w:szCs w:val="20"/>
        </w:rPr>
      </w:pPr>
    </w:p>
    <w:p w14:paraId="5FA9C078" w14:textId="32F96C4F" w:rsidR="00115790" w:rsidRPr="00554476" w:rsidRDefault="00115790" w:rsidP="00554476">
      <w:pPr>
        <w:spacing w:after="0" w:line="360" w:lineRule="auto"/>
        <w:ind w:left="567"/>
        <w:jc w:val="both"/>
        <w:rPr>
          <w:rFonts w:ascii="Arial" w:eastAsia="Calibri" w:hAnsi="Arial" w:cs="Arial"/>
          <w:b/>
          <w:i/>
          <w:sz w:val="20"/>
          <w:szCs w:val="20"/>
        </w:rPr>
      </w:pPr>
      <w:r w:rsidRPr="00554476">
        <w:rPr>
          <w:rFonts w:ascii="Arial" w:eastAsia="Calibri" w:hAnsi="Arial" w:cs="Arial"/>
          <w:i/>
          <w:sz w:val="20"/>
          <w:szCs w:val="20"/>
        </w:rPr>
        <w:t xml:space="preserve">Por lo expuesto y en lo que se refiere e esta pretensión, </w:t>
      </w:r>
      <w:r w:rsidRPr="00554476">
        <w:rPr>
          <w:rFonts w:ascii="Arial" w:eastAsia="Calibri" w:hAnsi="Arial" w:cs="Arial"/>
          <w:b/>
          <w:i/>
          <w:sz w:val="20"/>
          <w:szCs w:val="20"/>
        </w:rPr>
        <w:t>consecuencia de los cambios legislativos se hace innecesaria la declaración de nulidad de la cláusula de vencimiento anticipado, toda vez que las que se aplicarán serán las señaladas en el artículo 24 y no las previstas en el contrato de préstamo ahora impugnado.</w:t>
      </w:r>
    </w:p>
    <w:p w14:paraId="25BCCF78" w14:textId="77777777" w:rsidR="001B404E" w:rsidRPr="00554476" w:rsidRDefault="001B404E" w:rsidP="00554476">
      <w:pPr>
        <w:spacing w:after="0" w:line="360" w:lineRule="auto"/>
        <w:ind w:left="567"/>
        <w:jc w:val="both"/>
        <w:rPr>
          <w:rFonts w:ascii="Arial" w:eastAsia="Calibri" w:hAnsi="Arial" w:cs="Arial"/>
          <w:b/>
          <w:i/>
          <w:sz w:val="20"/>
          <w:szCs w:val="20"/>
        </w:rPr>
      </w:pPr>
    </w:p>
    <w:p w14:paraId="0E4997C2"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b/>
          <w:i/>
          <w:sz w:val="20"/>
          <w:szCs w:val="20"/>
        </w:rPr>
        <w:t>En atención a lo expuesto, no procede hacer ningún pronunciamiento al respecto de la cláusula de vencimiento anticipado, prescindiendo de la pretensión así ejercitada como si no se hubiera formulado</w:t>
      </w:r>
      <w:r w:rsidRPr="00554476">
        <w:rPr>
          <w:rFonts w:ascii="Arial" w:eastAsia="Calibri" w:hAnsi="Arial" w:cs="Arial"/>
          <w:i/>
          <w:sz w:val="20"/>
          <w:szCs w:val="20"/>
        </w:rPr>
        <w:t>.”</w:t>
      </w:r>
    </w:p>
    <w:p w14:paraId="384FB0FD" w14:textId="576FEDFB" w:rsidR="00115790" w:rsidRPr="00554476" w:rsidRDefault="00115790" w:rsidP="00554476">
      <w:pPr>
        <w:spacing w:after="0" w:line="360" w:lineRule="auto"/>
        <w:ind w:left="567"/>
        <w:jc w:val="both"/>
        <w:rPr>
          <w:rFonts w:ascii="Arial" w:eastAsia="Calibri" w:hAnsi="Arial" w:cs="Arial"/>
          <w:i/>
          <w:sz w:val="20"/>
          <w:szCs w:val="20"/>
        </w:rPr>
      </w:pPr>
    </w:p>
    <w:p w14:paraId="7C09A9A5" w14:textId="2BB505CB" w:rsidR="001B404E" w:rsidRPr="00554476" w:rsidRDefault="001B404E" w:rsidP="00554476">
      <w:pPr>
        <w:spacing w:after="0" w:line="360" w:lineRule="auto"/>
        <w:jc w:val="center"/>
        <w:rPr>
          <w:rFonts w:ascii="Arial" w:eastAsia="Calibri" w:hAnsi="Arial" w:cs="Arial"/>
          <w:b/>
          <w:bCs/>
          <w:iCs/>
          <w:sz w:val="20"/>
          <w:szCs w:val="20"/>
        </w:rPr>
      </w:pPr>
      <w:r w:rsidRPr="00554476">
        <w:rPr>
          <w:rFonts w:ascii="Arial" w:eastAsia="Calibri" w:hAnsi="Arial" w:cs="Arial"/>
          <w:b/>
          <w:bCs/>
          <w:iCs/>
          <w:sz w:val="20"/>
          <w:szCs w:val="20"/>
        </w:rPr>
        <w:t>II</w:t>
      </w:r>
    </w:p>
    <w:p w14:paraId="2D368631" w14:textId="77777777" w:rsidR="001B404E" w:rsidRPr="00554476" w:rsidRDefault="001B404E" w:rsidP="00554476">
      <w:pPr>
        <w:spacing w:after="0" w:line="360" w:lineRule="auto"/>
        <w:ind w:left="567"/>
        <w:jc w:val="both"/>
        <w:rPr>
          <w:rFonts w:ascii="Arial" w:eastAsia="Calibri" w:hAnsi="Arial" w:cs="Arial"/>
          <w:i/>
          <w:sz w:val="20"/>
          <w:szCs w:val="20"/>
        </w:rPr>
      </w:pPr>
    </w:p>
    <w:p w14:paraId="6445A6A3" w14:textId="752253F9" w:rsidR="00115790" w:rsidRPr="00554476" w:rsidRDefault="001B404E" w:rsidP="00554476">
      <w:pPr>
        <w:spacing w:after="0" w:line="360" w:lineRule="auto"/>
        <w:jc w:val="both"/>
        <w:rPr>
          <w:rFonts w:ascii="Arial" w:eastAsia="Calibri" w:hAnsi="Arial" w:cs="Arial"/>
          <w:sz w:val="20"/>
          <w:szCs w:val="20"/>
          <w:lang w:val="es-ES_tradnl"/>
        </w:rPr>
      </w:pPr>
      <w:r w:rsidRPr="00554476">
        <w:rPr>
          <w:rFonts w:ascii="Arial" w:eastAsia="Calibri" w:hAnsi="Arial" w:cs="Arial"/>
          <w:b/>
          <w:sz w:val="20"/>
          <w:szCs w:val="20"/>
          <w:lang w:val="es-ES_tradnl"/>
        </w:rPr>
        <w:t xml:space="preserve">Sin perjuicio de los anteriores argumentos que justifican la carencia sobrevenida de objeto y pérdida de interés legítimo en mantener una pretensión como la que aquí se responde, para el caso de salvar dicho escollo, </w:t>
      </w:r>
      <w:r w:rsidR="00115790" w:rsidRPr="00554476">
        <w:rPr>
          <w:rFonts w:ascii="Arial" w:eastAsia="Calibri" w:hAnsi="Arial" w:cs="Arial"/>
          <w:b/>
          <w:sz w:val="20"/>
          <w:szCs w:val="20"/>
          <w:lang w:val="es-ES_tradnl"/>
        </w:rPr>
        <w:t xml:space="preserve">la </w:t>
      </w:r>
      <w:r w:rsidRPr="00554476">
        <w:rPr>
          <w:rFonts w:ascii="Arial" w:eastAsia="Calibri" w:hAnsi="Arial" w:cs="Arial"/>
          <w:b/>
          <w:sz w:val="20"/>
          <w:szCs w:val="20"/>
          <w:lang w:val="es-ES_tradnl"/>
        </w:rPr>
        <w:t xml:space="preserve">eventual declaración de nulidad de la cláusula de vencimiento anticipado debería </w:t>
      </w:r>
      <w:r w:rsidR="00115790" w:rsidRPr="00554476">
        <w:rPr>
          <w:rFonts w:ascii="Arial" w:eastAsia="Calibri" w:hAnsi="Arial" w:cs="Arial"/>
          <w:b/>
          <w:sz w:val="20"/>
          <w:szCs w:val="20"/>
          <w:lang w:val="es-ES_tradnl"/>
        </w:rPr>
        <w:t xml:space="preserve">acompañar un pronunciamiento expreso </w:t>
      </w:r>
      <w:r w:rsidRPr="00554476">
        <w:rPr>
          <w:rFonts w:ascii="Arial" w:eastAsia="Calibri" w:hAnsi="Arial" w:cs="Arial"/>
          <w:b/>
          <w:sz w:val="20"/>
          <w:szCs w:val="20"/>
          <w:lang w:val="es-ES_tradnl"/>
        </w:rPr>
        <w:t xml:space="preserve">en el sentido </w:t>
      </w:r>
      <w:r w:rsidR="00115790" w:rsidRPr="00554476">
        <w:rPr>
          <w:rFonts w:ascii="Arial" w:eastAsia="Calibri" w:hAnsi="Arial" w:cs="Arial"/>
          <w:b/>
          <w:sz w:val="20"/>
          <w:szCs w:val="20"/>
          <w:lang w:val="es-ES_tradnl"/>
        </w:rPr>
        <w:t xml:space="preserve">de que, en lo sucesivo, tal cuestión vendrá reglada conforme la normativa nacional, esto es, el artículo 24 de la Ley Reguladora de los Contratos de Crédito Inmobiliario, </w:t>
      </w:r>
      <w:r w:rsidR="00115790" w:rsidRPr="00554476">
        <w:rPr>
          <w:rFonts w:ascii="Arial" w:eastAsia="Calibri" w:hAnsi="Arial" w:cs="Arial"/>
          <w:sz w:val="20"/>
          <w:szCs w:val="20"/>
          <w:lang w:val="es-ES_tradnl"/>
        </w:rPr>
        <w:t xml:space="preserve">todo ello de conformidad la </w:t>
      </w:r>
      <w:r w:rsidR="00115790" w:rsidRPr="00554476">
        <w:rPr>
          <w:rFonts w:ascii="Arial" w:eastAsia="Calibri" w:hAnsi="Arial" w:cs="Arial"/>
          <w:sz w:val="20"/>
          <w:szCs w:val="20"/>
          <w:u w:val="single"/>
          <w:lang w:val="es-ES_tradnl"/>
        </w:rPr>
        <w:t>Sentencia de 26 de marzo de 2019 del Tribunal de Justicia de la Unión Europea</w:t>
      </w:r>
      <w:r w:rsidR="00115790" w:rsidRPr="00554476">
        <w:rPr>
          <w:rFonts w:ascii="Arial" w:eastAsia="Calibri" w:hAnsi="Arial" w:cs="Arial"/>
          <w:sz w:val="20"/>
          <w:szCs w:val="20"/>
          <w:lang w:val="es-ES_tradnl"/>
        </w:rPr>
        <w:t>:</w:t>
      </w:r>
    </w:p>
    <w:p w14:paraId="5F16950D"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00610BC3" w14:textId="40FC7B2E"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“64…Habida cuenta de las anteriores consideraciones, ha de responderse a las cuestiones prejudiciales planteadas en los asuntos C</w:t>
      </w:r>
      <w:r w:rsidRPr="00554476">
        <w:rPr>
          <w:rFonts w:ascii="Arial" w:eastAsia="Calibri" w:hAnsi="Arial" w:cs="Arial"/>
          <w:i/>
          <w:sz w:val="20"/>
          <w:szCs w:val="20"/>
        </w:rPr>
        <w:noBreakHyphen/>
        <w:t>70/17 y C</w:t>
      </w:r>
      <w:r w:rsidRPr="00554476">
        <w:rPr>
          <w:rFonts w:ascii="Arial" w:eastAsia="Calibri" w:hAnsi="Arial" w:cs="Arial"/>
          <w:i/>
          <w:sz w:val="20"/>
          <w:szCs w:val="20"/>
        </w:rPr>
        <w:noBreakHyphen/>
        <w:t xml:space="preserve">179/17 que los artículos 6 y 7 de la Directiva 93/13 </w:t>
      </w:r>
      <w:r w:rsidRPr="00554476">
        <w:rPr>
          <w:rFonts w:ascii="Arial" w:eastAsia="Calibri" w:hAnsi="Arial" w:cs="Arial"/>
          <w:b/>
          <w:i/>
          <w:sz w:val="20"/>
          <w:szCs w:val="20"/>
        </w:rPr>
        <w:t>deben interpretarse en el sentido de que</w:t>
      </w:r>
      <w:r w:rsidRPr="00554476">
        <w:rPr>
          <w:rFonts w:ascii="Arial" w:eastAsia="Calibri" w:hAnsi="Arial" w:cs="Arial"/>
          <w:i/>
          <w:sz w:val="20"/>
          <w:szCs w:val="20"/>
        </w:rPr>
        <w:t xml:space="preserve">, por una parte, se oponen a que una cláusula de vencimiento anticipado de un contrato de préstamo hipotecario declarada abusiva sea conservada parcialmente mediante la supresión de los elementos que la hacen abusiva, cuando tal supresión equivalga a modificar el contenido de dicha </w:t>
      </w:r>
      <w:r w:rsidRPr="00554476">
        <w:rPr>
          <w:rFonts w:ascii="Arial" w:eastAsia="Calibri" w:hAnsi="Arial" w:cs="Arial"/>
          <w:i/>
          <w:sz w:val="20"/>
          <w:szCs w:val="20"/>
        </w:rPr>
        <w:lastRenderedPageBreak/>
        <w:t xml:space="preserve">cláusula afectando a su esencia, y de que, por otra parte, esos mismos artículos </w:t>
      </w:r>
      <w:r w:rsidRPr="00554476">
        <w:rPr>
          <w:rFonts w:ascii="Arial" w:eastAsia="Calibri" w:hAnsi="Arial" w:cs="Arial"/>
          <w:b/>
          <w:i/>
          <w:sz w:val="20"/>
          <w:szCs w:val="20"/>
        </w:rPr>
        <w:t>no se oponen</w:t>
      </w:r>
      <w:r w:rsidRPr="00554476">
        <w:rPr>
          <w:rFonts w:ascii="Arial" w:eastAsia="Calibri" w:hAnsi="Arial" w:cs="Arial"/>
          <w:i/>
          <w:sz w:val="20"/>
          <w:szCs w:val="20"/>
        </w:rPr>
        <w:t xml:space="preserve"> a que el juez nacional </w:t>
      </w:r>
      <w:r w:rsidRPr="00554476">
        <w:rPr>
          <w:rFonts w:ascii="Arial" w:eastAsia="Calibri" w:hAnsi="Arial" w:cs="Arial"/>
          <w:b/>
          <w:i/>
          <w:sz w:val="20"/>
          <w:szCs w:val="20"/>
        </w:rPr>
        <w:t>ponga remedio a la nulidad de tal cláusula abusiva sustituyéndola por la nueva redacción de la disposición legal que inspiró dicha cláusula</w:t>
      </w:r>
      <w:r w:rsidRPr="00554476">
        <w:rPr>
          <w:rFonts w:ascii="Arial" w:eastAsia="Calibri" w:hAnsi="Arial" w:cs="Arial"/>
          <w:i/>
          <w:sz w:val="20"/>
          <w:szCs w:val="20"/>
        </w:rPr>
        <w:t xml:space="preserve">, aplicable en caso de convenio entre las partes del contrato, siempre que el contrato de préstamo hipotecario en cuestión no pueda subsistir en caso de supresión de la citada cláusula abusiva </w:t>
      </w:r>
      <w:r w:rsidRPr="00554476">
        <w:rPr>
          <w:rFonts w:ascii="Arial" w:eastAsia="Calibri" w:hAnsi="Arial" w:cs="Arial"/>
          <w:b/>
          <w:i/>
          <w:sz w:val="20"/>
          <w:szCs w:val="20"/>
        </w:rPr>
        <w:t>y la anulación del contrato en su conjunto exponga al consumidor a consecuencias especialmente perjudiciales</w:t>
      </w:r>
      <w:r w:rsidRPr="00554476">
        <w:rPr>
          <w:rFonts w:ascii="Arial" w:eastAsia="Calibri" w:hAnsi="Arial" w:cs="Arial"/>
          <w:i/>
          <w:sz w:val="20"/>
          <w:szCs w:val="20"/>
        </w:rPr>
        <w:t>.”</w:t>
      </w:r>
    </w:p>
    <w:p w14:paraId="310E7A24" w14:textId="77777777" w:rsidR="001B404E" w:rsidRPr="00554476" w:rsidRDefault="001B404E" w:rsidP="00554476">
      <w:pPr>
        <w:spacing w:after="0" w:line="360" w:lineRule="auto"/>
        <w:ind w:left="567"/>
        <w:jc w:val="both"/>
        <w:rPr>
          <w:rFonts w:ascii="Arial" w:eastAsia="Calibri" w:hAnsi="Arial" w:cs="Arial"/>
          <w:i/>
          <w:iCs/>
          <w:sz w:val="20"/>
          <w:szCs w:val="20"/>
        </w:rPr>
      </w:pPr>
    </w:p>
    <w:p w14:paraId="260CEADE"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En definitiva, relacionando lo expuesto con la pretensión de la actora, únicamente caben dos opciones:</w:t>
      </w:r>
    </w:p>
    <w:p w14:paraId="589B14E0"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507CAF83" w14:textId="77777777" w:rsidR="00115790" w:rsidRPr="00554476" w:rsidRDefault="00115790" w:rsidP="001618DF">
      <w:pPr>
        <w:numPr>
          <w:ilvl w:val="0"/>
          <w:numId w:val="13"/>
        </w:numPr>
        <w:spacing w:after="0" w:line="360" w:lineRule="auto"/>
        <w:jc w:val="both"/>
        <w:rPr>
          <w:rFonts w:ascii="Arial" w:eastAsia="Calibri" w:hAnsi="Arial" w:cs="Arial"/>
          <w:iCs/>
          <w:sz w:val="20"/>
          <w:szCs w:val="20"/>
        </w:rPr>
      </w:pPr>
      <w:r w:rsidRPr="00554476">
        <w:rPr>
          <w:rFonts w:ascii="Arial" w:eastAsia="Calibri" w:hAnsi="Arial" w:cs="Arial"/>
          <w:iCs/>
          <w:sz w:val="20"/>
          <w:szCs w:val="20"/>
        </w:rPr>
        <w:t xml:space="preserve">Desestimar la demanda sobre este particular, por apreciarse la carencia de objeto, puesto la cláusula cuya nulidad se solicita ha sido sustituida </w:t>
      </w:r>
      <w:r w:rsidRPr="00554476">
        <w:rPr>
          <w:rFonts w:ascii="Arial" w:eastAsia="Calibri" w:hAnsi="Arial" w:cs="Arial"/>
          <w:i/>
          <w:iCs/>
          <w:sz w:val="20"/>
          <w:szCs w:val="20"/>
        </w:rPr>
        <w:t>ex lege</w:t>
      </w:r>
      <w:r w:rsidRPr="00554476">
        <w:rPr>
          <w:rFonts w:ascii="Arial" w:eastAsia="Calibri" w:hAnsi="Arial" w:cs="Arial"/>
          <w:iCs/>
          <w:sz w:val="20"/>
          <w:szCs w:val="20"/>
        </w:rPr>
        <w:t xml:space="preserve"> por la nueva redacción dada a la misma por el art. 24 LCCI</w:t>
      </w:r>
    </w:p>
    <w:p w14:paraId="5A662222" w14:textId="77777777" w:rsidR="00115790" w:rsidRPr="00554476" w:rsidRDefault="00115790" w:rsidP="00554476">
      <w:pPr>
        <w:spacing w:after="0" w:line="360" w:lineRule="auto"/>
        <w:ind w:left="720"/>
        <w:jc w:val="both"/>
        <w:rPr>
          <w:rFonts w:ascii="Arial" w:eastAsia="Calibri" w:hAnsi="Arial" w:cs="Arial"/>
          <w:iCs/>
          <w:sz w:val="20"/>
          <w:szCs w:val="20"/>
        </w:rPr>
      </w:pPr>
    </w:p>
    <w:p w14:paraId="1B38619F" w14:textId="77777777" w:rsidR="00115790" w:rsidRPr="00554476" w:rsidRDefault="00115790" w:rsidP="001618DF">
      <w:pPr>
        <w:numPr>
          <w:ilvl w:val="0"/>
          <w:numId w:val="13"/>
        </w:numPr>
        <w:spacing w:after="0" w:line="360" w:lineRule="auto"/>
        <w:jc w:val="both"/>
        <w:rPr>
          <w:rFonts w:ascii="Arial" w:eastAsia="Calibri" w:hAnsi="Arial" w:cs="Arial"/>
          <w:iCs/>
          <w:sz w:val="20"/>
          <w:szCs w:val="20"/>
        </w:rPr>
      </w:pPr>
      <w:r w:rsidRPr="00554476">
        <w:rPr>
          <w:rFonts w:ascii="Arial" w:eastAsia="Calibri" w:hAnsi="Arial" w:cs="Arial"/>
          <w:iCs/>
          <w:sz w:val="20"/>
          <w:szCs w:val="20"/>
        </w:rPr>
        <w:t xml:space="preserve">Estimar la petición, pero, junto a la declaración de nulidad, deberá existir otro pronunciamiento por el que </w:t>
      </w:r>
      <w:r w:rsidRPr="00554476">
        <w:rPr>
          <w:rFonts w:ascii="Arial" w:eastAsia="Calibri" w:hAnsi="Arial" w:cs="Arial"/>
          <w:sz w:val="20"/>
          <w:szCs w:val="20"/>
        </w:rPr>
        <w:t>se acuerde que, en lo sucesivo, tal cuestión vendrá reglada conforme la normativa nacional, esto es, el artículo 24 de la Ley Reguladora de los Contratos de Crédito Inmobiliario.</w:t>
      </w:r>
    </w:p>
    <w:p w14:paraId="5D05E07C" w14:textId="77777777" w:rsidR="00115790" w:rsidRPr="00554476" w:rsidRDefault="00115790" w:rsidP="00554476">
      <w:pPr>
        <w:spacing w:after="0" w:line="360" w:lineRule="auto"/>
        <w:jc w:val="both"/>
        <w:rPr>
          <w:rFonts w:ascii="Arial" w:eastAsia="Calibri" w:hAnsi="Arial" w:cs="Arial"/>
          <w:sz w:val="20"/>
          <w:szCs w:val="20"/>
        </w:rPr>
      </w:pPr>
    </w:p>
    <w:p w14:paraId="4581D913" w14:textId="1370762C" w:rsidR="00115790" w:rsidRPr="00554476" w:rsidRDefault="00115790" w:rsidP="00554476">
      <w:pPr>
        <w:spacing w:after="0" w:line="360" w:lineRule="auto"/>
        <w:jc w:val="center"/>
        <w:rPr>
          <w:rFonts w:ascii="Arial" w:eastAsia="Calibri" w:hAnsi="Arial" w:cs="Arial"/>
          <w:b/>
          <w:sz w:val="20"/>
          <w:szCs w:val="20"/>
        </w:rPr>
      </w:pPr>
      <w:r w:rsidRPr="00554476">
        <w:rPr>
          <w:rFonts w:ascii="Arial" w:eastAsia="Calibri" w:hAnsi="Arial" w:cs="Arial"/>
          <w:b/>
          <w:sz w:val="20"/>
          <w:szCs w:val="20"/>
        </w:rPr>
        <w:t>II</w:t>
      </w:r>
      <w:r w:rsidR="001B404E" w:rsidRPr="00554476">
        <w:rPr>
          <w:rFonts w:ascii="Arial" w:eastAsia="Calibri" w:hAnsi="Arial" w:cs="Arial"/>
          <w:b/>
          <w:sz w:val="20"/>
          <w:szCs w:val="20"/>
        </w:rPr>
        <w:t>I</w:t>
      </w:r>
    </w:p>
    <w:p w14:paraId="261CD4D3" w14:textId="77777777" w:rsidR="001B404E" w:rsidRPr="00554476" w:rsidRDefault="001B404E" w:rsidP="00554476">
      <w:pPr>
        <w:spacing w:after="0" w:line="360" w:lineRule="auto"/>
        <w:jc w:val="both"/>
        <w:rPr>
          <w:rFonts w:ascii="Arial" w:eastAsia="Calibri" w:hAnsi="Arial" w:cs="Arial"/>
          <w:b/>
          <w:sz w:val="20"/>
          <w:szCs w:val="20"/>
          <w:u w:val="single"/>
        </w:rPr>
      </w:pPr>
    </w:p>
    <w:p w14:paraId="1E42D53D" w14:textId="67B96926" w:rsidR="00115790" w:rsidRPr="00554476" w:rsidRDefault="001B404E" w:rsidP="00554476">
      <w:pPr>
        <w:spacing w:after="0" w:line="360" w:lineRule="auto"/>
        <w:jc w:val="both"/>
        <w:rPr>
          <w:rFonts w:ascii="Arial" w:eastAsia="Calibri" w:hAnsi="Arial" w:cs="Arial"/>
          <w:bCs/>
          <w:sz w:val="20"/>
          <w:szCs w:val="20"/>
          <w:lang w:val="es-ES_tradnl"/>
        </w:rPr>
      </w:pPr>
      <w:r w:rsidRPr="00554476">
        <w:rPr>
          <w:rFonts w:ascii="Arial" w:eastAsia="Calibri" w:hAnsi="Arial" w:cs="Arial"/>
          <w:bCs/>
          <w:sz w:val="20"/>
          <w:szCs w:val="20"/>
        </w:rPr>
        <w:t xml:space="preserve">Abundando en nuestra oposición, no debe pasar desapercibido que </w:t>
      </w:r>
      <w:r w:rsidRPr="00554476">
        <w:rPr>
          <w:rFonts w:ascii="Arial" w:eastAsia="Calibri" w:hAnsi="Arial" w:cs="Arial"/>
          <w:bCs/>
          <w:sz w:val="20"/>
          <w:szCs w:val="20"/>
          <w:lang w:val="es-ES_tradnl"/>
        </w:rPr>
        <w:t>l</w:t>
      </w:r>
      <w:r w:rsidR="00115790" w:rsidRPr="00554476">
        <w:rPr>
          <w:rFonts w:ascii="Arial" w:eastAsia="Calibri" w:hAnsi="Arial" w:cs="Arial"/>
          <w:bCs/>
          <w:sz w:val="20"/>
          <w:szCs w:val="20"/>
          <w:lang w:val="es-ES_tradnl"/>
        </w:rPr>
        <w:t>a parte actora pretende la declaración como abusiva de esta cláusula y su consiguiente nulidad</w:t>
      </w:r>
      <w:r w:rsidRPr="00554476">
        <w:rPr>
          <w:rFonts w:ascii="Arial" w:eastAsia="Calibri" w:hAnsi="Arial" w:cs="Arial"/>
          <w:bCs/>
          <w:sz w:val="20"/>
          <w:szCs w:val="20"/>
          <w:lang w:val="es-ES_tradnl"/>
        </w:rPr>
        <w:t xml:space="preserve"> </w:t>
      </w:r>
      <w:r w:rsidR="00115790" w:rsidRPr="00554476">
        <w:rPr>
          <w:rFonts w:ascii="Arial" w:eastAsia="Calibri" w:hAnsi="Arial" w:cs="Arial"/>
          <w:bCs/>
          <w:sz w:val="20"/>
          <w:szCs w:val="20"/>
          <w:lang w:val="es-ES_tradnl"/>
        </w:rPr>
        <w:t>de una forma genérica</w:t>
      </w:r>
      <w:r w:rsidRPr="00554476">
        <w:rPr>
          <w:rFonts w:ascii="Arial" w:eastAsia="Calibri" w:hAnsi="Arial" w:cs="Arial"/>
          <w:bCs/>
          <w:sz w:val="20"/>
          <w:szCs w:val="20"/>
          <w:lang w:val="es-ES_tradnl"/>
        </w:rPr>
        <w:t xml:space="preserve">, esto es, </w:t>
      </w:r>
      <w:r w:rsidR="00115790" w:rsidRPr="00554476">
        <w:rPr>
          <w:rFonts w:ascii="Arial" w:eastAsia="Calibri" w:hAnsi="Arial" w:cs="Arial"/>
          <w:bCs/>
          <w:sz w:val="20"/>
          <w:szCs w:val="20"/>
          <w:lang w:val="es-ES_tradnl"/>
        </w:rPr>
        <w:t>sin ningún fundamento, sin aportar argumentos para basar dicha pretensión, y sin analizar en ningún momento las distintas causas de resolución.</w:t>
      </w:r>
    </w:p>
    <w:p w14:paraId="04FB399D" w14:textId="77777777" w:rsidR="00115790" w:rsidRPr="00554476" w:rsidRDefault="00115790" w:rsidP="00554476">
      <w:pPr>
        <w:spacing w:after="0" w:line="360" w:lineRule="auto"/>
        <w:jc w:val="both"/>
        <w:rPr>
          <w:rFonts w:ascii="Arial" w:eastAsia="Calibri" w:hAnsi="Arial" w:cs="Arial"/>
          <w:sz w:val="20"/>
          <w:szCs w:val="20"/>
          <w:lang w:val="es-ES_tradnl"/>
        </w:rPr>
      </w:pPr>
    </w:p>
    <w:p w14:paraId="34DDF535"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Pero al margen de esa falta de fundamentación, los motivos de resolución anticipada no pueden ser considerados abusivos, y por lo tanto no deben declararse nulos, pues los mismos son totalmente legales, y así lo ha declarado tanto la doctrina como la mayoría de la jurisprudencia de las Audiencias Provinciales y el Tribunal Supremo, y hasta el propio legislador lo ha establecido así en la Ley 1/2013, de 14 de mayo de medidas para reforzar la protección de los deudores hipotecarios, al entender que esta cláusula en ningún caso puede considerarse abusiva, y por lo tanto nula.</w:t>
      </w:r>
    </w:p>
    <w:p w14:paraId="4214BC6F" w14:textId="77777777" w:rsidR="00115790" w:rsidRPr="00554476" w:rsidRDefault="00115790" w:rsidP="00554476">
      <w:pPr>
        <w:spacing w:after="0" w:line="360" w:lineRule="auto"/>
        <w:jc w:val="both"/>
        <w:rPr>
          <w:rFonts w:ascii="Arial" w:eastAsia="Calibri" w:hAnsi="Arial" w:cs="Arial"/>
          <w:sz w:val="20"/>
          <w:szCs w:val="20"/>
        </w:rPr>
      </w:pPr>
    </w:p>
    <w:p w14:paraId="308DC16C"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relación con lo anteriormente mencionado cabe dictar la </w:t>
      </w:r>
      <w:r w:rsidRPr="00554476">
        <w:rPr>
          <w:rFonts w:ascii="Arial" w:eastAsia="Calibri" w:hAnsi="Arial" w:cs="Arial"/>
          <w:b/>
          <w:bCs/>
          <w:sz w:val="20"/>
          <w:szCs w:val="20"/>
          <w:u w:val="single"/>
          <w:lang w:val="es-ES_tradnl"/>
        </w:rPr>
        <w:t xml:space="preserve">Sentencia </w:t>
      </w:r>
      <w:r w:rsidRPr="00554476">
        <w:rPr>
          <w:rFonts w:ascii="Arial" w:eastAsia="Calibri" w:hAnsi="Arial" w:cs="Arial"/>
          <w:b/>
          <w:sz w:val="20"/>
          <w:szCs w:val="20"/>
          <w:u w:val="single"/>
          <w:lang w:val="es-ES_tradnl"/>
        </w:rPr>
        <w:t>nº 295/2018 del Juzgado de Primera Instancia nº8 de Tarragona de fecha 21 de junio de 2018</w:t>
      </w:r>
      <w:r w:rsidRPr="00554476">
        <w:rPr>
          <w:rFonts w:ascii="Arial" w:eastAsia="Calibri" w:hAnsi="Arial" w:cs="Arial"/>
          <w:sz w:val="20"/>
          <w:szCs w:val="20"/>
          <w:lang w:val="es-ES_tradnl"/>
        </w:rPr>
        <w:t>, mediante la cual desestima el motivo de nulidad de la cláusula de vencimiento anticipado:</w:t>
      </w:r>
    </w:p>
    <w:p w14:paraId="49421092" w14:textId="77777777" w:rsidR="00115790" w:rsidRPr="00554476" w:rsidRDefault="00115790" w:rsidP="00554476">
      <w:pPr>
        <w:spacing w:after="0" w:line="360" w:lineRule="auto"/>
        <w:jc w:val="both"/>
        <w:rPr>
          <w:rFonts w:ascii="Arial" w:eastAsia="Calibri" w:hAnsi="Arial" w:cs="Arial"/>
          <w:sz w:val="20"/>
          <w:szCs w:val="20"/>
        </w:rPr>
      </w:pPr>
    </w:p>
    <w:p w14:paraId="06827DB2"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lastRenderedPageBreak/>
        <w:t xml:space="preserve">“El artículo 1.124 del </w:t>
      </w:r>
      <w:proofErr w:type="spellStart"/>
      <w:r w:rsidRPr="00554476">
        <w:rPr>
          <w:rFonts w:ascii="Arial" w:eastAsia="Calibri" w:hAnsi="Arial" w:cs="Arial"/>
          <w:i/>
          <w:sz w:val="20"/>
          <w:szCs w:val="20"/>
        </w:rPr>
        <w:t>Codigo</w:t>
      </w:r>
      <w:proofErr w:type="spellEnd"/>
      <w:r w:rsidRPr="00554476">
        <w:rPr>
          <w:rFonts w:ascii="Arial" w:eastAsia="Calibri" w:hAnsi="Arial" w:cs="Arial"/>
          <w:i/>
          <w:sz w:val="20"/>
          <w:szCs w:val="20"/>
        </w:rPr>
        <w:t xml:space="preserve"> civil estipula la posibilidad de resolver el contrato ante el incumplimiento de la contraparte "La facultad de resolver las obligaciones se entiende </w:t>
      </w:r>
      <w:proofErr w:type="spellStart"/>
      <w:r w:rsidRPr="00554476">
        <w:rPr>
          <w:rFonts w:ascii="Arial" w:eastAsia="Calibri" w:hAnsi="Arial" w:cs="Arial"/>
          <w:i/>
          <w:sz w:val="20"/>
          <w:szCs w:val="20"/>
        </w:rPr>
        <w:t>implicita</w:t>
      </w:r>
      <w:proofErr w:type="spellEnd"/>
      <w:r w:rsidRPr="00554476">
        <w:rPr>
          <w:rFonts w:ascii="Arial" w:eastAsia="Calibri" w:hAnsi="Arial" w:cs="Arial"/>
          <w:i/>
          <w:sz w:val="20"/>
          <w:szCs w:val="20"/>
        </w:rPr>
        <w:t xml:space="preserve"> en las reciprocas, para el caso de que uno de los obligados no cumpliere lo que le incumbe". Fue en la </w:t>
      </w:r>
      <w:proofErr w:type="spellStart"/>
      <w:r w:rsidRPr="00554476">
        <w:rPr>
          <w:rFonts w:ascii="Arial" w:eastAsia="Calibri" w:hAnsi="Arial" w:cs="Arial"/>
          <w:i/>
          <w:sz w:val="20"/>
          <w:szCs w:val="20"/>
        </w:rPr>
        <w:t>modificacion</w:t>
      </w:r>
      <w:proofErr w:type="spellEnd"/>
      <w:r w:rsidRPr="00554476">
        <w:rPr>
          <w:rFonts w:ascii="Arial" w:eastAsia="Calibri" w:hAnsi="Arial" w:cs="Arial"/>
          <w:i/>
          <w:sz w:val="20"/>
          <w:szCs w:val="20"/>
        </w:rPr>
        <w:t xml:space="preserve"> que introdujo la Ley 1/2013, de 14 de mayo en estos </w:t>
      </w:r>
      <w:proofErr w:type="spellStart"/>
      <w:r w:rsidRPr="00554476">
        <w:rPr>
          <w:rFonts w:ascii="Arial" w:eastAsia="Calibri" w:hAnsi="Arial" w:cs="Arial"/>
          <w:i/>
          <w:sz w:val="20"/>
          <w:szCs w:val="20"/>
        </w:rPr>
        <w:t>articulos</w:t>
      </w:r>
      <w:proofErr w:type="spellEnd"/>
      <w:r w:rsidRPr="00554476">
        <w:rPr>
          <w:rFonts w:ascii="Arial" w:eastAsia="Calibri" w:hAnsi="Arial" w:cs="Arial"/>
          <w:i/>
          <w:sz w:val="20"/>
          <w:szCs w:val="20"/>
        </w:rPr>
        <w:t xml:space="preserve"> de la Ley de Enjuiciamiento civil, la que </w:t>
      </w:r>
      <w:proofErr w:type="spellStart"/>
      <w:r w:rsidRPr="00554476">
        <w:rPr>
          <w:rFonts w:ascii="Arial" w:eastAsia="Calibri" w:hAnsi="Arial" w:cs="Arial"/>
          <w:i/>
          <w:sz w:val="20"/>
          <w:szCs w:val="20"/>
        </w:rPr>
        <w:t>exigia</w:t>
      </w:r>
      <w:proofErr w:type="spellEnd"/>
      <w:r w:rsidRPr="00554476">
        <w:rPr>
          <w:rFonts w:ascii="Arial" w:eastAsia="Calibri" w:hAnsi="Arial" w:cs="Arial"/>
          <w:i/>
          <w:sz w:val="20"/>
          <w:szCs w:val="20"/>
        </w:rPr>
        <w:t xml:space="preserve"> un </w:t>
      </w:r>
      <w:proofErr w:type="spellStart"/>
      <w:r w:rsidRPr="00554476">
        <w:rPr>
          <w:rFonts w:ascii="Arial" w:eastAsia="Calibri" w:hAnsi="Arial" w:cs="Arial"/>
          <w:i/>
          <w:sz w:val="20"/>
          <w:szCs w:val="20"/>
        </w:rPr>
        <w:t>minimo</w:t>
      </w:r>
      <w:proofErr w:type="spellEnd"/>
      <w:r w:rsidRPr="00554476">
        <w:rPr>
          <w:rFonts w:ascii="Arial" w:eastAsia="Calibri" w:hAnsi="Arial" w:cs="Arial"/>
          <w:i/>
          <w:sz w:val="20"/>
          <w:szCs w:val="20"/>
        </w:rPr>
        <w:t xml:space="preserve"> de incumplimiento de tres mensualidades, </w:t>
      </w:r>
      <w:proofErr w:type="spellStart"/>
      <w:r w:rsidRPr="00554476">
        <w:rPr>
          <w:rFonts w:ascii="Arial" w:eastAsia="Calibri" w:hAnsi="Arial" w:cs="Arial"/>
          <w:i/>
          <w:sz w:val="20"/>
          <w:szCs w:val="20"/>
        </w:rPr>
        <w:t>modificacion</w:t>
      </w:r>
      <w:proofErr w:type="spellEnd"/>
      <w:r w:rsidRPr="00554476">
        <w:rPr>
          <w:rFonts w:ascii="Arial" w:eastAsia="Calibri" w:hAnsi="Arial" w:cs="Arial"/>
          <w:i/>
          <w:sz w:val="20"/>
          <w:szCs w:val="20"/>
        </w:rPr>
        <w:t xml:space="preserve"> que </w:t>
      </w:r>
      <w:proofErr w:type="spellStart"/>
      <w:r w:rsidRPr="00554476">
        <w:rPr>
          <w:rFonts w:ascii="Arial" w:eastAsia="Calibri" w:hAnsi="Arial" w:cs="Arial"/>
          <w:i/>
          <w:sz w:val="20"/>
          <w:szCs w:val="20"/>
        </w:rPr>
        <w:t>entro</w:t>
      </w:r>
      <w:proofErr w:type="spellEnd"/>
      <w:r w:rsidRPr="00554476">
        <w:rPr>
          <w:rFonts w:ascii="Arial" w:eastAsia="Calibri" w:hAnsi="Arial" w:cs="Arial"/>
          <w:i/>
          <w:sz w:val="20"/>
          <w:szCs w:val="20"/>
        </w:rPr>
        <w:t xml:space="preserve"> en vigor el 15/05/2013.</w:t>
      </w:r>
    </w:p>
    <w:p w14:paraId="571CC22C"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w:t>
      </w:r>
    </w:p>
    <w:p w14:paraId="0551E7C8" w14:textId="77777777" w:rsidR="00115790" w:rsidRPr="00554476" w:rsidRDefault="00115790" w:rsidP="00554476">
      <w:pPr>
        <w:spacing w:after="0" w:line="360" w:lineRule="auto"/>
        <w:ind w:left="567"/>
        <w:jc w:val="both"/>
        <w:rPr>
          <w:rFonts w:ascii="Arial" w:eastAsia="Calibri" w:hAnsi="Arial" w:cs="Arial"/>
          <w:i/>
          <w:sz w:val="20"/>
          <w:szCs w:val="20"/>
        </w:rPr>
      </w:pPr>
      <w:r w:rsidRPr="00554476">
        <w:rPr>
          <w:rFonts w:ascii="Arial" w:eastAsia="Calibri" w:hAnsi="Arial" w:cs="Arial"/>
          <w:i/>
          <w:sz w:val="20"/>
          <w:szCs w:val="20"/>
        </w:rPr>
        <w:t xml:space="preserve">El actual criterio del Tribunal Supremo es que no se puede en abstracto determinar la nulidad de dicha </w:t>
      </w:r>
      <w:proofErr w:type="spellStart"/>
      <w:r w:rsidRPr="00554476">
        <w:rPr>
          <w:rFonts w:ascii="Arial" w:eastAsia="Calibri" w:hAnsi="Arial" w:cs="Arial"/>
          <w:i/>
          <w:sz w:val="20"/>
          <w:szCs w:val="20"/>
        </w:rPr>
        <w:t>clausula</w:t>
      </w:r>
      <w:proofErr w:type="spellEnd"/>
      <w:r w:rsidRPr="00554476">
        <w:rPr>
          <w:rFonts w:ascii="Arial" w:eastAsia="Calibri" w:hAnsi="Arial" w:cs="Arial"/>
          <w:i/>
          <w:sz w:val="20"/>
          <w:szCs w:val="20"/>
        </w:rPr>
        <w:t xml:space="preserve"> sino que </w:t>
      </w:r>
      <w:proofErr w:type="spellStart"/>
      <w:r w:rsidRPr="00554476">
        <w:rPr>
          <w:rFonts w:ascii="Arial" w:eastAsia="Calibri" w:hAnsi="Arial" w:cs="Arial"/>
          <w:i/>
          <w:sz w:val="20"/>
          <w:szCs w:val="20"/>
        </w:rPr>
        <w:t>habra</w:t>
      </w:r>
      <w:proofErr w:type="spellEnd"/>
      <w:r w:rsidRPr="00554476">
        <w:rPr>
          <w:rFonts w:ascii="Arial" w:eastAsia="Calibri" w:hAnsi="Arial" w:cs="Arial"/>
          <w:i/>
          <w:sz w:val="20"/>
          <w:szCs w:val="20"/>
        </w:rPr>
        <w:t xml:space="preserve"> que valorar los distintos aspectos antes mencionados, por lo que la </w:t>
      </w:r>
      <w:proofErr w:type="spellStart"/>
      <w:r w:rsidRPr="00554476">
        <w:rPr>
          <w:rFonts w:ascii="Arial" w:eastAsia="Calibri" w:hAnsi="Arial" w:cs="Arial"/>
          <w:i/>
          <w:sz w:val="20"/>
          <w:szCs w:val="20"/>
        </w:rPr>
        <w:t>peticion</w:t>
      </w:r>
      <w:proofErr w:type="spellEnd"/>
      <w:r w:rsidRPr="00554476">
        <w:rPr>
          <w:rFonts w:ascii="Arial" w:eastAsia="Calibri" w:hAnsi="Arial" w:cs="Arial"/>
          <w:i/>
          <w:sz w:val="20"/>
          <w:szCs w:val="20"/>
        </w:rPr>
        <w:t xml:space="preserve"> que se hace en este procedimiento, previa a incumplimiento alguno, no permite la </w:t>
      </w:r>
      <w:proofErr w:type="spellStart"/>
      <w:r w:rsidRPr="00554476">
        <w:rPr>
          <w:rFonts w:ascii="Arial" w:eastAsia="Calibri" w:hAnsi="Arial" w:cs="Arial"/>
          <w:i/>
          <w:sz w:val="20"/>
          <w:szCs w:val="20"/>
        </w:rPr>
        <w:t>valoracion</w:t>
      </w:r>
      <w:proofErr w:type="spellEnd"/>
      <w:r w:rsidRPr="00554476">
        <w:rPr>
          <w:rFonts w:ascii="Arial" w:eastAsia="Calibri" w:hAnsi="Arial" w:cs="Arial"/>
          <w:i/>
          <w:sz w:val="20"/>
          <w:szCs w:val="20"/>
        </w:rPr>
        <w:t xml:space="preserve"> de la existencia de dicha </w:t>
      </w:r>
      <w:proofErr w:type="spellStart"/>
      <w:r w:rsidRPr="00554476">
        <w:rPr>
          <w:rFonts w:ascii="Arial" w:eastAsia="Calibri" w:hAnsi="Arial" w:cs="Arial"/>
          <w:i/>
          <w:sz w:val="20"/>
          <w:szCs w:val="20"/>
        </w:rPr>
        <w:t>abusividad</w:t>
      </w:r>
      <w:proofErr w:type="spellEnd"/>
      <w:r w:rsidRPr="00554476">
        <w:rPr>
          <w:rFonts w:ascii="Arial" w:eastAsia="Calibri" w:hAnsi="Arial" w:cs="Arial"/>
          <w:i/>
          <w:sz w:val="20"/>
          <w:szCs w:val="20"/>
        </w:rPr>
        <w:t xml:space="preserve"> en abstracto, puesto que nuestro ordenamiento </w:t>
      </w:r>
      <w:proofErr w:type="spellStart"/>
      <w:r w:rsidRPr="00554476">
        <w:rPr>
          <w:rFonts w:ascii="Arial" w:eastAsia="Calibri" w:hAnsi="Arial" w:cs="Arial"/>
          <w:i/>
          <w:sz w:val="20"/>
          <w:szCs w:val="20"/>
        </w:rPr>
        <w:t>si</w:t>
      </w:r>
      <w:proofErr w:type="spellEnd"/>
      <w:r w:rsidRPr="00554476">
        <w:rPr>
          <w:rFonts w:ascii="Arial" w:eastAsia="Calibri" w:hAnsi="Arial" w:cs="Arial"/>
          <w:i/>
          <w:sz w:val="20"/>
          <w:szCs w:val="20"/>
        </w:rPr>
        <w:t xml:space="preserve"> que permite el vencimiento anticipado de las obligaciones ante el incumplimiento de una de las partes, por lo que entiendo que lo abusivo </w:t>
      </w:r>
      <w:proofErr w:type="spellStart"/>
      <w:r w:rsidRPr="00554476">
        <w:rPr>
          <w:rFonts w:ascii="Arial" w:eastAsia="Calibri" w:hAnsi="Arial" w:cs="Arial"/>
          <w:i/>
          <w:sz w:val="20"/>
          <w:szCs w:val="20"/>
        </w:rPr>
        <w:t>sera</w:t>
      </w:r>
      <w:proofErr w:type="spellEnd"/>
      <w:r w:rsidRPr="00554476">
        <w:rPr>
          <w:rFonts w:ascii="Arial" w:eastAsia="Calibri" w:hAnsi="Arial" w:cs="Arial"/>
          <w:i/>
          <w:sz w:val="20"/>
          <w:szCs w:val="20"/>
        </w:rPr>
        <w:t xml:space="preserve"> el ejercicio de dicha facultad, que no la facultad en </w:t>
      </w:r>
      <w:proofErr w:type="spellStart"/>
      <w:r w:rsidRPr="00554476">
        <w:rPr>
          <w:rFonts w:ascii="Arial" w:eastAsia="Calibri" w:hAnsi="Arial" w:cs="Arial"/>
          <w:i/>
          <w:sz w:val="20"/>
          <w:szCs w:val="20"/>
        </w:rPr>
        <w:t>si</w:t>
      </w:r>
      <w:proofErr w:type="spellEnd"/>
      <w:r w:rsidRPr="00554476">
        <w:rPr>
          <w:rFonts w:ascii="Arial" w:eastAsia="Calibri" w:hAnsi="Arial" w:cs="Arial"/>
          <w:i/>
          <w:sz w:val="20"/>
          <w:szCs w:val="20"/>
        </w:rPr>
        <w:t xml:space="preserve"> misma..” </w:t>
      </w:r>
    </w:p>
    <w:p w14:paraId="3235964F" w14:textId="77777777" w:rsidR="00115790" w:rsidRPr="00554476" w:rsidRDefault="00115790" w:rsidP="00554476">
      <w:pPr>
        <w:spacing w:after="0" w:line="360" w:lineRule="auto"/>
        <w:ind w:left="567"/>
        <w:jc w:val="both"/>
        <w:rPr>
          <w:rFonts w:ascii="Arial" w:eastAsia="Calibri" w:hAnsi="Arial" w:cs="Arial"/>
          <w:i/>
          <w:sz w:val="20"/>
          <w:szCs w:val="20"/>
        </w:rPr>
      </w:pPr>
    </w:p>
    <w:p w14:paraId="4CD42672"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Por lo tanto, en el momento de redactar la mencionada clausula, esta no era contraria a norma alguna.</w:t>
      </w:r>
    </w:p>
    <w:p w14:paraId="01D3C3C7" w14:textId="77777777" w:rsidR="00115790" w:rsidRPr="00554476" w:rsidRDefault="00115790" w:rsidP="00554476">
      <w:pPr>
        <w:spacing w:after="0" w:line="360" w:lineRule="auto"/>
        <w:jc w:val="both"/>
        <w:rPr>
          <w:rFonts w:ascii="Arial" w:eastAsia="Calibri" w:hAnsi="Arial" w:cs="Arial"/>
          <w:sz w:val="20"/>
          <w:szCs w:val="20"/>
        </w:rPr>
      </w:pPr>
    </w:p>
    <w:p w14:paraId="340A4D09"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En relación con lo anteriormente mencionado cabe dictar la </w:t>
      </w:r>
      <w:r w:rsidRPr="00554476">
        <w:rPr>
          <w:rFonts w:ascii="Arial" w:eastAsia="Calibri" w:hAnsi="Arial" w:cs="Arial"/>
          <w:b/>
          <w:bCs/>
          <w:sz w:val="20"/>
          <w:szCs w:val="20"/>
          <w:u w:val="single"/>
          <w:lang w:val="es-ES_tradnl"/>
        </w:rPr>
        <w:t xml:space="preserve">Sentencia </w:t>
      </w:r>
      <w:r w:rsidRPr="00554476">
        <w:rPr>
          <w:rFonts w:ascii="Arial" w:eastAsia="Calibri" w:hAnsi="Arial" w:cs="Arial"/>
          <w:b/>
          <w:sz w:val="20"/>
          <w:szCs w:val="20"/>
          <w:u w:val="single"/>
          <w:lang w:val="es-ES_tradnl"/>
        </w:rPr>
        <w:t>nº 751/2018 del Juzgado de Primera Instancia nº25 bis de Valencia de fecha 28 de marzo de 2018</w:t>
      </w:r>
      <w:r w:rsidRPr="00554476">
        <w:rPr>
          <w:rFonts w:ascii="Arial" w:eastAsia="Calibri" w:hAnsi="Arial" w:cs="Arial"/>
          <w:sz w:val="20"/>
          <w:szCs w:val="20"/>
          <w:lang w:val="es-ES_tradnl"/>
        </w:rPr>
        <w:t>, mediante la cual desestima el motivo de nulidad de la cláusula de vencimiento anticipado:</w:t>
      </w:r>
    </w:p>
    <w:p w14:paraId="0A3A1E67" w14:textId="77777777" w:rsidR="00115790" w:rsidRPr="00554476" w:rsidRDefault="00115790" w:rsidP="00554476">
      <w:pPr>
        <w:spacing w:after="0" w:line="360" w:lineRule="auto"/>
        <w:jc w:val="both"/>
        <w:rPr>
          <w:rFonts w:ascii="Arial" w:eastAsia="Calibri" w:hAnsi="Arial" w:cs="Arial"/>
          <w:sz w:val="20"/>
          <w:szCs w:val="20"/>
        </w:rPr>
      </w:pPr>
    </w:p>
    <w:p w14:paraId="72AD0E83" w14:textId="77777777" w:rsidR="00115790" w:rsidRPr="00554476" w:rsidRDefault="00115790" w:rsidP="00554476">
      <w:pPr>
        <w:spacing w:after="0" w:line="360" w:lineRule="auto"/>
        <w:ind w:left="426"/>
        <w:jc w:val="both"/>
        <w:rPr>
          <w:rFonts w:ascii="Arial" w:eastAsia="Calibri" w:hAnsi="Arial" w:cs="Arial"/>
          <w:i/>
          <w:sz w:val="20"/>
          <w:szCs w:val="20"/>
        </w:rPr>
      </w:pPr>
      <w:r w:rsidRPr="00554476">
        <w:rPr>
          <w:rFonts w:ascii="Arial" w:eastAsia="Calibri" w:hAnsi="Arial" w:cs="Arial"/>
          <w:i/>
          <w:sz w:val="20"/>
          <w:szCs w:val="20"/>
        </w:rPr>
        <w:t xml:space="preserve">“La demandada, respecto de la cláusula de vencimiento anticipado, alega que no cabe realizar respecto de ella un control de </w:t>
      </w:r>
      <w:proofErr w:type="spellStart"/>
      <w:r w:rsidRPr="00554476">
        <w:rPr>
          <w:rFonts w:ascii="Arial" w:eastAsia="Calibri" w:hAnsi="Arial" w:cs="Arial"/>
          <w:i/>
          <w:sz w:val="20"/>
          <w:szCs w:val="20"/>
        </w:rPr>
        <w:t>abusividad</w:t>
      </w:r>
      <w:proofErr w:type="spellEnd"/>
      <w:r w:rsidRPr="00554476">
        <w:rPr>
          <w:rFonts w:ascii="Arial" w:eastAsia="Calibri" w:hAnsi="Arial" w:cs="Arial"/>
          <w:i/>
          <w:sz w:val="20"/>
          <w:szCs w:val="20"/>
        </w:rPr>
        <w:t xml:space="preserve"> en abstracto, dado que no se ha aplicado por el prestamista. Pero ello no es óbice para declarar la nulidad pretendida en la demandada.”</w:t>
      </w:r>
    </w:p>
    <w:p w14:paraId="7412A129" w14:textId="77777777" w:rsidR="00115790" w:rsidRPr="00554476" w:rsidRDefault="00115790" w:rsidP="00554476">
      <w:pPr>
        <w:spacing w:after="0" w:line="360" w:lineRule="auto"/>
        <w:ind w:left="426"/>
        <w:jc w:val="both"/>
        <w:rPr>
          <w:rFonts w:ascii="Arial" w:eastAsia="Calibri" w:hAnsi="Arial" w:cs="Arial"/>
          <w:sz w:val="20"/>
          <w:szCs w:val="20"/>
        </w:rPr>
      </w:pPr>
    </w:p>
    <w:p w14:paraId="09BD9F8E" w14:textId="77777777" w:rsidR="00115790" w:rsidRPr="00554476" w:rsidRDefault="00115790" w:rsidP="00554476">
      <w:pPr>
        <w:spacing w:after="0" w:line="360" w:lineRule="auto"/>
        <w:ind w:left="426"/>
        <w:jc w:val="both"/>
        <w:rPr>
          <w:rFonts w:ascii="Arial" w:eastAsia="Calibri" w:hAnsi="Arial" w:cs="Arial"/>
          <w:sz w:val="20"/>
          <w:szCs w:val="20"/>
          <w:lang w:val="es-ES_tradnl"/>
        </w:rPr>
      </w:pPr>
      <w:r w:rsidRPr="00554476">
        <w:rPr>
          <w:rFonts w:ascii="Arial" w:eastAsia="Calibri" w:hAnsi="Arial" w:cs="Arial"/>
          <w:sz w:val="20"/>
          <w:szCs w:val="20"/>
          <w:lang w:val="es-ES_tradnl"/>
        </w:rPr>
        <w:t>Seguimos, asimismo debe tenerse en consideración la Conclusión número 7 de las Jornadas de Jueces y Magistrados del Tribunal Supremo, Tribunales Superiores de Justicia y Audiencias Provinciales sobre las repercusiones de la doctrina del Tribunal de Justicia de la Unión Europea en materia de cláusulas abusivas en los procedimientos de ejecución hipotecaria, celebradas en Madrid, 8 de mayo de 2013:</w:t>
      </w:r>
    </w:p>
    <w:p w14:paraId="4A9EAF3A" w14:textId="77777777" w:rsidR="00115790" w:rsidRPr="00554476" w:rsidRDefault="00115790" w:rsidP="00554476">
      <w:pPr>
        <w:spacing w:after="0" w:line="360" w:lineRule="auto"/>
        <w:ind w:left="426"/>
        <w:jc w:val="both"/>
        <w:rPr>
          <w:rFonts w:ascii="Arial" w:eastAsia="Calibri" w:hAnsi="Arial" w:cs="Arial"/>
          <w:sz w:val="20"/>
          <w:szCs w:val="20"/>
        </w:rPr>
      </w:pPr>
    </w:p>
    <w:p w14:paraId="44B51717" w14:textId="77777777" w:rsidR="00115790" w:rsidRPr="00554476" w:rsidRDefault="00115790" w:rsidP="00554476">
      <w:pPr>
        <w:spacing w:after="0" w:line="360" w:lineRule="auto"/>
        <w:ind w:left="426"/>
        <w:jc w:val="both"/>
        <w:rPr>
          <w:rFonts w:ascii="Arial" w:eastAsia="Calibri" w:hAnsi="Arial" w:cs="Arial"/>
          <w:i/>
          <w:sz w:val="20"/>
          <w:szCs w:val="20"/>
        </w:rPr>
      </w:pPr>
      <w:r w:rsidRPr="00554476">
        <w:rPr>
          <w:rFonts w:ascii="Arial" w:eastAsia="Calibri" w:hAnsi="Arial" w:cs="Arial"/>
          <w:i/>
          <w:sz w:val="20"/>
          <w:szCs w:val="20"/>
        </w:rPr>
        <w:t>“El posible carácter abusivo de la cláusula en abstracto no generará por sí la nulidad de dicha cláusula sino que deberá valorarse según las circunstancias del caso. En concreto, aunque se prevea el vencimiento anticipado por un único incumplimiento, si la reclamación se interpone cuando se haya producido el incumplimiento en los términos previstos en el artículo 693 de la LEC según el texto de la proposición de ley, no se apreciará el carácter abusivo de la cláusula.”</w:t>
      </w:r>
    </w:p>
    <w:p w14:paraId="7243B115" w14:textId="77777777" w:rsidR="00115790" w:rsidRPr="00554476" w:rsidRDefault="00115790" w:rsidP="00554476">
      <w:pPr>
        <w:spacing w:after="0" w:line="360" w:lineRule="auto"/>
        <w:jc w:val="both"/>
        <w:rPr>
          <w:rFonts w:ascii="Arial" w:eastAsia="Calibri" w:hAnsi="Arial" w:cs="Arial"/>
          <w:sz w:val="20"/>
          <w:szCs w:val="20"/>
        </w:rPr>
      </w:pPr>
    </w:p>
    <w:p w14:paraId="29ED69C4" w14:textId="77777777" w:rsidR="00115790" w:rsidRPr="00554476" w:rsidRDefault="00115790" w:rsidP="00554476">
      <w:p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lastRenderedPageBreak/>
        <w:t xml:space="preserve">Es decir, a la hora de valorar la </w:t>
      </w:r>
      <w:proofErr w:type="spellStart"/>
      <w:r w:rsidRPr="00554476">
        <w:rPr>
          <w:rFonts w:ascii="Arial" w:eastAsia="Calibri" w:hAnsi="Arial" w:cs="Arial"/>
          <w:sz w:val="20"/>
          <w:szCs w:val="20"/>
          <w:lang w:val="es-ES_tradnl"/>
        </w:rPr>
        <w:t>abusividad</w:t>
      </w:r>
      <w:proofErr w:type="spellEnd"/>
      <w:r w:rsidRPr="00554476">
        <w:rPr>
          <w:rFonts w:ascii="Arial" w:eastAsia="Calibri" w:hAnsi="Arial" w:cs="Arial"/>
          <w:sz w:val="20"/>
          <w:szCs w:val="20"/>
          <w:lang w:val="es-ES_tradnl"/>
        </w:rPr>
        <w:t xml:space="preserve"> o no de esta cláusula deberemos estar al caso concreto y a las circunstancias en las que de forma efectiva y real la entidad bancaria haya procedido a dar por vencido el contrato de forma anticipada, lo que no hace en ningún momento la demanda que se limita a decir que esta cláusula es abusiva, lo que resulta cuanto menos un débil argumento.</w:t>
      </w:r>
    </w:p>
    <w:p w14:paraId="13FF56DA" w14:textId="77777777" w:rsidR="00115790" w:rsidRPr="00554476" w:rsidRDefault="00115790" w:rsidP="00554476">
      <w:pPr>
        <w:spacing w:after="0" w:line="360" w:lineRule="auto"/>
        <w:jc w:val="both"/>
        <w:rPr>
          <w:rFonts w:ascii="Arial" w:eastAsia="Calibri" w:hAnsi="Arial" w:cs="Arial"/>
          <w:sz w:val="20"/>
          <w:szCs w:val="20"/>
        </w:rPr>
      </w:pPr>
    </w:p>
    <w:p w14:paraId="45B3AA15" w14:textId="26108F0E" w:rsidR="00115790"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A este respecto, debemos destacar igualmente que la </w:t>
      </w:r>
      <w:r w:rsidRPr="00554476">
        <w:rPr>
          <w:rFonts w:ascii="Arial" w:eastAsia="Calibri" w:hAnsi="Arial" w:cs="Arial"/>
          <w:b/>
          <w:bCs/>
          <w:sz w:val="20"/>
          <w:szCs w:val="20"/>
          <w:u w:val="single"/>
        </w:rPr>
        <w:t>Sentencia del Tribunal de Justicia de la Unión Europea de 14 de marzo de 2013</w:t>
      </w:r>
      <w:r w:rsidRPr="00554476">
        <w:rPr>
          <w:rFonts w:ascii="Arial" w:eastAsia="Calibri" w:hAnsi="Arial" w:cs="Arial"/>
          <w:bCs/>
          <w:sz w:val="20"/>
          <w:szCs w:val="20"/>
        </w:rPr>
        <w:t xml:space="preserve"> (fundamento 73 de la misma) considera que </w:t>
      </w:r>
      <w:r w:rsidRPr="00554476">
        <w:rPr>
          <w:rFonts w:ascii="Arial" w:eastAsia="Calibri" w:hAnsi="Arial" w:cs="Arial"/>
          <w:b/>
          <w:bCs/>
          <w:sz w:val="20"/>
          <w:szCs w:val="20"/>
        </w:rPr>
        <w:t xml:space="preserve">el Juez nacional debe analizar </w:t>
      </w:r>
      <w:r w:rsidRPr="00554476">
        <w:rPr>
          <w:rFonts w:ascii="Arial" w:eastAsia="Calibri" w:hAnsi="Arial" w:cs="Arial"/>
          <w:bCs/>
          <w:sz w:val="20"/>
          <w:szCs w:val="20"/>
        </w:rPr>
        <w:t xml:space="preserve">la </w:t>
      </w:r>
      <w:proofErr w:type="spellStart"/>
      <w:r w:rsidRPr="00554476">
        <w:rPr>
          <w:rFonts w:ascii="Arial" w:eastAsia="Calibri" w:hAnsi="Arial" w:cs="Arial"/>
          <w:bCs/>
          <w:sz w:val="20"/>
          <w:szCs w:val="20"/>
        </w:rPr>
        <w:t>abusividad</w:t>
      </w:r>
      <w:proofErr w:type="spellEnd"/>
      <w:r w:rsidRPr="00554476">
        <w:rPr>
          <w:rFonts w:ascii="Arial" w:eastAsia="Calibri" w:hAnsi="Arial" w:cs="Arial"/>
          <w:bCs/>
          <w:sz w:val="20"/>
          <w:szCs w:val="20"/>
        </w:rPr>
        <w:t xml:space="preserve"> o no de dicha cláusula bajo las siguientes premisas:</w:t>
      </w:r>
    </w:p>
    <w:p w14:paraId="644CD092" w14:textId="77777777" w:rsidR="00164DD0" w:rsidRPr="00554476" w:rsidRDefault="00164DD0" w:rsidP="00554476">
      <w:pPr>
        <w:spacing w:after="0" w:line="360" w:lineRule="auto"/>
        <w:jc w:val="both"/>
        <w:rPr>
          <w:rFonts w:ascii="Arial" w:eastAsia="Calibri" w:hAnsi="Arial" w:cs="Arial"/>
          <w:bCs/>
          <w:sz w:val="20"/>
          <w:szCs w:val="20"/>
        </w:rPr>
      </w:pPr>
    </w:p>
    <w:p w14:paraId="1890CD02" w14:textId="77777777" w:rsidR="00115790" w:rsidRPr="00554476" w:rsidRDefault="00115790" w:rsidP="001618DF">
      <w:pPr>
        <w:numPr>
          <w:ilvl w:val="0"/>
          <w:numId w:val="7"/>
        </w:numPr>
        <w:spacing w:after="0" w:line="360" w:lineRule="auto"/>
        <w:jc w:val="both"/>
        <w:rPr>
          <w:rFonts w:ascii="Arial" w:eastAsia="Calibri" w:hAnsi="Arial" w:cs="Arial"/>
          <w:bCs/>
          <w:sz w:val="20"/>
          <w:szCs w:val="20"/>
        </w:rPr>
      </w:pPr>
      <w:r w:rsidRPr="00554476">
        <w:rPr>
          <w:rFonts w:ascii="Arial" w:eastAsia="Calibri" w:hAnsi="Arial" w:cs="Arial"/>
          <w:b/>
          <w:bCs/>
          <w:sz w:val="20"/>
          <w:szCs w:val="20"/>
        </w:rPr>
        <w:t>Si el incumplimiento</w:t>
      </w:r>
      <w:r w:rsidRPr="00554476">
        <w:rPr>
          <w:rFonts w:ascii="Arial" w:eastAsia="Calibri" w:hAnsi="Arial" w:cs="Arial"/>
          <w:bCs/>
          <w:sz w:val="20"/>
          <w:szCs w:val="20"/>
        </w:rPr>
        <w:t xml:space="preserve"> de la obligación </w:t>
      </w:r>
      <w:r w:rsidRPr="00554476">
        <w:rPr>
          <w:rFonts w:ascii="Arial" w:eastAsia="Calibri" w:hAnsi="Arial" w:cs="Arial"/>
          <w:b/>
          <w:bCs/>
          <w:sz w:val="20"/>
          <w:szCs w:val="20"/>
        </w:rPr>
        <w:t>reviste carácter esencial</w:t>
      </w:r>
      <w:r w:rsidRPr="00554476">
        <w:rPr>
          <w:rFonts w:ascii="Arial" w:eastAsia="Calibri" w:hAnsi="Arial" w:cs="Arial"/>
          <w:bCs/>
          <w:sz w:val="20"/>
          <w:szCs w:val="20"/>
        </w:rPr>
        <w:t xml:space="preserve"> en el marco de la relación contractual.</w:t>
      </w:r>
    </w:p>
    <w:p w14:paraId="0615965A" w14:textId="77777777" w:rsidR="00115790" w:rsidRPr="00554476" w:rsidRDefault="00115790" w:rsidP="001618DF">
      <w:pPr>
        <w:numPr>
          <w:ilvl w:val="0"/>
          <w:numId w:val="7"/>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Si dicha facultad está prevista para los casos en los que </w:t>
      </w:r>
      <w:r w:rsidRPr="00554476">
        <w:rPr>
          <w:rFonts w:ascii="Arial" w:eastAsia="Calibri" w:hAnsi="Arial" w:cs="Arial"/>
          <w:b/>
          <w:bCs/>
          <w:sz w:val="20"/>
          <w:szCs w:val="20"/>
        </w:rPr>
        <w:t xml:space="preserve">el incumplimiento tiene carácter suficientemente grave </w:t>
      </w:r>
      <w:r w:rsidRPr="00554476">
        <w:rPr>
          <w:rFonts w:ascii="Arial" w:eastAsia="Calibri" w:hAnsi="Arial" w:cs="Arial"/>
          <w:bCs/>
          <w:sz w:val="20"/>
          <w:szCs w:val="20"/>
        </w:rPr>
        <w:t>con respecto a la duración y la cuantía del préstamo.</w:t>
      </w:r>
    </w:p>
    <w:p w14:paraId="0535BF42" w14:textId="77777777" w:rsidR="00115790" w:rsidRPr="00554476" w:rsidRDefault="00115790" w:rsidP="001618DF">
      <w:pPr>
        <w:numPr>
          <w:ilvl w:val="0"/>
          <w:numId w:val="7"/>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Si dicha facultad constituye una excepción con respecto a las normas aplicables a la materia.</w:t>
      </w:r>
    </w:p>
    <w:p w14:paraId="79F7022B" w14:textId="77777777" w:rsidR="00115790" w:rsidRPr="00554476" w:rsidRDefault="00115790" w:rsidP="001618DF">
      <w:pPr>
        <w:numPr>
          <w:ilvl w:val="0"/>
          <w:numId w:val="7"/>
        </w:numPr>
        <w:spacing w:after="0" w:line="360" w:lineRule="auto"/>
        <w:jc w:val="both"/>
        <w:rPr>
          <w:rFonts w:ascii="Arial" w:eastAsia="Calibri" w:hAnsi="Arial" w:cs="Arial"/>
          <w:bCs/>
          <w:sz w:val="20"/>
          <w:szCs w:val="20"/>
        </w:rPr>
      </w:pPr>
      <w:r w:rsidRPr="00554476">
        <w:rPr>
          <w:rFonts w:ascii="Arial" w:eastAsia="Calibri" w:hAnsi="Arial" w:cs="Arial"/>
          <w:b/>
          <w:bCs/>
          <w:sz w:val="20"/>
          <w:szCs w:val="20"/>
        </w:rPr>
        <w:t>Si el Derecho nacional prevé medios adecuados y eficaces</w:t>
      </w:r>
      <w:r w:rsidRPr="00554476">
        <w:rPr>
          <w:rFonts w:ascii="Arial" w:eastAsia="Calibri" w:hAnsi="Arial" w:cs="Arial"/>
          <w:bCs/>
          <w:sz w:val="20"/>
          <w:szCs w:val="20"/>
        </w:rPr>
        <w:t xml:space="preserve"> que permitan al consumidor sujeto a la aplicación de esta cláusula </w:t>
      </w:r>
      <w:r w:rsidRPr="00554476">
        <w:rPr>
          <w:rFonts w:ascii="Arial" w:eastAsia="Calibri" w:hAnsi="Arial" w:cs="Arial"/>
          <w:b/>
          <w:bCs/>
          <w:sz w:val="20"/>
          <w:szCs w:val="20"/>
        </w:rPr>
        <w:t>poner remedio a los efectos del vencimiento</w:t>
      </w:r>
      <w:r w:rsidRPr="00554476">
        <w:rPr>
          <w:rFonts w:ascii="Arial" w:eastAsia="Calibri" w:hAnsi="Arial" w:cs="Arial"/>
          <w:bCs/>
          <w:sz w:val="20"/>
          <w:szCs w:val="20"/>
        </w:rPr>
        <w:t xml:space="preserve"> anticipado del préstamo.</w:t>
      </w:r>
    </w:p>
    <w:p w14:paraId="022DA0B4" w14:textId="77777777" w:rsidR="00164DD0" w:rsidRDefault="00164DD0" w:rsidP="00554476">
      <w:pPr>
        <w:spacing w:after="0" w:line="360" w:lineRule="auto"/>
        <w:jc w:val="both"/>
        <w:rPr>
          <w:rFonts w:ascii="Arial" w:eastAsia="Calibri" w:hAnsi="Arial" w:cs="Arial"/>
          <w:bCs/>
          <w:sz w:val="20"/>
          <w:szCs w:val="20"/>
        </w:rPr>
      </w:pPr>
    </w:p>
    <w:p w14:paraId="141B187F" w14:textId="2797B5FE"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Vistos tales criterios de la jurisprudencia europea, no cabe duda alguna que la estipulación impugnada en este caso no tiene el carácter de abusiva, porque la misma, por una parte, cumple con las cuatro premisas que la Sentencia antes citada establece para que el Juez nacional realice el control de la </w:t>
      </w:r>
      <w:proofErr w:type="spellStart"/>
      <w:r w:rsidRPr="00554476">
        <w:rPr>
          <w:rFonts w:ascii="Arial" w:eastAsia="Calibri" w:hAnsi="Arial" w:cs="Arial"/>
          <w:bCs/>
          <w:sz w:val="20"/>
          <w:szCs w:val="20"/>
        </w:rPr>
        <w:t>abusividad</w:t>
      </w:r>
      <w:proofErr w:type="spellEnd"/>
      <w:r w:rsidRPr="00554476">
        <w:rPr>
          <w:rFonts w:ascii="Arial" w:eastAsia="Calibri" w:hAnsi="Arial" w:cs="Arial"/>
          <w:bCs/>
          <w:sz w:val="20"/>
          <w:szCs w:val="20"/>
        </w:rPr>
        <w:t>; por otra, estamos ante una estipulación que tiene fundamento legal y refrendo por la doctrina jurisprudencial establecida por los tribunales españoles; y, por otra parte, se trata de una cláusula especialmente sometida al control de legalidad.</w:t>
      </w:r>
    </w:p>
    <w:p w14:paraId="6E8770C3" w14:textId="77777777" w:rsidR="00115790" w:rsidRPr="00554476" w:rsidRDefault="00115790" w:rsidP="00554476">
      <w:pPr>
        <w:spacing w:after="0" w:line="360" w:lineRule="auto"/>
        <w:jc w:val="both"/>
        <w:rPr>
          <w:rFonts w:ascii="Arial" w:eastAsia="Calibri" w:hAnsi="Arial" w:cs="Arial"/>
          <w:bCs/>
          <w:sz w:val="20"/>
          <w:szCs w:val="20"/>
        </w:rPr>
      </w:pPr>
    </w:p>
    <w:p w14:paraId="5CFDE49F" w14:textId="77777777" w:rsidR="00115790" w:rsidRPr="00554476" w:rsidRDefault="00115790" w:rsidP="00554476">
      <w:pPr>
        <w:spacing w:after="0" w:line="360" w:lineRule="auto"/>
        <w:jc w:val="both"/>
        <w:rPr>
          <w:rFonts w:ascii="Arial" w:eastAsia="Calibri" w:hAnsi="Arial" w:cs="Arial"/>
          <w:b/>
          <w:bCs/>
          <w:sz w:val="20"/>
          <w:szCs w:val="20"/>
        </w:rPr>
      </w:pPr>
      <w:r w:rsidRPr="00554476">
        <w:rPr>
          <w:rFonts w:ascii="Arial" w:eastAsia="Calibri" w:hAnsi="Arial" w:cs="Arial"/>
          <w:bCs/>
          <w:sz w:val="20"/>
          <w:szCs w:val="20"/>
        </w:rPr>
        <w:t xml:space="preserve">En efecto, el contrato de préstamo hipotecario </w:t>
      </w:r>
      <w:r w:rsidRPr="00554476">
        <w:rPr>
          <w:rFonts w:ascii="Arial" w:eastAsia="Calibri" w:hAnsi="Arial" w:cs="Arial"/>
          <w:b/>
          <w:bCs/>
          <w:sz w:val="20"/>
          <w:szCs w:val="20"/>
        </w:rPr>
        <w:t>es un negocio de naturaleza real</w:t>
      </w:r>
      <w:r w:rsidRPr="00554476">
        <w:rPr>
          <w:rFonts w:ascii="Arial" w:eastAsia="Calibri" w:hAnsi="Arial" w:cs="Arial"/>
          <w:bCs/>
          <w:sz w:val="20"/>
          <w:szCs w:val="20"/>
        </w:rPr>
        <w:t xml:space="preserve">, que se perfecciona con la entrega de la cuantía prestada. </w:t>
      </w:r>
      <w:r w:rsidRPr="00554476">
        <w:rPr>
          <w:rFonts w:ascii="Arial" w:eastAsia="Calibri" w:hAnsi="Arial" w:cs="Arial"/>
          <w:b/>
          <w:bCs/>
          <w:sz w:val="20"/>
          <w:szCs w:val="20"/>
        </w:rPr>
        <w:t>Por ello, una vez abonado su importe al prestatario, la parte prestamista ha cumplido prácticamente la totalidad de sus obligaciones.</w:t>
      </w:r>
    </w:p>
    <w:p w14:paraId="1338844D" w14:textId="77777777" w:rsidR="00115790" w:rsidRPr="00554476" w:rsidRDefault="00115790" w:rsidP="00554476">
      <w:pPr>
        <w:spacing w:after="0" w:line="360" w:lineRule="auto"/>
        <w:jc w:val="both"/>
        <w:rPr>
          <w:rFonts w:ascii="Arial" w:eastAsia="Calibri" w:hAnsi="Arial" w:cs="Arial"/>
          <w:b/>
          <w:bCs/>
          <w:sz w:val="20"/>
          <w:szCs w:val="20"/>
        </w:rPr>
      </w:pPr>
    </w:p>
    <w:p w14:paraId="7A383DF5"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A partir de dicho momento, los sustanciales deberes del contrato lo son o se entienden ya en lo ulterior a cargo de la parte prestataria, siendo la más importante la del pago o devolución de las cantidades prestadas, en los términos y condiciones pactados. Pero también la del cumplimiento de otras obligaciones accesorias pero de entidad suficiente como para que, en caso de incumplimiento, menoscaben la garantía real inherente a la hipoteca, como ocurre en todos los supuestos regulados en la cláusula aquí impugnada, aunque ya hemos visto que la Demanda se refiere sólo al impago de cuotas.</w:t>
      </w:r>
    </w:p>
    <w:p w14:paraId="5AADE4DA" w14:textId="77777777" w:rsidR="00115790" w:rsidRPr="00554476" w:rsidRDefault="00115790" w:rsidP="00554476">
      <w:pPr>
        <w:spacing w:after="0" w:line="360" w:lineRule="auto"/>
        <w:jc w:val="both"/>
        <w:rPr>
          <w:rFonts w:ascii="Arial" w:eastAsia="Calibri" w:hAnsi="Arial" w:cs="Arial"/>
          <w:bCs/>
          <w:sz w:val="20"/>
          <w:szCs w:val="20"/>
        </w:rPr>
      </w:pPr>
    </w:p>
    <w:p w14:paraId="5C315AFB"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lastRenderedPageBreak/>
        <w:t xml:space="preserve">Por tanto, </w:t>
      </w:r>
      <w:r w:rsidRPr="00554476">
        <w:rPr>
          <w:rFonts w:ascii="Arial" w:eastAsia="Calibri" w:hAnsi="Arial" w:cs="Arial"/>
          <w:b/>
          <w:bCs/>
          <w:sz w:val="20"/>
          <w:szCs w:val="20"/>
        </w:rPr>
        <w:t xml:space="preserve">el impago de las cuotas del préstamo constituye o reviste, sin lugar a duda, el incumplimiento más esencial de las obligaciones a cargo de la parte prestataria </w:t>
      </w:r>
      <w:r w:rsidRPr="00554476">
        <w:rPr>
          <w:rFonts w:ascii="Arial" w:eastAsia="Calibri" w:hAnsi="Arial" w:cs="Arial"/>
          <w:bCs/>
          <w:sz w:val="20"/>
          <w:szCs w:val="20"/>
        </w:rPr>
        <w:t>del contrato que trae causa, que no es otro que la devolución del importe prestado, resultando razonable en términos jurídicos, contractuales y económicos, que se establezca una cláusula o estipulación de vencimiento anticipado si concurre tal circunstancia.</w:t>
      </w:r>
    </w:p>
    <w:p w14:paraId="6C7C3C94" w14:textId="77777777" w:rsidR="00115790" w:rsidRPr="00554476" w:rsidRDefault="00115790" w:rsidP="00554476">
      <w:pPr>
        <w:spacing w:after="0" w:line="360" w:lineRule="auto"/>
        <w:jc w:val="both"/>
        <w:rPr>
          <w:rFonts w:ascii="Arial" w:eastAsia="Calibri" w:hAnsi="Arial" w:cs="Arial"/>
          <w:bCs/>
          <w:sz w:val="20"/>
          <w:szCs w:val="20"/>
        </w:rPr>
      </w:pPr>
    </w:p>
    <w:p w14:paraId="752CDB18"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La gravedad del incumplimiento generador del vencimiento anticipado, es una cuestión a analizar por el Juez nacional, como posteriormente abundaremos, </w:t>
      </w:r>
      <w:r w:rsidRPr="00554476">
        <w:rPr>
          <w:rFonts w:ascii="Arial" w:eastAsia="Calibri" w:hAnsi="Arial" w:cs="Arial"/>
          <w:b/>
          <w:bCs/>
          <w:sz w:val="20"/>
          <w:szCs w:val="20"/>
        </w:rPr>
        <w:t xml:space="preserve">atendiendo a las circunstancias concurrentes </w:t>
      </w:r>
      <w:r w:rsidRPr="00554476">
        <w:rPr>
          <w:rFonts w:ascii="Arial" w:eastAsia="Calibri" w:hAnsi="Arial" w:cs="Arial"/>
          <w:bCs/>
          <w:sz w:val="20"/>
          <w:szCs w:val="20"/>
        </w:rPr>
        <w:t>en el supuesto enjuiciado. No cabe, por tanto, establecer, a priori, una gravedad abstracta de dicho incumplimiento, en este supuesto, del impago de las cuotas del préstamo.</w:t>
      </w:r>
    </w:p>
    <w:p w14:paraId="54DE261F" w14:textId="77777777" w:rsidR="00115790" w:rsidRPr="00554476" w:rsidRDefault="00115790" w:rsidP="00554476">
      <w:pPr>
        <w:spacing w:after="0" w:line="360" w:lineRule="auto"/>
        <w:jc w:val="both"/>
        <w:rPr>
          <w:rFonts w:ascii="Arial" w:eastAsia="Calibri" w:hAnsi="Arial" w:cs="Arial"/>
          <w:bCs/>
          <w:sz w:val="20"/>
          <w:szCs w:val="20"/>
        </w:rPr>
      </w:pPr>
    </w:p>
    <w:p w14:paraId="69695D95"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Esta cuestión entronca con el ejercicio abusivo de un derecho por una de las partes (el vencimiento anticipado de un contrato de larga duración), más que con la </w:t>
      </w:r>
      <w:proofErr w:type="spellStart"/>
      <w:r w:rsidRPr="00554476">
        <w:rPr>
          <w:rFonts w:ascii="Arial" w:eastAsia="Calibri" w:hAnsi="Arial" w:cs="Arial"/>
          <w:bCs/>
          <w:sz w:val="20"/>
          <w:szCs w:val="20"/>
        </w:rPr>
        <w:t>abusividad</w:t>
      </w:r>
      <w:proofErr w:type="spellEnd"/>
      <w:r w:rsidRPr="00554476">
        <w:rPr>
          <w:rFonts w:ascii="Arial" w:eastAsia="Calibri" w:hAnsi="Arial" w:cs="Arial"/>
          <w:bCs/>
          <w:sz w:val="20"/>
          <w:szCs w:val="20"/>
        </w:rPr>
        <w:t xml:space="preserve"> per sé, de la estipulación que regula su ejercicio.</w:t>
      </w:r>
    </w:p>
    <w:p w14:paraId="0A3813AB" w14:textId="77777777" w:rsidR="00115790" w:rsidRPr="00554476" w:rsidRDefault="00115790" w:rsidP="00554476">
      <w:pPr>
        <w:spacing w:after="0" w:line="360" w:lineRule="auto"/>
        <w:jc w:val="both"/>
        <w:rPr>
          <w:rFonts w:ascii="Arial" w:eastAsia="Calibri" w:hAnsi="Arial" w:cs="Arial"/>
          <w:bCs/>
          <w:sz w:val="20"/>
          <w:szCs w:val="20"/>
        </w:rPr>
      </w:pPr>
    </w:p>
    <w:p w14:paraId="2457483C"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
          <w:bCs/>
          <w:sz w:val="20"/>
          <w:szCs w:val="20"/>
        </w:rPr>
        <w:t>La facultad de la declaración de vencimiento anticipado constituye una excepción al normal desenvolvimiento del préstamo, ya que no existe interés alguno por la entidad de crédito en dar por concluido anticipadamente un contrato a largo plazo</w:t>
      </w:r>
      <w:r w:rsidRPr="00554476">
        <w:rPr>
          <w:rFonts w:ascii="Arial" w:eastAsia="Calibri" w:hAnsi="Arial" w:cs="Arial"/>
          <w:bCs/>
          <w:sz w:val="20"/>
          <w:szCs w:val="20"/>
        </w:rPr>
        <w:t>. Es constante y comúnmente aceptado y conocido que cualquier entidad de crédito admite la regularización de las cuotas impagadas de un préstamo hipotecario cuando existen visos de que el deudor pueda rehabilitar el préstamo de alguna forma.</w:t>
      </w:r>
    </w:p>
    <w:p w14:paraId="437AF9B7"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Precisamente, respecto al último inciso apuntado en el expositivo anterior, la Ley procesal previene “remedios” que confieren derechos directos al prestatario consumidor a fin de rehabilitar el préstamo, de obligada admisión para la parte prestamista, aún en el improbable supuesto de disconformidad por su parte.</w:t>
      </w:r>
    </w:p>
    <w:p w14:paraId="5FCACC1A" w14:textId="77777777" w:rsidR="00115790" w:rsidRPr="00554476" w:rsidRDefault="00115790" w:rsidP="00554476">
      <w:pPr>
        <w:spacing w:after="0" w:line="360" w:lineRule="auto"/>
        <w:jc w:val="both"/>
        <w:rPr>
          <w:rFonts w:ascii="Arial" w:eastAsia="Calibri" w:hAnsi="Arial" w:cs="Arial"/>
          <w:bCs/>
          <w:sz w:val="20"/>
          <w:szCs w:val="20"/>
        </w:rPr>
      </w:pPr>
    </w:p>
    <w:p w14:paraId="0204ED7F"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Así, el ordenamiento jurídico del Reino de España contempla medios adecuados y eficaces que permiten a un consumidor sujeto a la aplicación de esta cláusula poner remedio a los efectos del vencimiento anticipado del préstamo. Además de las razones de hecho antes expuestas, el </w:t>
      </w:r>
      <w:r w:rsidRPr="00554476">
        <w:rPr>
          <w:rFonts w:ascii="Arial" w:eastAsia="Calibri" w:hAnsi="Arial" w:cs="Arial"/>
          <w:b/>
          <w:bCs/>
          <w:sz w:val="20"/>
          <w:szCs w:val="20"/>
        </w:rPr>
        <w:t>artículo 693 de la Ley de Enjuiciamiento Civil</w:t>
      </w:r>
      <w:r w:rsidRPr="00554476">
        <w:rPr>
          <w:rFonts w:ascii="Arial" w:eastAsia="Calibri" w:hAnsi="Arial" w:cs="Arial"/>
          <w:bCs/>
          <w:sz w:val="20"/>
          <w:szCs w:val="20"/>
        </w:rPr>
        <w:t xml:space="preserve"> establece que </w:t>
      </w:r>
    </w:p>
    <w:p w14:paraId="1217D1C5" w14:textId="77777777" w:rsidR="00115790" w:rsidRPr="00554476" w:rsidRDefault="00115790" w:rsidP="00554476">
      <w:pPr>
        <w:spacing w:after="0" w:line="360" w:lineRule="auto"/>
        <w:jc w:val="both"/>
        <w:rPr>
          <w:rFonts w:ascii="Arial" w:eastAsia="Calibri" w:hAnsi="Arial" w:cs="Arial"/>
          <w:bCs/>
          <w:sz w:val="20"/>
          <w:szCs w:val="20"/>
        </w:rPr>
      </w:pPr>
    </w:p>
    <w:p w14:paraId="36D721A0" w14:textId="77777777" w:rsidR="00115790" w:rsidRPr="00554476" w:rsidRDefault="00115790" w:rsidP="00554476">
      <w:pPr>
        <w:spacing w:after="0" w:line="360" w:lineRule="auto"/>
        <w:ind w:left="567"/>
        <w:jc w:val="both"/>
        <w:rPr>
          <w:rFonts w:ascii="Arial" w:eastAsia="Calibri" w:hAnsi="Arial" w:cs="Arial"/>
          <w:bCs/>
          <w:i/>
          <w:sz w:val="20"/>
          <w:szCs w:val="20"/>
        </w:rPr>
      </w:pPr>
      <w:r w:rsidRPr="00554476">
        <w:rPr>
          <w:rFonts w:ascii="Arial" w:eastAsia="Calibri" w:hAnsi="Arial" w:cs="Arial"/>
          <w:bCs/>
          <w:i/>
          <w:sz w:val="20"/>
          <w:szCs w:val="20"/>
        </w:rPr>
        <w:t>“Si el bien hipotecado fuese la vivienda familiar, el deudor podrá, aun sin el consentimiento del acreedor, liberar el bien mediante la consignación de las cantidades expresadas en el párrafo anterior.</w:t>
      </w:r>
    </w:p>
    <w:p w14:paraId="7631C44C" w14:textId="77777777" w:rsidR="00115790" w:rsidRPr="00554476" w:rsidRDefault="00115790" w:rsidP="00554476">
      <w:pPr>
        <w:spacing w:after="0" w:line="360" w:lineRule="auto"/>
        <w:ind w:left="567"/>
        <w:jc w:val="both"/>
        <w:rPr>
          <w:rFonts w:ascii="Arial" w:eastAsia="Calibri" w:hAnsi="Arial" w:cs="Arial"/>
          <w:bCs/>
          <w:sz w:val="20"/>
          <w:szCs w:val="20"/>
        </w:rPr>
      </w:pPr>
    </w:p>
    <w:p w14:paraId="6E449B42" w14:textId="77777777" w:rsidR="00115790" w:rsidRPr="00554476" w:rsidRDefault="00115790" w:rsidP="00554476">
      <w:pPr>
        <w:spacing w:after="0" w:line="360" w:lineRule="auto"/>
        <w:ind w:left="567"/>
        <w:jc w:val="both"/>
        <w:rPr>
          <w:rFonts w:ascii="Arial" w:eastAsia="Calibri" w:hAnsi="Arial" w:cs="Arial"/>
          <w:bCs/>
          <w:i/>
          <w:sz w:val="20"/>
          <w:szCs w:val="20"/>
        </w:rPr>
      </w:pPr>
      <w:r w:rsidRPr="00554476">
        <w:rPr>
          <w:rFonts w:ascii="Arial" w:eastAsia="Calibri" w:hAnsi="Arial" w:cs="Arial"/>
          <w:bCs/>
          <w:i/>
          <w:sz w:val="20"/>
          <w:szCs w:val="20"/>
        </w:rPr>
        <w:t>Liberado un bien por primera vez, podrá liberarse en segunda o ulteriores ocasiones siempre que, al menos, medien tres años entre la fecha de la liberación y la del requerimiento de pago judicial o extrajudicial efectuada por el acreedor.</w:t>
      </w:r>
    </w:p>
    <w:p w14:paraId="5905125C" w14:textId="77777777" w:rsidR="00115790" w:rsidRPr="00554476" w:rsidRDefault="00115790" w:rsidP="00554476">
      <w:pPr>
        <w:spacing w:after="0" w:line="360" w:lineRule="auto"/>
        <w:ind w:left="567"/>
        <w:jc w:val="both"/>
        <w:rPr>
          <w:rFonts w:ascii="Arial" w:eastAsia="Calibri" w:hAnsi="Arial" w:cs="Arial"/>
          <w:bCs/>
          <w:i/>
          <w:sz w:val="20"/>
          <w:szCs w:val="20"/>
        </w:rPr>
      </w:pPr>
    </w:p>
    <w:p w14:paraId="329E361B" w14:textId="77777777" w:rsidR="00115790" w:rsidRPr="00554476" w:rsidRDefault="00115790" w:rsidP="00554476">
      <w:pPr>
        <w:spacing w:after="0" w:line="360" w:lineRule="auto"/>
        <w:ind w:left="567"/>
        <w:jc w:val="both"/>
        <w:rPr>
          <w:rFonts w:ascii="Arial" w:eastAsia="Calibri" w:hAnsi="Arial" w:cs="Arial"/>
          <w:bCs/>
          <w:i/>
          <w:sz w:val="20"/>
          <w:szCs w:val="20"/>
        </w:rPr>
      </w:pPr>
      <w:r w:rsidRPr="00554476">
        <w:rPr>
          <w:rFonts w:ascii="Arial" w:eastAsia="Calibri" w:hAnsi="Arial" w:cs="Arial"/>
          <w:bCs/>
          <w:i/>
          <w:sz w:val="20"/>
          <w:szCs w:val="20"/>
        </w:rPr>
        <w:lastRenderedPageBreak/>
        <w:t>Si el deudor efectuase el pago en las condiciones previstas en los apartados anteriores, se tasarán las costas, que se calcularán sobre la cuantía de las cuotas atrasadas abonadas e intereses vencidos, y, una vez satisfechas éstas, el Secretario judicial dictará decreto liberando el bien y declarando terminado el procedimiento. Lo mismo se acordará cuando el pago lo realice un tercero con el consentimiento del ejecutante”.</w:t>
      </w:r>
    </w:p>
    <w:p w14:paraId="7A8E65BF" w14:textId="77777777" w:rsidR="00115790" w:rsidRPr="00554476" w:rsidRDefault="00115790" w:rsidP="00554476">
      <w:pPr>
        <w:spacing w:after="0" w:line="360" w:lineRule="auto"/>
        <w:jc w:val="both"/>
        <w:rPr>
          <w:rFonts w:ascii="Arial" w:eastAsia="Calibri" w:hAnsi="Arial" w:cs="Arial"/>
          <w:bCs/>
          <w:i/>
          <w:sz w:val="20"/>
          <w:szCs w:val="20"/>
        </w:rPr>
      </w:pPr>
    </w:p>
    <w:p w14:paraId="43E25C94"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En el caso que nos ocupa nos encontramos ante una estipulación contractual que tiene fundamento legal y refrendo en la doctrina jurisprudencial.</w:t>
      </w:r>
    </w:p>
    <w:p w14:paraId="5E066DE9" w14:textId="77777777" w:rsidR="00115790" w:rsidRPr="00554476" w:rsidRDefault="00115790" w:rsidP="00554476">
      <w:pPr>
        <w:spacing w:after="0" w:line="360" w:lineRule="auto"/>
        <w:jc w:val="both"/>
        <w:rPr>
          <w:rFonts w:ascii="Arial" w:eastAsia="Calibri" w:hAnsi="Arial" w:cs="Arial"/>
          <w:bCs/>
          <w:sz w:val="20"/>
          <w:szCs w:val="20"/>
        </w:rPr>
      </w:pPr>
    </w:p>
    <w:p w14:paraId="37B35CCF"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La resolución contractual y las estipulaciones que la amparan encuentran su fundamento legal en distintas disposiciones. A considerar las siguientes.</w:t>
      </w:r>
    </w:p>
    <w:p w14:paraId="76FC50E1" w14:textId="77777777" w:rsidR="00115790" w:rsidRPr="00554476" w:rsidRDefault="00115790" w:rsidP="00554476">
      <w:pPr>
        <w:spacing w:after="0" w:line="360" w:lineRule="auto"/>
        <w:jc w:val="both"/>
        <w:rPr>
          <w:rFonts w:ascii="Arial" w:eastAsia="Calibri" w:hAnsi="Arial" w:cs="Arial"/>
          <w:bCs/>
          <w:sz w:val="20"/>
          <w:szCs w:val="20"/>
        </w:rPr>
      </w:pPr>
    </w:p>
    <w:p w14:paraId="48B7C638" w14:textId="77777777" w:rsidR="00115790" w:rsidRPr="00554476" w:rsidRDefault="00115790" w:rsidP="001618DF">
      <w:pPr>
        <w:numPr>
          <w:ilvl w:val="0"/>
          <w:numId w:val="8"/>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En el </w:t>
      </w:r>
      <w:r w:rsidRPr="00554476">
        <w:rPr>
          <w:rFonts w:ascii="Arial" w:eastAsia="Calibri" w:hAnsi="Arial" w:cs="Arial"/>
          <w:b/>
          <w:bCs/>
          <w:sz w:val="20"/>
          <w:szCs w:val="20"/>
        </w:rPr>
        <w:t>Código Civil, los artículos 1124, 1125, 1127, 1129, en relación con los artículos 1255 y 1256 de dicho cuerpo legal</w:t>
      </w:r>
      <w:r w:rsidRPr="00554476">
        <w:rPr>
          <w:rFonts w:ascii="Arial" w:eastAsia="Calibri" w:hAnsi="Arial" w:cs="Arial"/>
          <w:bCs/>
          <w:sz w:val="20"/>
          <w:szCs w:val="20"/>
        </w:rPr>
        <w:t>, cuya interpretación unánime es la de conferir validez a la repetida cláusula, unida a la facultad justificada de denuncia que se reserva la entidad de crédito (parte prestamista), en virtud de la alteración que supone en lo convenido que la otra parte no cumpla con su obligación.</w:t>
      </w:r>
    </w:p>
    <w:p w14:paraId="4D3C1D32" w14:textId="77777777" w:rsidR="00115790" w:rsidRPr="00554476" w:rsidRDefault="00115790" w:rsidP="00554476">
      <w:pPr>
        <w:spacing w:after="0" w:line="360" w:lineRule="auto"/>
        <w:ind w:left="720"/>
        <w:jc w:val="both"/>
        <w:rPr>
          <w:rFonts w:ascii="Arial" w:eastAsia="Calibri" w:hAnsi="Arial" w:cs="Arial"/>
          <w:bCs/>
          <w:sz w:val="20"/>
          <w:szCs w:val="20"/>
        </w:rPr>
      </w:pPr>
    </w:p>
    <w:p w14:paraId="1638F29D" w14:textId="77777777" w:rsidR="00115790" w:rsidRPr="00554476" w:rsidRDefault="00115790" w:rsidP="001618DF">
      <w:pPr>
        <w:numPr>
          <w:ilvl w:val="0"/>
          <w:numId w:val="8"/>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La </w:t>
      </w:r>
      <w:r w:rsidRPr="00554476">
        <w:rPr>
          <w:rFonts w:ascii="Arial" w:eastAsia="Calibri" w:hAnsi="Arial" w:cs="Arial"/>
          <w:b/>
          <w:bCs/>
          <w:sz w:val="20"/>
          <w:szCs w:val="20"/>
        </w:rPr>
        <w:t>Ley 28/1998, de 13 julio, de venta a plazos de bienes muebles, en su artículo 10, o el artículo 693.2 de la Ley de Enjuiciamiento Civil,</w:t>
      </w:r>
      <w:r w:rsidRPr="00554476">
        <w:rPr>
          <w:rFonts w:ascii="Arial" w:eastAsia="Calibri" w:hAnsi="Arial" w:cs="Arial"/>
          <w:bCs/>
          <w:sz w:val="20"/>
          <w:szCs w:val="20"/>
        </w:rPr>
        <w:t xml:space="preserve"> contemplan la facultad de resolución o vencimiento anticipado por incumplimiento del deudor o prestatario en determinadas circunstancias que se dan en este caso.</w:t>
      </w:r>
    </w:p>
    <w:p w14:paraId="21C036A5" w14:textId="77777777" w:rsidR="00115790" w:rsidRPr="00554476" w:rsidRDefault="00115790" w:rsidP="00554476">
      <w:pPr>
        <w:spacing w:after="0" w:line="360" w:lineRule="auto"/>
        <w:ind w:left="720"/>
        <w:jc w:val="both"/>
        <w:rPr>
          <w:rFonts w:ascii="Arial" w:eastAsia="Calibri" w:hAnsi="Arial" w:cs="Arial"/>
          <w:bCs/>
          <w:sz w:val="20"/>
          <w:szCs w:val="20"/>
        </w:rPr>
      </w:pPr>
    </w:p>
    <w:p w14:paraId="65FD27F6" w14:textId="4F03C39A"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A vista de tales previsiones normativas, </w:t>
      </w:r>
      <w:r w:rsidRPr="00554476">
        <w:rPr>
          <w:rFonts w:ascii="Arial" w:eastAsia="Calibri" w:hAnsi="Arial" w:cs="Arial"/>
          <w:b/>
          <w:bCs/>
          <w:sz w:val="20"/>
          <w:szCs w:val="20"/>
        </w:rPr>
        <w:t>la doctrina jurisprudencial es unánime en conferir total validez y legitimidad a la cláusula de vencimiento anticipado, tanto en préstamos, como en otro tipo de contratos</w:t>
      </w:r>
      <w:r w:rsidRPr="00554476">
        <w:rPr>
          <w:rFonts w:ascii="Arial" w:eastAsia="Calibri" w:hAnsi="Arial" w:cs="Arial"/>
          <w:bCs/>
          <w:sz w:val="20"/>
          <w:szCs w:val="20"/>
        </w:rPr>
        <w:t>. En esencia:</w:t>
      </w:r>
    </w:p>
    <w:p w14:paraId="5E73BAE4" w14:textId="77777777" w:rsidR="001B404E" w:rsidRPr="00554476" w:rsidRDefault="001B404E" w:rsidP="00554476">
      <w:pPr>
        <w:spacing w:after="0" w:line="360" w:lineRule="auto"/>
        <w:jc w:val="both"/>
        <w:rPr>
          <w:rFonts w:ascii="Arial" w:eastAsia="Calibri" w:hAnsi="Arial" w:cs="Arial"/>
          <w:bCs/>
          <w:sz w:val="20"/>
          <w:szCs w:val="20"/>
        </w:rPr>
      </w:pPr>
    </w:p>
    <w:p w14:paraId="3BF30845" w14:textId="77777777" w:rsidR="00115790" w:rsidRPr="00554476" w:rsidRDefault="00115790" w:rsidP="001618DF">
      <w:pPr>
        <w:numPr>
          <w:ilvl w:val="0"/>
          <w:numId w:val="9"/>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Constituye una estipulación casi inherente a la propia garantía real (</w:t>
      </w:r>
      <w:r w:rsidRPr="00554476">
        <w:rPr>
          <w:rFonts w:ascii="Arial" w:eastAsia="Calibri" w:hAnsi="Arial" w:cs="Arial"/>
          <w:b/>
          <w:bCs/>
          <w:sz w:val="20"/>
          <w:szCs w:val="20"/>
          <w:u w:val="single"/>
        </w:rPr>
        <w:t>sentencias de la Audiencia Provincial de León de 4 diciembre de 2000, Audiencia Provincial de Madrid de 4 marzo de 2005, Audiencia Provincial de Valencia de 12 abril de 2005, y Resolución de la Dirección General de los Registros y del Notariado de 15 julio de 1998</w:t>
      </w:r>
      <w:r w:rsidRPr="00554476">
        <w:rPr>
          <w:rFonts w:ascii="Arial" w:eastAsia="Calibri" w:hAnsi="Arial" w:cs="Arial"/>
          <w:bCs/>
          <w:sz w:val="20"/>
          <w:szCs w:val="20"/>
        </w:rPr>
        <w:t>).</w:t>
      </w:r>
    </w:p>
    <w:p w14:paraId="75911B3A" w14:textId="77777777" w:rsidR="00115790" w:rsidRPr="00554476" w:rsidRDefault="00115790" w:rsidP="00554476">
      <w:pPr>
        <w:spacing w:after="0" w:line="360" w:lineRule="auto"/>
        <w:ind w:left="720"/>
        <w:jc w:val="both"/>
        <w:rPr>
          <w:rFonts w:ascii="Arial" w:eastAsia="Calibri" w:hAnsi="Arial" w:cs="Arial"/>
          <w:bCs/>
          <w:sz w:val="20"/>
          <w:szCs w:val="20"/>
        </w:rPr>
      </w:pPr>
    </w:p>
    <w:p w14:paraId="5ACE69F1" w14:textId="77777777" w:rsidR="00115790" w:rsidRPr="00554476" w:rsidRDefault="00115790" w:rsidP="001618DF">
      <w:pPr>
        <w:numPr>
          <w:ilvl w:val="0"/>
          <w:numId w:val="9"/>
        </w:num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Las </w:t>
      </w:r>
      <w:r w:rsidRPr="00554476">
        <w:rPr>
          <w:rFonts w:ascii="Arial" w:eastAsia="Calibri" w:hAnsi="Arial" w:cs="Arial"/>
          <w:b/>
          <w:bCs/>
          <w:sz w:val="20"/>
          <w:szCs w:val="20"/>
          <w:u w:val="single"/>
        </w:rPr>
        <w:t>sentencias de la Audiencia Provincial de Murcia de 4 de junio de 2001 y de la Audiencia Provincial de Barcelona de 2 de junio de 2004</w:t>
      </w:r>
      <w:r w:rsidRPr="00554476">
        <w:rPr>
          <w:rFonts w:ascii="Arial" w:eastAsia="Calibri" w:hAnsi="Arial" w:cs="Arial"/>
          <w:bCs/>
          <w:sz w:val="20"/>
          <w:szCs w:val="20"/>
        </w:rPr>
        <w:t xml:space="preserve"> declaran que </w:t>
      </w:r>
      <w:r w:rsidRPr="00554476">
        <w:rPr>
          <w:rFonts w:ascii="Arial" w:eastAsia="Calibri" w:hAnsi="Arial" w:cs="Arial"/>
          <w:bCs/>
          <w:i/>
          <w:sz w:val="20"/>
          <w:szCs w:val="20"/>
        </w:rPr>
        <w:t xml:space="preserve">"el sentir unánime de la cláusula de vencimiento anticipado misma es la licitud de tal pacto siempre y cuando responda a un hecho objetivo, a una justa causa, y no a la mera voluntad o apreciación subjetiva del acreedor. Por tanto, cuando la misma se pacta en función del cumplimiento de la otra parte, en la medida en que los mismos se convinieron en atención a una situación de cumplimiento contractual y no cabe exigirle su mantenimiento </w:t>
      </w:r>
      <w:r w:rsidRPr="00554476">
        <w:rPr>
          <w:rFonts w:ascii="Arial" w:eastAsia="Calibri" w:hAnsi="Arial" w:cs="Arial"/>
          <w:bCs/>
          <w:i/>
          <w:sz w:val="20"/>
          <w:szCs w:val="20"/>
        </w:rPr>
        <w:lastRenderedPageBreak/>
        <w:t>cuando se incumple el deber de atender los sucesivos pagos, configurados como contraprestación a aquel aplazamiento, no resultando por tanto abusiva ni desproporcionada”.</w:t>
      </w:r>
    </w:p>
    <w:p w14:paraId="3BC335B7" w14:textId="77777777" w:rsidR="00115790" w:rsidRPr="00554476" w:rsidRDefault="00115790" w:rsidP="00554476">
      <w:pPr>
        <w:spacing w:after="0" w:line="360" w:lineRule="auto"/>
        <w:ind w:left="720"/>
        <w:jc w:val="both"/>
        <w:rPr>
          <w:rFonts w:ascii="Arial" w:eastAsia="Calibri" w:hAnsi="Arial" w:cs="Arial"/>
          <w:bCs/>
          <w:sz w:val="20"/>
          <w:szCs w:val="20"/>
        </w:rPr>
      </w:pPr>
    </w:p>
    <w:p w14:paraId="4AF08E4A" w14:textId="77777777" w:rsidR="00115790" w:rsidRPr="00554476" w:rsidRDefault="00115790" w:rsidP="001618DF">
      <w:pPr>
        <w:numPr>
          <w:ilvl w:val="0"/>
          <w:numId w:val="9"/>
        </w:numPr>
        <w:spacing w:after="0" w:line="360" w:lineRule="auto"/>
        <w:contextualSpacing/>
        <w:jc w:val="both"/>
        <w:rPr>
          <w:rFonts w:ascii="Arial" w:eastAsia="Calibri" w:hAnsi="Arial" w:cs="Arial"/>
          <w:b/>
          <w:sz w:val="20"/>
          <w:szCs w:val="20"/>
        </w:rPr>
      </w:pPr>
      <w:r w:rsidRPr="00554476">
        <w:rPr>
          <w:rFonts w:ascii="Arial" w:eastAsia="Calibri" w:hAnsi="Arial" w:cs="Arial"/>
          <w:b/>
          <w:sz w:val="20"/>
          <w:szCs w:val="20"/>
        </w:rPr>
        <w:t xml:space="preserve">La sentencia de la Audiencia Provincial de Sevilla, de 27 de mayo de 2019 declara que </w:t>
      </w:r>
      <w:r w:rsidRPr="00554476">
        <w:rPr>
          <w:rFonts w:ascii="Arial" w:eastAsia="Calibri" w:hAnsi="Arial" w:cs="Arial"/>
          <w:b/>
          <w:i/>
          <w:sz w:val="20"/>
          <w:szCs w:val="20"/>
        </w:rPr>
        <w:t>“</w:t>
      </w:r>
      <w:r w:rsidRPr="00554476">
        <w:rPr>
          <w:rFonts w:ascii="Arial" w:eastAsia="Calibri" w:hAnsi="Arial" w:cs="Arial"/>
          <w:i/>
          <w:sz w:val="20"/>
          <w:szCs w:val="20"/>
        </w:rPr>
        <w:t>Se parte de la licitud de tales cláusulas en tanto que responden a un principio general de nuestro ordenamiento jurídico de que en las obligaciones recíprocas si uno no cumple el otro puede resolver la obligación siempre que, según especifica reiterada jurisprudencia, haya verdadero y propio cumplimiento, es decir, que sea de tal entidad que impida el fin normal del contrato, frustrando las legítimas expectativas de la parte. Tal principio se encuentra plasmado en el artículo 1.124 del Código Civil y, más concretamente, la licitud de estas cláusulas para los préstamos con garantía hipotecaria está expresamente reconocida en el artículo 693.2 de la LEC”</w:t>
      </w:r>
    </w:p>
    <w:p w14:paraId="098F7A70" w14:textId="77777777" w:rsidR="00115790" w:rsidRPr="00554476" w:rsidRDefault="00115790" w:rsidP="00554476">
      <w:pPr>
        <w:spacing w:after="0" w:line="360" w:lineRule="auto"/>
        <w:jc w:val="both"/>
        <w:rPr>
          <w:rFonts w:ascii="Arial" w:eastAsia="Calibri" w:hAnsi="Arial" w:cs="Arial"/>
          <w:b/>
          <w:sz w:val="20"/>
          <w:szCs w:val="20"/>
        </w:rPr>
      </w:pPr>
    </w:p>
    <w:p w14:paraId="6058CE16" w14:textId="77777777" w:rsidR="00115790" w:rsidRPr="00554476" w:rsidRDefault="00115790" w:rsidP="001618DF">
      <w:pPr>
        <w:numPr>
          <w:ilvl w:val="0"/>
          <w:numId w:val="9"/>
        </w:numPr>
        <w:spacing w:after="0" w:line="360" w:lineRule="auto"/>
        <w:contextualSpacing/>
        <w:jc w:val="both"/>
        <w:rPr>
          <w:rFonts w:ascii="Arial" w:eastAsia="Calibri" w:hAnsi="Arial" w:cs="Arial"/>
          <w:sz w:val="20"/>
          <w:szCs w:val="20"/>
        </w:rPr>
      </w:pPr>
      <w:r w:rsidRPr="00554476">
        <w:rPr>
          <w:rFonts w:ascii="Arial" w:eastAsia="Calibri" w:hAnsi="Arial" w:cs="Arial"/>
          <w:b/>
          <w:sz w:val="20"/>
          <w:szCs w:val="20"/>
        </w:rPr>
        <w:t xml:space="preserve">Sentencia Tribunal Supremo de 18 de febrero de 2016 </w:t>
      </w:r>
      <w:r w:rsidRPr="00554476">
        <w:rPr>
          <w:rFonts w:ascii="Arial" w:eastAsia="Calibri" w:hAnsi="Arial" w:cs="Arial"/>
          <w:sz w:val="20"/>
          <w:szCs w:val="20"/>
        </w:rPr>
        <w:t>en la que expresa que</w:t>
      </w:r>
      <w:r w:rsidRPr="00554476">
        <w:rPr>
          <w:rFonts w:ascii="Arial" w:eastAsia="Calibri" w:hAnsi="Arial" w:cs="Arial"/>
          <w:b/>
          <w:sz w:val="20"/>
          <w:szCs w:val="20"/>
        </w:rPr>
        <w:t xml:space="preserve"> </w:t>
      </w:r>
      <w:r w:rsidRPr="00554476">
        <w:rPr>
          <w:rFonts w:ascii="Arial" w:eastAsia="Calibri" w:hAnsi="Arial" w:cs="Arial"/>
          <w:i/>
          <w:sz w:val="20"/>
          <w:szCs w:val="20"/>
        </w:rPr>
        <w:t>“en nuestro ordenamiento jurídico, el artículo 1.129CC prevé expresamente la posibilidad de que el acreedor pueda reclamar la totalidad de lo adeudado, antes del vencimiento del plazo pactado, cuando el deudor “pierde” el derecho a utilizar el plazo; y el art. 1.124 del mismo Código permite la resolución de las obligaciones bilaterales en caso de incumplimiento. A su vez, en el ámbito de los préstamos y créditos hipotecarios, tal posibilidad está expresamente contemplada en el artículo 693.2 LEC, siempre y cuando se haya pactado expresamente. En términos generales, esta Sala no ha negado la validez de las cláusulas de vencimiento anticipado, siempre que esté claramente determinado en el contrato en qué supuestos se podrá dar lugar a dicho vencimiento, sin que ello pueda quedar al arbitrio del prestamista, en contravención de lo dispuesto en el artículo 1.256 del Código Civil (sentencias de 2 de enero de 2006, 4 de junio de 2008, 12 de diciembre de 2008 o 16 de diciembre de 2009, entre otras)”.</w:t>
      </w:r>
    </w:p>
    <w:p w14:paraId="49E7130F" w14:textId="77777777" w:rsidR="00115790" w:rsidRPr="00554476" w:rsidRDefault="00115790" w:rsidP="00554476">
      <w:pPr>
        <w:spacing w:after="0" w:line="360" w:lineRule="auto"/>
        <w:ind w:left="720"/>
        <w:contextualSpacing/>
        <w:rPr>
          <w:rFonts w:ascii="Arial" w:eastAsia="Calibri" w:hAnsi="Arial" w:cs="Arial"/>
          <w:sz w:val="20"/>
          <w:szCs w:val="20"/>
        </w:rPr>
      </w:pPr>
    </w:p>
    <w:p w14:paraId="40D303F6" w14:textId="77777777" w:rsidR="00115790" w:rsidRPr="00554476" w:rsidRDefault="00115790" w:rsidP="001618DF">
      <w:pPr>
        <w:numPr>
          <w:ilvl w:val="0"/>
          <w:numId w:val="9"/>
        </w:numPr>
        <w:spacing w:after="0" w:line="360" w:lineRule="auto"/>
        <w:contextualSpacing/>
        <w:jc w:val="both"/>
        <w:rPr>
          <w:rFonts w:ascii="Arial" w:eastAsia="Calibri" w:hAnsi="Arial" w:cs="Arial"/>
          <w:sz w:val="20"/>
          <w:szCs w:val="20"/>
        </w:rPr>
      </w:pPr>
      <w:r w:rsidRPr="00554476">
        <w:rPr>
          <w:rFonts w:ascii="Arial" w:eastAsia="Calibri" w:hAnsi="Arial" w:cs="Arial"/>
          <w:b/>
          <w:sz w:val="20"/>
          <w:szCs w:val="20"/>
        </w:rPr>
        <w:t>Sentencia del Tribunal Supremos de 23 de diciembre de 2015</w:t>
      </w:r>
      <w:r w:rsidRPr="00554476">
        <w:rPr>
          <w:rFonts w:ascii="Arial" w:eastAsia="Calibri" w:hAnsi="Arial" w:cs="Arial"/>
          <w:sz w:val="20"/>
          <w:szCs w:val="20"/>
        </w:rPr>
        <w:t xml:space="preserve"> alega que </w:t>
      </w:r>
      <w:r w:rsidRPr="00554476">
        <w:rPr>
          <w:rFonts w:ascii="Arial" w:eastAsia="Calibri" w:hAnsi="Arial" w:cs="Arial"/>
          <w:i/>
          <w:sz w:val="20"/>
          <w:szCs w:val="20"/>
        </w:rPr>
        <w:t>“ante el pacto de vencimiento anticipado en un contrato celebrado con consumidores y siempre que se cumplan las condiciones mínimas establecidas en el art. 693.2 LEC , los tribunales deben valorar, además, en el caso concreto, si el ejercicio de la facultad de vencimiento anticipado por parte del acreedor está justificado, en función de los criterios antes expuestos: esencialidad de la obligación incumplida, gravedad del incumplimiento en relación con la cuantía y duración del contrato de préstamo y posibilidad real del consumidor de evitar esta consecuencia»</w:t>
      </w:r>
    </w:p>
    <w:p w14:paraId="7A4BC237" w14:textId="77777777" w:rsidR="00115790" w:rsidRPr="00554476" w:rsidRDefault="00115790" w:rsidP="00554476">
      <w:pPr>
        <w:spacing w:after="0" w:line="360" w:lineRule="auto"/>
        <w:jc w:val="both"/>
        <w:rPr>
          <w:rFonts w:ascii="Arial" w:eastAsia="Calibri" w:hAnsi="Arial" w:cs="Arial"/>
          <w:sz w:val="20"/>
          <w:szCs w:val="20"/>
        </w:rPr>
      </w:pPr>
    </w:p>
    <w:p w14:paraId="4766AD9E" w14:textId="77777777" w:rsidR="00115790" w:rsidRPr="00554476" w:rsidRDefault="00115790" w:rsidP="001618DF">
      <w:pPr>
        <w:pStyle w:val="Prrafodelista"/>
        <w:numPr>
          <w:ilvl w:val="0"/>
          <w:numId w:val="9"/>
        </w:numPr>
        <w:spacing w:after="0" w:line="360" w:lineRule="auto"/>
        <w:jc w:val="both"/>
        <w:rPr>
          <w:rFonts w:ascii="Arial" w:eastAsia="Calibri" w:hAnsi="Arial" w:cs="Arial"/>
          <w:sz w:val="20"/>
          <w:szCs w:val="20"/>
          <w:lang w:val="es-ES_tradnl"/>
        </w:rPr>
      </w:pPr>
      <w:r w:rsidRPr="00554476">
        <w:rPr>
          <w:rFonts w:ascii="Arial" w:eastAsia="Calibri" w:hAnsi="Arial" w:cs="Arial"/>
          <w:sz w:val="20"/>
          <w:szCs w:val="20"/>
          <w:lang w:val="es-ES_tradnl"/>
        </w:rPr>
        <w:t xml:space="preserve">Destacamos, por último, entre numerosas resoluciones, la </w:t>
      </w:r>
      <w:r w:rsidRPr="00554476">
        <w:rPr>
          <w:rFonts w:ascii="Arial" w:eastAsia="Calibri" w:hAnsi="Arial" w:cs="Arial"/>
          <w:b/>
          <w:sz w:val="20"/>
          <w:szCs w:val="20"/>
          <w:lang w:val="es-ES_tradnl"/>
        </w:rPr>
        <w:t>Sentencia de la Audiencia Provincial de Almería de 22 de octubre de 1991</w:t>
      </w:r>
      <w:r w:rsidRPr="00554476">
        <w:rPr>
          <w:rFonts w:ascii="Arial" w:eastAsia="Calibri" w:hAnsi="Arial" w:cs="Arial"/>
          <w:sz w:val="20"/>
          <w:szCs w:val="20"/>
          <w:lang w:val="es-ES_tradnl"/>
        </w:rPr>
        <w:t xml:space="preserve">, que dispuso: </w:t>
      </w:r>
      <w:r w:rsidRPr="00554476">
        <w:rPr>
          <w:rFonts w:ascii="Arial" w:eastAsia="Calibri" w:hAnsi="Arial" w:cs="Arial"/>
          <w:i/>
          <w:sz w:val="20"/>
          <w:szCs w:val="20"/>
        </w:rPr>
        <w:t xml:space="preserve">“la sentencia recurrida declara la nulidad de la cláusula quinta de la póliza de préstamo, con el consiguiente </w:t>
      </w:r>
      <w:r w:rsidRPr="00554476">
        <w:rPr>
          <w:rFonts w:ascii="Arial" w:eastAsia="Calibri" w:hAnsi="Arial" w:cs="Arial"/>
          <w:i/>
          <w:sz w:val="20"/>
          <w:szCs w:val="20"/>
        </w:rPr>
        <w:lastRenderedPageBreak/>
        <w:t>efecto sobre los intereses moratorios, por entender que la misma vulnera lo establecido en el artículo 10 – 1ªc) 2ª de la L.G.D.C.U, al otorgar a la actora la facultad resolutoria del contrato de forma discrecional. Dicha afirmación debe ser desestimada, pues si los contratos son fuente de obligaciones y tienen la fuerza de ley entre las partes que lo celebran, debiéndose de cumplirse a tenor de las mismas, en el caso enjuiciado, las partes litigantes, al amparo del principio de libertad contractual, establecido en al artículo 1255 del Código Civil, concurrieron y plasmaron en la póliza d préstamo la posibilidad de declarar vencido el mismo y reclamar el importe adeudado, a instancia de la Entidad de crédito para el caso de que la otra parte contratante (prestatario), llegado el vencimiento de cualquier plazo, no hubiere hecho efectivo su débito, lo cual no supone más que la facultad, que para las obligaciones recíprocas, establece el artículo 1124 del Código Civil, sin que, por tanto, pueda inferirse que aquella cláusula contractual que recoge dicha facultad constituya una violación del artículo 10.1 c) 2º de la referida Ley, puesto que en modo alguno puede pensarse que la facultad de resolver uno de los contratantes la obligación, en los supuestos de incumplimiento de la otra parte, suponga irrogarse la facultad discrecional repudiada en aquella norma.”</w:t>
      </w:r>
    </w:p>
    <w:p w14:paraId="491F6721" w14:textId="77777777" w:rsidR="00115790" w:rsidRPr="00554476" w:rsidRDefault="00115790" w:rsidP="00554476">
      <w:pPr>
        <w:spacing w:after="0" w:line="360" w:lineRule="auto"/>
        <w:jc w:val="both"/>
        <w:rPr>
          <w:rFonts w:ascii="Arial" w:eastAsia="Calibri" w:hAnsi="Arial" w:cs="Arial"/>
          <w:bCs/>
          <w:sz w:val="20"/>
          <w:szCs w:val="20"/>
        </w:rPr>
      </w:pPr>
    </w:p>
    <w:p w14:paraId="54C449EF"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Tal y como se exponía anteriormente, </w:t>
      </w:r>
      <w:r w:rsidRPr="00554476">
        <w:rPr>
          <w:rFonts w:ascii="Arial" w:eastAsia="Calibri" w:hAnsi="Arial" w:cs="Arial"/>
          <w:b/>
          <w:bCs/>
          <w:sz w:val="20"/>
          <w:szCs w:val="20"/>
        </w:rPr>
        <w:t xml:space="preserve">debe distinguirse entre </w:t>
      </w:r>
      <w:proofErr w:type="spellStart"/>
      <w:r w:rsidRPr="00554476">
        <w:rPr>
          <w:rFonts w:ascii="Arial" w:eastAsia="Calibri" w:hAnsi="Arial" w:cs="Arial"/>
          <w:b/>
          <w:bCs/>
          <w:sz w:val="20"/>
          <w:szCs w:val="20"/>
        </w:rPr>
        <w:t>abusividad</w:t>
      </w:r>
      <w:proofErr w:type="spellEnd"/>
      <w:r w:rsidRPr="00554476">
        <w:rPr>
          <w:rFonts w:ascii="Arial" w:eastAsia="Calibri" w:hAnsi="Arial" w:cs="Arial"/>
          <w:b/>
          <w:bCs/>
          <w:sz w:val="20"/>
          <w:szCs w:val="20"/>
        </w:rPr>
        <w:t xml:space="preserve"> de una cláusula</w:t>
      </w:r>
      <w:r w:rsidRPr="00554476">
        <w:rPr>
          <w:rFonts w:ascii="Arial" w:eastAsia="Calibri" w:hAnsi="Arial" w:cs="Arial"/>
          <w:bCs/>
          <w:sz w:val="20"/>
          <w:szCs w:val="20"/>
        </w:rPr>
        <w:t xml:space="preserve"> -que, como se ha expuesto, no concurre en la estipulación que se cuestiona de adverso- </w:t>
      </w:r>
      <w:r w:rsidRPr="00554476">
        <w:rPr>
          <w:rFonts w:ascii="Arial" w:eastAsia="Calibri" w:hAnsi="Arial" w:cs="Arial"/>
          <w:b/>
          <w:bCs/>
          <w:sz w:val="20"/>
          <w:szCs w:val="20"/>
        </w:rPr>
        <w:t>de lo que es el ejercicio abusivo y antisocial del derecho</w:t>
      </w:r>
      <w:r w:rsidRPr="00554476">
        <w:rPr>
          <w:rFonts w:ascii="Arial" w:eastAsia="Calibri" w:hAnsi="Arial" w:cs="Arial"/>
          <w:bCs/>
          <w:sz w:val="20"/>
          <w:szCs w:val="20"/>
        </w:rPr>
        <w:t>.</w:t>
      </w:r>
    </w:p>
    <w:p w14:paraId="095533B7" w14:textId="77777777" w:rsidR="00115790" w:rsidRPr="00554476" w:rsidRDefault="00115790" w:rsidP="00554476">
      <w:pPr>
        <w:spacing w:after="0" w:line="360" w:lineRule="auto"/>
        <w:jc w:val="both"/>
        <w:rPr>
          <w:rFonts w:ascii="Arial" w:eastAsia="Calibri" w:hAnsi="Arial" w:cs="Arial"/>
          <w:bCs/>
          <w:sz w:val="20"/>
          <w:szCs w:val="20"/>
        </w:rPr>
      </w:pPr>
    </w:p>
    <w:p w14:paraId="24AD9773"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Vista la doctrina jurisprudencial más autorizada, determinar si la cláusula de vencimiento anticipado es o no contraria a la Ley exige su aplicación conforme a la buena fe y al ejercicio del derecho sin abuso, fruto de una interpretación proporcionada por los órganos judiciales, que son los que ejercen la función de control de contenido de la legalidad de estos pactos, de ahí que su nulidad o validez sólo pueda ser declarada atendiendo a las circunstancias que concurran en cada caso en concreto y no de forma abstracta como pretende la parte actora.</w:t>
      </w:r>
    </w:p>
    <w:p w14:paraId="3297D173" w14:textId="77777777" w:rsidR="00115790" w:rsidRPr="00554476" w:rsidRDefault="00115790" w:rsidP="00554476">
      <w:pPr>
        <w:spacing w:after="0" w:line="360" w:lineRule="auto"/>
        <w:jc w:val="both"/>
        <w:rPr>
          <w:rFonts w:ascii="Arial" w:eastAsia="Calibri" w:hAnsi="Arial" w:cs="Arial"/>
          <w:bCs/>
          <w:sz w:val="20"/>
          <w:szCs w:val="20"/>
        </w:rPr>
      </w:pPr>
    </w:p>
    <w:p w14:paraId="054AE4E0"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A mayor abundamiento, la cláusula de vencimiento anticipado es una estipulación contractual especialmente sometida a un especial control de legalidad, por cuanto el otorgamiento de la escritura es un acto realizado con intervención de fedatario público, entre cuyas funciones se encuentra el control de la legalidad de las estipulaciones del contrato que autoriza, y así lo hizo constar en este caso el Notario autorizante que se refirió expresamente en sus advertencias a la validez de las cláusulas financieras como la que nos ocupa. En este sentido, la Dirección General de los Registros y del Notariado, cuando ha tenido ocasión de pronunciarse respecto a la </w:t>
      </w:r>
      <w:r w:rsidRPr="00554476">
        <w:rPr>
          <w:rFonts w:ascii="Arial" w:eastAsia="Calibri" w:hAnsi="Arial" w:cs="Arial"/>
          <w:b/>
          <w:bCs/>
          <w:sz w:val="20"/>
          <w:szCs w:val="20"/>
        </w:rPr>
        <w:t>función calificadora del registrador respecto de las cláusulas del artículo 12 de la Ley Hipotecaria, en su nueva redacción dada por la Ley 41/2007</w:t>
      </w:r>
      <w:r w:rsidRPr="00554476">
        <w:rPr>
          <w:rFonts w:ascii="Arial" w:eastAsia="Calibri" w:hAnsi="Arial" w:cs="Arial"/>
          <w:bCs/>
          <w:sz w:val="20"/>
          <w:szCs w:val="20"/>
        </w:rPr>
        <w:t xml:space="preserve">, reconoce la trascendencia real de las señaladas en el primer párrafo, </w:t>
      </w:r>
      <w:r w:rsidRPr="00554476">
        <w:rPr>
          <w:rFonts w:ascii="Arial" w:eastAsia="Calibri" w:hAnsi="Arial" w:cs="Arial"/>
          <w:bCs/>
          <w:i/>
          <w:sz w:val="20"/>
          <w:szCs w:val="20"/>
        </w:rPr>
        <w:t>"sin que le esté permitido el ensanchar el ámbito que tan rigurosamente se le acota"</w:t>
      </w:r>
      <w:r w:rsidRPr="00554476">
        <w:rPr>
          <w:rFonts w:ascii="Arial" w:eastAsia="Calibri" w:hAnsi="Arial" w:cs="Arial"/>
          <w:bCs/>
          <w:sz w:val="20"/>
          <w:szCs w:val="20"/>
        </w:rPr>
        <w:t xml:space="preserve">, y como mucho, y sólo por razón de una exigencia expresa, que el legislador ha olvidado armonizar, </w:t>
      </w:r>
      <w:r w:rsidRPr="00554476">
        <w:rPr>
          <w:rFonts w:ascii="Arial" w:eastAsia="Calibri" w:hAnsi="Arial" w:cs="Arial"/>
          <w:bCs/>
          <w:i/>
          <w:sz w:val="20"/>
          <w:szCs w:val="20"/>
        </w:rPr>
        <w:t xml:space="preserve">“podría entenderse que siempre es inscribible el pacto del </w:t>
      </w:r>
      <w:r w:rsidRPr="00554476">
        <w:rPr>
          <w:rFonts w:ascii="Arial" w:eastAsia="Calibri" w:hAnsi="Arial" w:cs="Arial"/>
          <w:bCs/>
          <w:i/>
          <w:sz w:val="20"/>
          <w:szCs w:val="20"/>
        </w:rPr>
        <w:lastRenderedPageBreak/>
        <w:t>artículo 693.1.1 de la Ley de Enjuiciamiento civil"</w:t>
      </w:r>
      <w:r w:rsidRPr="00554476">
        <w:rPr>
          <w:rFonts w:ascii="Arial" w:eastAsia="Calibri" w:hAnsi="Arial" w:cs="Arial"/>
          <w:bCs/>
          <w:sz w:val="20"/>
          <w:szCs w:val="20"/>
        </w:rPr>
        <w:t xml:space="preserve"> (</w:t>
      </w:r>
      <w:r w:rsidRPr="00554476">
        <w:rPr>
          <w:rFonts w:ascii="Arial" w:eastAsia="Calibri" w:hAnsi="Arial" w:cs="Arial"/>
          <w:b/>
          <w:bCs/>
          <w:sz w:val="20"/>
          <w:szCs w:val="20"/>
          <w:u w:val="single"/>
        </w:rPr>
        <w:t>Resolución de 24 de julio de 2008 de la Dirección General de los Registros y del Notariado</w:t>
      </w:r>
      <w:r w:rsidRPr="00554476">
        <w:rPr>
          <w:rFonts w:ascii="Arial" w:eastAsia="Calibri" w:hAnsi="Arial" w:cs="Arial"/>
          <w:bCs/>
          <w:sz w:val="20"/>
          <w:szCs w:val="20"/>
        </w:rPr>
        <w:t>). Véase también la siguiente Resolución, en cuanto que acepta igualmente la inscripción de cláusulas de vencimiento anticipado por falta de tributos y gastos:</w:t>
      </w:r>
    </w:p>
    <w:p w14:paraId="16270AE9" w14:textId="77777777" w:rsidR="000B45EE" w:rsidRDefault="000B45EE" w:rsidP="000B45EE">
      <w:pPr>
        <w:spacing w:after="0" w:line="360" w:lineRule="auto"/>
        <w:jc w:val="both"/>
        <w:rPr>
          <w:rFonts w:ascii="Arial" w:eastAsia="Calibri" w:hAnsi="Arial" w:cs="Arial"/>
          <w:bCs/>
          <w:sz w:val="20"/>
          <w:szCs w:val="20"/>
        </w:rPr>
      </w:pPr>
    </w:p>
    <w:p w14:paraId="65580A55" w14:textId="37C4DB8A" w:rsidR="00115790" w:rsidRDefault="00115790" w:rsidP="000B45EE">
      <w:pPr>
        <w:spacing w:after="0" w:line="360" w:lineRule="auto"/>
        <w:jc w:val="both"/>
        <w:rPr>
          <w:rFonts w:ascii="Arial" w:eastAsia="Calibri" w:hAnsi="Arial" w:cs="Arial"/>
          <w:b/>
          <w:sz w:val="20"/>
          <w:szCs w:val="20"/>
          <w:u w:val="single"/>
        </w:rPr>
      </w:pPr>
      <w:r w:rsidRPr="00554476">
        <w:rPr>
          <w:rFonts w:ascii="Arial" w:eastAsia="Calibri" w:hAnsi="Arial" w:cs="Arial"/>
          <w:b/>
          <w:sz w:val="20"/>
          <w:szCs w:val="20"/>
          <w:u w:val="single"/>
        </w:rPr>
        <w:t>Resolución de 3-9-2005 de Dirección General de los Registros y Notariado</w:t>
      </w:r>
    </w:p>
    <w:p w14:paraId="7FEC0B6A" w14:textId="77777777" w:rsidR="000B45EE" w:rsidRPr="00554476" w:rsidRDefault="000B45EE" w:rsidP="00554476">
      <w:pPr>
        <w:spacing w:after="0" w:line="360" w:lineRule="auto"/>
        <w:ind w:left="567"/>
        <w:jc w:val="both"/>
        <w:rPr>
          <w:rFonts w:ascii="Arial" w:eastAsia="Calibri" w:hAnsi="Arial" w:cs="Arial"/>
          <w:i/>
          <w:sz w:val="20"/>
          <w:szCs w:val="20"/>
          <w:u w:val="single"/>
        </w:rPr>
      </w:pPr>
    </w:p>
    <w:p w14:paraId="7D91582F" w14:textId="77777777" w:rsidR="00115790" w:rsidRPr="00554476" w:rsidRDefault="00115790" w:rsidP="00554476">
      <w:pPr>
        <w:spacing w:after="0" w:line="360" w:lineRule="auto"/>
        <w:ind w:left="567"/>
        <w:jc w:val="both"/>
        <w:rPr>
          <w:rFonts w:ascii="Arial" w:eastAsia="Calibri" w:hAnsi="Arial" w:cs="Arial"/>
          <w:bCs/>
          <w:sz w:val="20"/>
          <w:szCs w:val="20"/>
        </w:rPr>
      </w:pPr>
      <w:r w:rsidRPr="00554476">
        <w:rPr>
          <w:rFonts w:ascii="Arial" w:eastAsia="Calibri" w:hAnsi="Arial" w:cs="Arial"/>
          <w:sz w:val="20"/>
          <w:szCs w:val="20"/>
        </w:rPr>
        <w:t>“</w:t>
      </w:r>
      <w:r w:rsidRPr="00554476">
        <w:rPr>
          <w:rFonts w:ascii="Arial" w:eastAsia="Calibri" w:hAnsi="Arial" w:cs="Arial"/>
          <w:bCs/>
          <w:i/>
          <w:sz w:val="20"/>
          <w:szCs w:val="20"/>
        </w:rPr>
        <w:t>siempre y cuando se concrete a aquellos cuyo pago quede garantizado con un derecho de preferencia legal de cobro respecto del mismo acreedor hipotecario (cfr. art. 1923 CC). Por ello, no puede rechazarse la inscripción respecto de la obligación de satisfacer los impuestos, tasas, contribuciones, arbitrios y gastos de comunidad que recaigan sobre la finca. Igualmente, debe admitirse la inscripción de la estipulación por la que se impone al deudor la obligación de abonar los gastos e impuestos ocasionados con ocasión de la celebración del contrato de préstamo, así como los de inscripción de la hipoteca y constancia registral de la ampliación de la responsabilidad máxima".</w:t>
      </w:r>
    </w:p>
    <w:p w14:paraId="4BF10633" w14:textId="77777777" w:rsidR="00115790" w:rsidRPr="00554476" w:rsidRDefault="00115790" w:rsidP="00554476">
      <w:pPr>
        <w:spacing w:after="0" w:line="360" w:lineRule="auto"/>
        <w:jc w:val="both"/>
        <w:rPr>
          <w:rFonts w:ascii="Arial" w:eastAsia="Calibri" w:hAnsi="Arial" w:cs="Arial"/>
          <w:bCs/>
          <w:sz w:val="20"/>
          <w:szCs w:val="20"/>
        </w:rPr>
      </w:pPr>
    </w:p>
    <w:p w14:paraId="7887A791" w14:textId="77777777" w:rsidR="00115790" w:rsidRPr="00554476"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No debemos obviar, dentro de este especial sometimiento a la legalidad de los contratos, el control realizado por el propio Juzgado cuando dicta un auto de despacho de ejecución, para lo cual, y con carácter previo, ni puede ni debe limitarse a comprobar el cumplimiento de los requisitos formales del título y de los documentos que lo integran, sino si la cláusula contractual que fundamenta la ejecución judicial que postula el acreedor ejecutante, es acorde con la legislación vigente.</w:t>
      </w:r>
    </w:p>
    <w:p w14:paraId="07346C1A" w14:textId="77777777" w:rsidR="00115790" w:rsidRPr="00554476" w:rsidRDefault="00115790" w:rsidP="00554476">
      <w:pPr>
        <w:spacing w:after="0" w:line="360" w:lineRule="auto"/>
        <w:jc w:val="both"/>
        <w:rPr>
          <w:rFonts w:ascii="Arial" w:eastAsia="Calibri" w:hAnsi="Arial" w:cs="Arial"/>
          <w:bCs/>
          <w:sz w:val="20"/>
          <w:szCs w:val="20"/>
        </w:rPr>
      </w:pPr>
    </w:p>
    <w:p w14:paraId="0123CFD5" w14:textId="4C659600" w:rsidR="00115790" w:rsidRDefault="00115790" w:rsidP="00554476">
      <w:pPr>
        <w:spacing w:after="0" w:line="360" w:lineRule="auto"/>
        <w:jc w:val="both"/>
        <w:rPr>
          <w:rFonts w:ascii="Arial" w:eastAsia="Calibri" w:hAnsi="Arial" w:cs="Arial"/>
          <w:bCs/>
          <w:sz w:val="20"/>
          <w:szCs w:val="20"/>
        </w:rPr>
      </w:pPr>
      <w:r w:rsidRPr="00554476">
        <w:rPr>
          <w:rFonts w:ascii="Arial" w:eastAsia="Calibri" w:hAnsi="Arial" w:cs="Arial"/>
          <w:bCs/>
          <w:sz w:val="20"/>
          <w:szCs w:val="20"/>
        </w:rPr>
        <w:t xml:space="preserve">De igual modo es de destacar que la </w:t>
      </w:r>
      <w:r w:rsidRPr="00554476">
        <w:rPr>
          <w:rFonts w:ascii="Arial" w:eastAsia="Calibri" w:hAnsi="Arial" w:cs="Arial"/>
          <w:b/>
          <w:bCs/>
          <w:sz w:val="20"/>
          <w:szCs w:val="20"/>
        </w:rPr>
        <w:t>Ley 1/2013, de 14 de mayo, de medidas para reforzar la protección a los deudores hipotecarios</w:t>
      </w:r>
      <w:r w:rsidRPr="00554476">
        <w:rPr>
          <w:rFonts w:ascii="Arial" w:eastAsia="Calibri" w:hAnsi="Arial" w:cs="Arial"/>
          <w:bCs/>
          <w:sz w:val="20"/>
          <w:szCs w:val="20"/>
        </w:rPr>
        <w:t xml:space="preserve">, </w:t>
      </w:r>
      <w:r w:rsidRPr="00554476">
        <w:rPr>
          <w:rFonts w:ascii="Arial" w:eastAsia="Calibri" w:hAnsi="Arial" w:cs="Arial"/>
          <w:b/>
          <w:bCs/>
          <w:sz w:val="20"/>
          <w:szCs w:val="20"/>
        </w:rPr>
        <w:t xml:space="preserve">no declara la </w:t>
      </w:r>
      <w:proofErr w:type="spellStart"/>
      <w:r w:rsidRPr="00554476">
        <w:rPr>
          <w:rFonts w:ascii="Arial" w:eastAsia="Calibri" w:hAnsi="Arial" w:cs="Arial"/>
          <w:b/>
          <w:bCs/>
          <w:sz w:val="20"/>
          <w:szCs w:val="20"/>
        </w:rPr>
        <w:t>abusividad</w:t>
      </w:r>
      <w:proofErr w:type="spellEnd"/>
      <w:r w:rsidRPr="00554476">
        <w:rPr>
          <w:rFonts w:ascii="Arial" w:eastAsia="Calibri" w:hAnsi="Arial" w:cs="Arial"/>
          <w:b/>
          <w:bCs/>
          <w:sz w:val="20"/>
          <w:szCs w:val="20"/>
        </w:rPr>
        <w:t xml:space="preserve"> de las cláusulas de vencimiento anticipado</w:t>
      </w:r>
      <w:r w:rsidRPr="00554476">
        <w:rPr>
          <w:rFonts w:ascii="Arial" w:eastAsia="Calibri" w:hAnsi="Arial" w:cs="Arial"/>
          <w:bCs/>
          <w:sz w:val="20"/>
          <w:szCs w:val="20"/>
        </w:rPr>
        <w:t xml:space="preserve">, sino que modifica el artículo 693.2 de la Ley de Enjuiciamiento Civil, pero en modo alguno deja entrever que pueda decretarse la </w:t>
      </w:r>
      <w:proofErr w:type="spellStart"/>
      <w:r w:rsidRPr="00554476">
        <w:rPr>
          <w:rFonts w:ascii="Arial" w:eastAsia="Calibri" w:hAnsi="Arial" w:cs="Arial"/>
          <w:bCs/>
          <w:sz w:val="20"/>
          <w:szCs w:val="20"/>
        </w:rPr>
        <w:t>abusividad</w:t>
      </w:r>
      <w:proofErr w:type="spellEnd"/>
      <w:r w:rsidRPr="00554476">
        <w:rPr>
          <w:rFonts w:ascii="Arial" w:eastAsia="Calibri" w:hAnsi="Arial" w:cs="Arial"/>
          <w:bCs/>
          <w:sz w:val="20"/>
          <w:szCs w:val="20"/>
        </w:rPr>
        <w:t xml:space="preserve"> de estas cláusulas.</w:t>
      </w:r>
    </w:p>
    <w:p w14:paraId="7038676C" w14:textId="77777777" w:rsidR="00164DD0" w:rsidRPr="00554476" w:rsidRDefault="00164DD0" w:rsidP="00554476">
      <w:pPr>
        <w:spacing w:after="0" w:line="360" w:lineRule="auto"/>
        <w:jc w:val="both"/>
        <w:rPr>
          <w:rFonts w:ascii="Arial" w:eastAsia="Calibri" w:hAnsi="Arial" w:cs="Arial"/>
          <w:bCs/>
          <w:sz w:val="20"/>
          <w:szCs w:val="20"/>
        </w:rPr>
      </w:pPr>
    </w:p>
    <w:p w14:paraId="55E8BC33" w14:textId="77777777" w:rsidR="00115790" w:rsidRPr="00554476" w:rsidRDefault="00115790" w:rsidP="00554476">
      <w:pPr>
        <w:spacing w:after="0" w:line="360" w:lineRule="auto"/>
        <w:jc w:val="both"/>
        <w:rPr>
          <w:rFonts w:ascii="Arial" w:eastAsia="Calibri" w:hAnsi="Arial" w:cs="Arial"/>
          <w:sz w:val="20"/>
          <w:szCs w:val="20"/>
        </w:rPr>
      </w:pPr>
      <w:r w:rsidRPr="00554476">
        <w:rPr>
          <w:rFonts w:ascii="Arial" w:eastAsia="Calibri" w:hAnsi="Arial" w:cs="Arial"/>
          <w:bCs/>
          <w:sz w:val="20"/>
          <w:szCs w:val="20"/>
        </w:rPr>
        <w:t xml:space="preserve">Cabe recordar, en último lugar, que </w:t>
      </w:r>
      <w:r w:rsidRPr="00554476">
        <w:rPr>
          <w:rFonts w:ascii="Arial" w:eastAsia="Calibri" w:hAnsi="Arial" w:cs="Arial"/>
          <w:b/>
          <w:bCs/>
          <w:sz w:val="20"/>
          <w:szCs w:val="20"/>
        </w:rPr>
        <w:t xml:space="preserve">la inclusión de cláusulas de resolución anticipada por la entidad de crédito, venía amparada por la ya comentada </w:t>
      </w:r>
      <w:r w:rsidRPr="00554476">
        <w:rPr>
          <w:rFonts w:ascii="Arial" w:eastAsia="Calibri" w:hAnsi="Arial" w:cs="Arial"/>
          <w:b/>
          <w:sz w:val="20"/>
          <w:szCs w:val="20"/>
          <w:u w:val="single"/>
        </w:rPr>
        <w:t>Orden Ministerial de 5 de mayo de 1994</w:t>
      </w:r>
      <w:r w:rsidRPr="00554476">
        <w:rPr>
          <w:rFonts w:ascii="Arial" w:eastAsia="Calibri" w:hAnsi="Arial" w:cs="Arial"/>
          <w:b/>
          <w:sz w:val="20"/>
          <w:szCs w:val="20"/>
        </w:rPr>
        <w:t xml:space="preserve">, </w:t>
      </w:r>
      <w:r w:rsidRPr="00554476">
        <w:rPr>
          <w:rFonts w:ascii="Arial" w:eastAsia="Calibri" w:hAnsi="Arial" w:cs="Arial"/>
          <w:b/>
          <w:sz w:val="20"/>
          <w:szCs w:val="20"/>
          <w:u w:val="single"/>
        </w:rPr>
        <w:t>sobre transparencia de las condiciones financieras de los préstamos hipotecarios</w:t>
      </w:r>
      <w:r w:rsidRPr="00554476">
        <w:rPr>
          <w:rFonts w:ascii="Arial" w:eastAsia="Calibri" w:hAnsi="Arial" w:cs="Arial"/>
          <w:sz w:val="20"/>
          <w:szCs w:val="20"/>
        </w:rPr>
        <w:t>, que preveía su posibilidad,  y como en los casos anteriores, la cláusula aquí impugnada cumple lo previsto en la normativa bancaria de transparencia de las condiciones financieras de los préstamos hipotecarios regulada en dicha Orden, lo que debe descartar su consideración como abusiva y la pretensión de nulidad de la misma.</w:t>
      </w:r>
    </w:p>
    <w:p w14:paraId="5C88D59B" w14:textId="77777777" w:rsidR="00115790" w:rsidRPr="00554476" w:rsidRDefault="00115790" w:rsidP="00554476">
      <w:pPr>
        <w:spacing w:after="0" w:line="360" w:lineRule="auto"/>
        <w:jc w:val="both"/>
        <w:rPr>
          <w:rFonts w:ascii="Arial" w:hAnsi="Arial" w:cs="Arial"/>
          <w:sz w:val="20"/>
          <w:szCs w:val="20"/>
          <w:lang w:val="es-ES_tradnl"/>
        </w:rPr>
      </w:pPr>
    </w:p>
    <w:p w14:paraId="087781E4"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En consecuencia, con todo lo anterior, entendemos que no puede declararse la nulidad por abusiva de la cláusula impugnada, pues la misma fue incluida en el contrato de forma totalmente conforme a Derecho.</w:t>
      </w:r>
    </w:p>
    <w:p w14:paraId="6BBEAE7D" w14:textId="77777777" w:rsidR="00115790" w:rsidRPr="00554476" w:rsidRDefault="00115790" w:rsidP="00554476">
      <w:pPr>
        <w:spacing w:after="0" w:line="360" w:lineRule="auto"/>
        <w:jc w:val="both"/>
        <w:rPr>
          <w:rFonts w:ascii="Arial" w:hAnsi="Arial" w:cs="Arial"/>
          <w:sz w:val="20"/>
          <w:szCs w:val="20"/>
        </w:rPr>
      </w:pPr>
    </w:p>
    <w:p w14:paraId="0D38E720"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lastRenderedPageBreak/>
        <w:t xml:space="preserve">Y en todo caso, consideramos que, subsidiariamente, podría aplicarse la doctrina del </w:t>
      </w:r>
      <w:r w:rsidRPr="00554476">
        <w:rPr>
          <w:rFonts w:ascii="Arial" w:hAnsi="Arial" w:cs="Arial"/>
          <w:i/>
          <w:sz w:val="20"/>
          <w:szCs w:val="20"/>
          <w:lang w:val="es-ES_tradnl"/>
        </w:rPr>
        <w:t xml:space="preserve">“blue </w:t>
      </w:r>
      <w:proofErr w:type="spellStart"/>
      <w:r w:rsidRPr="00554476">
        <w:rPr>
          <w:rFonts w:ascii="Arial" w:hAnsi="Arial" w:cs="Arial"/>
          <w:i/>
          <w:sz w:val="20"/>
          <w:szCs w:val="20"/>
          <w:lang w:val="es-ES_tradnl"/>
        </w:rPr>
        <w:t>pencil</w:t>
      </w:r>
      <w:proofErr w:type="spellEnd"/>
      <w:r w:rsidRPr="00554476">
        <w:rPr>
          <w:rFonts w:ascii="Arial" w:hAnsi="Arial" w:cs="Arial"/>
          <w:i/>
          <w:sz w:val="20"/>
          <w:szCs w:val="20"/>
          <w:lang w:val="es-ES_tradnl"/>
        </w:rPr>
        <w:t xml:space="preserve"> rule”</w:t>
      </w:r>
      <w:r w:rsidRPr="00554476">
        <w:rPr>
          <w:rFonts w:ascii="Arial" w:hAnsi="Arial" w:cs="Arial"/>
          <w:sz w:val="20"/>
          <w:szCs w:val="20"/>
          <w:lang w:val="es-ES_tradnl"/>
        </w:rPr>
        <w:t xml:space="preserve">, es decir, aún en el caso de que se considerase que la cláusula sí debiera someterse a la Directiva 93/13 y que, por tanto, debiera ser objeto de examen de </w:t>
      </w:r>
      <w:proofErr w:type="spellStart"/>
      <w:r w:rsidRPr="00554476">
        <w:rPr>
          <w:rFonts w:ascii="Arial" w:hAnsi="Arial" w:cs="Arial"/>
          <w:sz w:val="20"/>
          <w:szCs w:val="20"/>
          <w:lang w:val="es-ES_tradnl"/>
        </w:rPr>
        <w:t>abusividad</w:t>
      </w:r>
      <w:proofErr w:type="spellEnd"/>
      <w:r w:rsidRPr="00554476">
        <w:rPr>
          <w:rFonts w:ascii="Arial" w:hAnsi="Arial" w:cs="Arial"/>
          <w:sz w:val="20"/>
          <w:szCs w:val="20"/>
          <w:lang w:val="es-ES_tradnl"/>
        </w:rPr>
        <w:t>, el Tribunal Supremo considera que podría ser de aplicación esta doctrina, como recoge en su cuestión de prejudicialidad de 8 de febrero de 2017.</w:t>
      </w:r>
    </w:p>
    <w:p w14:paraId="5B0777E3" w14:textId="77777777" w:rsidR="00115790" w:rsidRPr="00554476" w:rsidRDefault="00115790" w:rsidP="00554476">
      <w:pPr>
        <w:spacing w:after="0" w:line="360" w:lineRule="auto"/>
        <w:jc w:val="both"/>
        <w:rPr>
          <w:rFonts w:ascii="Arial" w:hAnsi="Arial" w:cs="Arial"/>
          <w:sz w:val="20"/>
          <w:szCs w:val="20"/>
        </w:rPr>
      </w:pPr>
    </w:p>
    <w:p w14:paraId="488F2152"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Estaríamos, en su caso, ante una posible nulidad parcial en el punto donde la cláusula menciona el impago de “una cualquiera” de las cuotas, pero quedaría vigente el pacto de vencimiento anticipado y debería examinarse su validez en el momento de su ejercicio concreto por la entidad.</w:t>
      </w:r>
    </w:p>
    <w:p w14:paraId="35FE292C" w14:textId="77777777" w:rsidR="00115790" w:rsidRPr="00554476" w:rsidRDefault="00115790" w:rsidP="00554476">
      <w:pPr>
        <w:spacing w:after="0" w:line="360" w:lineRule="auto"/>
        <w:jc w:val="both"/>
        <w:rPr>
          <w:rFonts w:ascii="Arial" w:hAnsi="Arial" w:cs="Arial"/>
          <w:sz w:val="20"/>
          <w:szCs w:val="20"/>
        </w:rPr>
      </w:pPr>
    </w:p>
    <w:p w14:paraId="727E436A"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Esto es, si en el momento concreto del ejercicio del vencimiento anticipado, éste se lleva a cabo correctamente, atendiendo a la gravedad del incumplimiento en términos económicos y temporales, la cláusula sería válida tal y como quede tras la nulidad parcial:</w:t>
      </w:r>
    </w:p>
    <w:p w14:paraId="70ED2FD1" w14:textId="77777777" w:rsidR="00115790" w:rsidRPr="00554476" w:rsidRDefault="00115790" w:rsidP="00554476">
      <w:pPr>
        <w:spacing w:after="0" w:line="360" w:lineRule="auto"/>
        <w:ind w:left="567"/>
        <w:jc w:val="both"/>
        <w:rPr>
          <w:rFonts w:ascii="Arial" w:hAnsi="Arial" w:cs="Arial"/>
          <w:sz w:val="20"/>
          <w:szCs w:val="20"/>
        </w:rPr>
      </w:pPr>
    </w:p>
    <w:p w14:paraId="56505DEF"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“6.- Tanto de la jurisprudencia española, como de los pronunciamientos del TJUE, cabe deducir que, ante el pacto de vencimiento anticipado en un contrato celebrado con consumidores y siempre que se cumplan las condiciones mínimas establecidas en el art.623.2 LEC, los tribunales deben valorar además, en el caso concreto, si el ejercicio de la facultad de vencimiento anticipado por parte del acreedor está justificado”.</w:t>
      </w:r>
    </w:p>
    <w:p w14:paraId="64308126" w14:textId="77777777" w:rsidR="00115790" w:rsidRPr="00554476" w:rsidRDefault="00115790" w:rsidP="00554476">
      <w:pPr>
        <w:spacing w:after="0" w:line="360" w:lineRule="auto"/>
        <w:ind w:left="567"/>
        <w:jc w:val="both"/>
        <w:rPr>
          <w:rFonts w:ascii="Arial" w:hAnsi="Arial" w:cs="Arial"/>
          <w:i/>
          <w:sz w:val="20"/>
          <w:szCs w:val="20"/>
        </w:rPr>
      </w:pPr>
    </w:p>
    <w:p w14:paraId="33D77B27"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“3.- A criterio de este Tribunal, la llamada “blue </w:t>
      </w:r>
      <w:proofErr w:type="spellStart"/>
      <w:r w:rsidRPr="00554476">
        <w:rPr>
          <w:rFonts w:ascii="Arial" w:hAnsi="Arial" w:cs="Arial"/>
          <w:i/>
          <w:sz w:val="20"/>
          <w:szCs w:val="20"/>
        </w:rPr>
        <w:t>pencil</w:t>
      </w:r>
      <w:proofErr w:type="spellEnd"/>
      <w:r w:rsidRPr="00554476">
        <w:rPr>
          <w:rFonts w:ascii="Arial" w:hAnsi="Arial" w:cs="Arial"/>
          <w:i/>
          <w:sz w:val="20"/>
          <w:szCs w:val="20"/>
        </w:rPr>
        <w:t xml:space="preserve"> rule” no tiene por qué oponerse al Derecho de la Unión, ya que no constituye un caso de integración del pacto nulo por ser abusivo, ni de reducción conservadora de su validez. La delimitación y expulsión del elemento abusivo, con mantenimiento del contenido válido de la cláusula, no supone una integración o sustitución judicial del contenido contractual, sino simplemente la concreción de qué elementos de un pacto son abusivos, y por tanto no pueden vincular al adherente consumidor, y qué otros pueden mantenerse por no ser abusivos y, en consecuencia, ser válidos, vinculantes y útiles para las partes, en el sentido del art. 6.1 de la Directiva (mayor beneficio para el consumidor particular y para los consumidores en general).</w:t>
      </w:r>
    </w:p>
    <w:p w14:paraId="6C9C53AB" w14:textId="77777777" w:rsidR="00115790" w:rsidRPr="00554476" w:rsidRDefault="00115790" w:rsidP="00554476">
      <w:pPr>
        <w:spacing w:after="0" w:line="360" w:lineRule="auto"/>
        <w:ind w:left="567"/>
        <w:jc w:val="both"/>
        <w:rPr>
          <w:rFonts w:ascii="Arial" w:hAnsi="Arial" w:cs="Arial"/>
          <w:i/>
          <w:sz w:val="20"/>
          <w:szCs w:val="20"/>
        </w:rPr>
      </w:pPr>
    </w:p>
    <w:p w14:paraId="4442B26B" w14:textId="77777777" w:rsidR="00115790" w:rsidRPr="00554476" w:rsidRDefault="00115790" w:rsidP="00554476">
      <w:pPr>
        <w:spacing w:after="0" w:line="360" w:lineRule="auto"/>
        <w:ind w:left="567"/>
        <w:jc w:val="both"/>
        <w:rPr>
          <w:rFonts w:ascii="Arial" w:hAnsi="Arial" w:cs="Arial"/>
          <w:i/>
          <w:sz w:val="20"/>
          <w:szCs w:val="20"/>
        </w:rPr>
      </w:pPr>
      <w:r w:rsidRPr="00554476">
        <w:rPr>
          <w:rFonts w:ascii="Arial" w:hAnsi="Arial" w:cs="Arial"/>
          <w:i/>
          <w:sz w:val="20"/>
          <w:szCs w:val="20"/>
        </w:rPr>
        <w:t xml:space="preserve">No se trata, por tanto, de un supuesto de integración de la cláusula, sino de ineficacia parcial, útil en caso de cláusulas nulas por abusivas, en las que, eliminando la parte que se considera abusiva, el contrato subsiste con el resto de la cláusula. Es decir, tras la segregación de la cláusula, el juicio de </w:t>
      </w:r>
      <w:proofErr w:type="spellStart"/>
      <w:r w:rsidRPr="00554476">
        <w:rPr>
          <w:rFonts w:ascii="Arial" w:hAnsi="Arial" w:cs="Arial"/>
          <w:i/>
          <w:sz w:val="20"/>
          <w:szCs w:val="20"/>
        </w:rPr>
        <w:t>abusividad</w:t>
      </w:r>
      <w:proofErr w:type="spellEnd"/>
      <w:r w:rsidRPr="00554476">
        <w:rPr>
          <w:rFonts w:ascii="Arial" w:hAnsi="Arial" w:cs="Arial"/>
          <w:i/>
          <w:sz w:val="20"/>
          <w:szCs w:val="20"/>
        </w:rPr>
        <w:t xml:space="preserve"> o transparencia material se aplica a la cláusula de la manera en que resulta una vez tachada las partes ineficaces. Por tanto, si el clausulado restante arroja un resultado razonable y transparente, debe considerarse que este es válido y eficaz, de la manera que resuelven los Tribunales Supremos de otros Estados miembros de la Unión, por ejemplo, el Tribunal Supremo Federal alemán (BGH), entre otras, en su Sentencia de 10 de octubre de 2013 (BGH III ZR 325/12 - NJW 2014, 141), al considerar que la separación en cuanto al contenido de una cláusula y con ello su </w:t>
      </w:r>
      <w:r w:rsidRPr="00554476">
        <w:rPr>
          <w:rFonts w:ascii="Arial" w:hAnsi="Arial" w:cs="Arial"/>
          <w:i/>
          <w:sz w:val="20"/>
          <w:szCs w:val="20"/>
        </w:rPr>
        <w:lastRenderedPageBreak/>
        <w:t>fraccionamiento en una parte admisible y otra inadmisible se puede producir, cuando la parte ineficaz de la cláusula admite ser tachada sin que el sentido de la otra parte se resienta.”</w:t>
      </w:r>
    </w:p>
    <w:p w14:paraId="4DC390E8" w14:textId="77777777" w:rsidR="00115790" w:rsidRPr="00554476" w:rsidRDefault="00115790" w:rsidP="00554476">
      <w:pPr>
        <w:spacing w:after="0" w:line="360" w:lineRule="auto"/>
        <w:jc w:val="both"/>
        <w:rPr>
          <w:rFonts w:ascii="Arial" w:hAnsi="Arial" w:cs="Arial"/>
          <w:sz w:val="20"/>
          <w:szCs w:val="20"/>
        </w:rPr>
      </w:pPr>
    </w:p>
    <w:p w14:paraId="629AEC8C"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 xml:space="preserve">Como quiera que no toda cláusula de vencimiento anticipado es per se abusiva, en palabras de nuestro Alto Tribunal, puesto que tiene amparo en el Derecho español, puede darse el caso de que lo abusivo no sea todo el contenido de la cláusula enjuiciada, sino únicamente parte de la misma, que se refieren no a la posibilidad general de acordar el vencimiento anticipado por incumplimiento, sino al número y entidad de los impagos que determinen ese vencimiento. </w:t>
      </w:r>
    </w:p>
    <w:p w14:paraId="6C718FA6" w14:textId="77777777" w:rsidR="00115790" w:rsidRPr="00554476" w:rsidRDefault="00115790" w:rsidP="00554476">
      <w:pPr>
        <w:spacing w:after="0" w:line="360" w:lineRule="auto"/>
        <w:jc w:val="both"/>
        <w:rPr>
          <w:rFonts w:ascii="Arial" w:hAnsi="Arial" w:cs="Arial"/>
          <w:sz w:val="20"/>
          <w:szCs w:val="20"/>
        </w:rPr>
      </w:pPr>
    </w:p>
    <w:p w14:paraId="5BA0B682"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 xml:space="preserve">De esta manera, analizando el tenor literal de la cláusula de mi representada, tal sólo podría considerarse abusivo el término </w:t>
      </w:r>
      <w:r w:rsidRPr="00554476">
        <w:rPr>
          <w:rFonts w:ascii="Arial" w:hAnsi="Arial" w:cs="Arial"/>
          <w:i/>
          <w:sz w:val="20"/>
          <w:szCs w:val="20"/>
          <w:lang w:val="es-ES_tradnl"/>
        </w:rPr>
        <w:t>“cualquiera”</w:t>
      </w:r>
      <w:r w:rsidRPr="00554476">
        <w:rPr>
          <w:rFonts w:ascii="Arial" w:hAnsi="Arial" w:cs="Arial"/>
          <w:sz w:val="20"/>
          <w:szCs w:val="20"/>
          <w:lang w:val="es-ES_tradnl"/>
        </w:rPr>
        <w:t xml:space="preserve">, que hace referencia a la posibilidad de vencimiento ante el impago de cualquier vencimiento. </w:t>
      </w:r>
    </w:p>
    <w:p w14:paraId="3F8685F3" w14:textId="77777777" w:rsidR="00115790" w:rsidRPr="00554476" w:rsidRDefault="00115790" w:rsidP="00554476">
      <w:pPr>
        <w:spacing w:after="0" w:line="360" w:lineRule="auto"/>
        <w:jc w:val="both"/>
        <w:rPr>
          <w:rFonts w:ascii="Arial" w:hAnsi="Arial" w:cs="Arial"/>
          <w:sz w:val="20"/>
          <w:szCs w:val="20"/>
        </w:rPr>
      </w:pPr>
    </w:p>
    <w:p w14:paraId="26CD8442"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El Tribunal Supremo considera adecuado seguir esta regla siempre que la parte restante de la cláusula “</w:t>
      </w:r>
      <w:r w:rsidRPr="00554476">
        <w:rPr>
          <w:rFonts w:ascii="Arial" w:hAnsi="Arial" w:cs="Arial"/>
          <w:i/>
          <w:sz w:val="20"/>
          <w:szCs w:val="20"/>
          <w:lang w:val="es-ES_tradnl"/>
        </w:rPr>
        <w:t>resulte gramaticalmente comprensible, tenga sentido jurídico y no suponga incorporar una regulación nueva o distinta de la que inicialmente estaba comprendida en la propia cláusula</w:t>
      </w:r>
      <w:r w:rsidRPr="00554476">
        <w:rPr>
          <w:rFonts w:ascii="Arial" w:hAnsi="Arial" w:cs="Arial"/>
          <w:sz w:val="20"/>
          <w:szCs w:val="20"/>
          <w:lang w:val="es-ES_tradnl"/>
        </w:rPr>
        <w:t>”. Así, “</w:t>
      </w:r>
      <w:r w:rsidRPr="00554476">
        <w:rPr>
          <w:rFonts w:ascii="Arial" w:hAnsi="Arial" w:cs="Arial"/>
          <w:i/>
          <w:sz w:val="20"/>
          <w:szCs w:val="20"/>
          <w:lang w:val="es-ES_tradnl"/>
        </w:rPr>
        <w:t>si el clausulado restante arroja un resultado razonable y transparente, debe considerarse que es válido y eficaz</w:t>
      </w:r>
      <w:r w:rsidRPr="00554476">
        <w:rPr>
          <w:rFonts w:ascii="Arial" w:hAnsi="Arial" w:cs="Arial"/>
          <w:sz w:val="20"/>
          <w:szCs w:val="20"/>
          <w:lang w:val="es-ES_tradnl"/>
        </w:rPr>
        <w:t>”.</w:t>
      </w:r>
    </w:p>
    <w:p w14:paraId="3557AEAB" w14:textId="77777777" w:rsidR="00115790" w:rsidRPr="00554476" w:rsidRDefault="00115790" w:rsidP="00554476">
      <w:pPr>
        <w:spacing w:after="0" w:line="360" w:lineRule="auto"/>
        <w:jc w:val="both"/>
        <w:rPr>
          <w:rFonts w:ascii="Arial" w:hAnsi="Arial" w:cs="Arial"/>
          <w:sz w:val="20"/>
          <w:szCs w:val="20"/>
        </w:rPr>
      </w:pPr>
    </w:p>
    <w:p w14:paraId="7FD4B607"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 xml:space="preserve">Por tanto, aunque la cláusula contractualmente prevista en el contrato haga referencia a la facultad dar por vencido anticipadamente el contrato de préstamo hipotecario por el impago de </w:t>
      </w:r>
      <w:r w:rsidRPr="00554476">
        <w:rPr>
          <w:rFonts w:ascii="Arial" w:hAnsi="Arial" w:cs="Arial"/>
          <w:i/>
          <w:sz w:val="20"/>
          <w:szCs w:val="20"/>
          <w:lang w:val="es-ES_tradnl"/>
        </w:rPr>
        <w:t>“cualquier”</w:t>
      </w:r>
      <w:r w:rsidRPr="00554476">
        <w:rPr>
          <w:rFonts w:ascii="Arial" w:hAnsi="Arial" w:cs="Arial"/>
          <w:sz w:val="20"/>
          <w:szCs w:val="20"/>
          <w:lang w:val="es-ES_tradnl"/>
        </w:rPr>
        <w:t xml:space="preserve"> vencimiento (como permitía la anterior redacción de la Ley de Enjuiciamiento Civil), aplicando la doctrina del </w:t>
      </w:r>
      <w:r w:rsidRPr="00554476">
        <w:rPr>
          <w:rFonts w:ascii="Arial" w:hAnsi="Arial" w:cs="Arial"/>
          <w:i/>
          <w:sz w:val="20"/>
          <w:szCs w:val="20"/>
          <w:lang w:val="es-ES_tradnl"/>
        </w:rPr>
        <w:t xml:space="preserve">blue </w:t>
      </w:r>
      <w:proofErr w:type="spellStart"/>
      <w:r w:rsidRPr="00554476">
        <w:rPr>
          <w:rFonts w:ascii="Arial" w:hAnsi="Arial" w:cs="Arial"/>
          <w:i/>
          <w:sz w:val="20"/>
          <w:szCs w:val="20"/>
          <w:lang w:val="es-ES_tradnl"/>
        </w:rPr>
        <w:t>pencil</w:t>
      </w:r>
      <w:proofErr w:type="spellEnd"/>
      <w:r w:rsidRPr="00554476">
        <w:rPr>
          <w:rFonts w:ascii="Arial" w:hAnsi="Arial" w:cs="Arial"/>
          <w:i/>
          <w:sz w:val="20"/>
          <w:szCs w:val="20"/>
          <w:lang w:val="es-ES_tradnl"/>
        </w:rPr>
        <w:t xml:space="preserve"> rule</w:t>
      </w:r>
      <w:r w:rsidRPr="00554476">
        <w:rPr>
          <w:rFonts w:ascii="Arial" w:hAnsi="Arial" w:cs="Arial"/>
          <w:sz w:val="20"/>
          <w:szCs w:val="20"/>
          <w:lang w:val="es-ES_tradnl"/>
        </w:rPr>
        <w:t xml:space="preserve"> bastaría con eliminar la palabra </w:t>
      </w:r>
      <w:r w:rsidRPr="00554476">
        <w:rPr>
          <w:rFonts w:ascii="Arial" w:hAnsi="Arial" w:cs="Arial"/>
          <w:i/>
          <w:sz w:val="20"/>
          <w:szCs w:val="20"/>
          <w:lang w:val="es-ES_tradnl"/>
        </w:rPr>
        <w:t>“cualquier”</w:t>
      </w:r>
      <w:r w:rsidRPr="00554476">
        <w:rPr>
          <w:rFonts w:ascii="Arial" w:hAnsi="Arial" w:cs="Arial"/>
          <w:sz w:val="20"/>
          <w:szCs w:val="20"/>
          <w:lang w:val="es-ES_tradnl"/>
        </w:rPr>
        <w:t xml:space="preserve"> para que la misma tuviera cabida y no se estimare abusiva y, por tanto, nula en su integridad, permitiendo acudir al acreedor a la ejecución de la hipoteca por vía del procedimiento especial creado para ello, que es más favorable para el consumidor. El Tribunal Supremo deja claro en esta cuestión prejudicial al TJUE que </w:t>
      </w:r>
      <w:r w:rsidRPr="00554476">
        <w:rPr>
          <w:rFonts w:ascii="Arial" w:hAnsi="Arial" w:cs="Arial"/>
          <w:i/>
          <w:sz w:val="20"/>
          <w:szCs w:val="20"/>
          <w:lang w:val="es-ES_tradnl"/>
        </w:rPr>
        <w:t>“el artículo 693 LEC es la vía más efectiva para asegurar el objetivo de la Unión de proteger al consumidor”</w:t>
      </w:r>
      <w:r w:rsidRPr="00554476">
        <w:rPr>
          <w:rFonts w:ascii="Arial" w:hAnsi="Arial" w:cs="Arial"/>
          <w:sz w:val="20"/>
          <w:szCs w:val="20"/>
          <w:lang w:val="es-ES_tradnl"/>
        </w:rPr>
        <w:t>.</w:t>
      </w:r>
    </w:p>
    <w:p w14:paraId="1E581791" w14:textId="77777777" w:rsidR="00115790" w:rsidRPr="00554476" w:rsidRDefault="00115790" w:rsidP="00554476">
      <w:pPr>
        <w:spacing w:after="0" w:line="360" w:lineRule="auto"/>
        <w:jc w:val="both"/>
        <w:rPr>
          <w:rFonts w:ascii="Arial" w:hAnsi="Arial" w:cs="Arial"/>
          <w:sz w:val="20"/>
          <w:szCs w:val="20"/>
        </w:rPr>
      </w:pPr>
    </w:p>
    <w:p w14:paraId="348CD43E" w14:textId="77777777" w:rsidR="00115790" w:rsidRPr="00554476" w:rsidRDefault="00115790" w:rsidP="00554476">
      <w:pPr>
        <w:spacing w:after="0" w:line="360" w:lineRule="auto"/>
        <w:jc w:val="both"/>
        <w:rPr>
          <w:rFonts w:ascii="Arial" w:hAnsi="Arial" w:cs="Arial"/>
          <w:sz w:val="20"/>
          <w:szCs w:val="20"/>
          <w:lang w:val="es-ES_tradnl"/>
        </w:rPr>
      </w:pPr>
      <w:r w:rsidRPr="00554476">
        <w:rPr>
          <w:rFonts w:ascii="Arial" w:hAnsi="Arial" w:cs="Arial"/>
          <w:sz w:val="20"/>
          <w:szCs w:val="20"/>
          <w:lang w:val="es-ES_tradnl"/>
        </w:rPr>
        <w:t>En el presente caso en el que no se ha ejercitado la cláusula de vencimiento, aplicando esta doctrina, la cláusula de mi representada quedaría reducida a la posibilidad de vencimiento por incumplimiento de pago “genérico” de las cuotas del préstamo, lo que conllevaría a examinar en el supuesto futuro e incierto de un posible vencimiento anticipado, el número y la entidad o la esencialidad de las cuotas impagadas.</w:t>
      </w:r>
    </w:p>
    <w:p w14:paraId="4CA1D754" w14:textId="26FB8FDA" w:rsidR="007D6636" w:rsidRPr="00554476" w:rsidRDefault="007D6636" w:rsidP="00554476">
      <w:pPr>
        <w:spacing w:after="0" w:line="360" w:lineRule="auto"/>
        <w:jc w:val="both"/>
        <w:rPr>
          <w:rFonts w:ascii="Arial" w:hAnsi="Arial" w:cs="Arial"/>
          <w:sz w:val="20"/>
          <w:szCs w:val="20"/>
        </w:rPr>
      </w:pPr>
    </w:p>
    <w:p w14:paraId="7E0E956E" w14:textId="77777777" w:rsidR="001D2798" w:rsidRDefault="001D2798" w:rsidP="00554476">
      <w:pPr>
        <w:pStyle w:val="Ttulo1"/>
        <w:spacing w:before="0" w:line="360" w:lineRule="auto"/>
        <w:jc w:val="center"/>
        <w:rPr>
          <w:rFonts w:ascii="Arial" w:eastAsia="Bankinter" w:hAnsi="Arial" w:cs="Arial"/>
          <w:color w:val="auto"/>
          <w:sz w:val="20"/>
          <w:szCs w:val="20"/>
        </w:rPr>
      </w:pPr>
      <w:bookmarkStart w:id="11" w:name="_Toc54185195"/>
    </w:p>
    <w:p w14:paraId="41DD384A" w14:textId="10B154CA" w:rsidR="000276D7" w:rsidRPr="00554476" w:rsidRDefault="006B48C9" w:rsidP="00554476">
      <w:pPr>
        <w:pStyle w:val="Ttulo1"/>
        <w:spacing w:before="0" w:line="360" w:lineRule="auto"/>
        <w:jc w:val="center"/>
        <w:rPr>
          <w:rFonts w:ascii="Arial" w:eastAsia="Bankinter" w:hAnsi="Arial" w:cs="Arial"/>
          <w:color w:val="auto"/>
          <w:sz w:val="20"/>
          <w:szCs w:val="20"/>
        </w:rPr>
      </w:pPr>
      <w:r w:rsidRPr="00554476">
        <w:rPr>
          <w:rFonts w:ascii="Arial" w:eastAsia="Bankinter" w:hAnsi="Arial" w:cs="Arial"/>
          <w:color w:val="auto"/>
          <w:sz w:val="20"/>
          <w:szCs w:val="20"/>
        </w:rPr>
        <w:t>FUNDAMENTOS DE DERECHO</w:t>
      </w:r>
      <w:bookmarkEnd w:id="11"/>
    </w:p>
    <w:p w14:paraId="6C79F35E" w14:textId="77777777" w:rsidR="00ED68BD" w:rsidRPr="00554476" w:rsidRDefault="00ED68BD" w:rsidP="00554476">
      <w:pPr>
        <w:spacing w:after="0" w:line="360" w:lineRule="auto"/>
        <w:jc w:val="center"/>
        <w:rPr>
          <w:rFonts w:ascii="Arial" w:hAnsi="Arial" w:cs="Arial"/>
          <w:b/>
          <w:sz w:val="20"/>
          <w:szCs w:val="20"/>
        </w:rPr>
      </w:pPr>
    </w:p>
    <w:p w14:paraId="79E28138" w14:textId="254B2EEB" w:rsidR="006B48C9" w:rsidRDefault="00CB2235" w:rsidP="00554476">
      <w:pPr>
        <w:spacing w:after="0" w:line="360" w:lineRule="auto"/>
        <w:jc w:val="center"/>
        <w:rPr>
          <w:rFonts w:ascii="Arial" w:hAnsi="Arial" w:cs="Arial"/>
          <w:b/>
          <w:sz w:val="20"/>
          <w:szCs w:val="20"/>
        </w:rPr>
      </w:pPr>
      <w:r w:rsidRPr="00554476">
        <w:rPr>
          <w:rFonts w:ascii="Arial" w:hAnsi="Arial" w:cs="Arial"/>
          <w:b/>
          <w:sz w:val="20"/>
          <w:szCs w:val="20"/>
        </w:rPr>
        <w:t>A</w:t>
      </w:r>
    </w:p>
    <w:p w14:paraId="5053C69C" w14:textId="77777777" w:rsidR="00592553" w:rsidRPr="00554476" w:rsidRDefault="00592553" w:rsidP="00554476">
      <w:pPr>
        <w:spacing w:after="0" w:line="360" w:lineRule="auto"/>
        <w:jc w:val="center"/>
        <w:rPr>
          <w:rFonts w:ascii="Arial" w:hAnsi="Arial" w:cs="Arial"/>
          <w:b/>
          <w:sz w:val="20"/>
          <w:szCs w:val="20"/>
        </w:rPr>
      </w:pPr>
    </w:p>
    <w:p w14:paraId="01843B08" w14:textId="292AE5F1" w:rsidR="006B48C9" w:rsidRPr="00554476" w:rsidRDefault="006B48C9" w:rsidP="00554476">
      <w:pPr>
        <w:pStyle w:val="Ttulo1"/>
        <w:spacing w:before="0" w:line="360" w:lineRule="auto"/>
        <w:jc w:val="center"/>
        <w:rPr>
          <w:rFonts w:ascii="Arial" w:eastAsia="Bankinter" w:hAnsi="Arial" w:cs="Arial"/>
          <w:color w:val="auto"/>
          <w:sz w:val="20"/>
          <w:szCs w:val="20"/>
          <w:u w:val="single"/>
        </w:rPr>
      </w:pPr>
      <w:bookmarkStart w:id="12" w:name="_Toc54185196"/>
      <w:r w:rsidRPr="00554476">
        <w:rPr>
          <w:rFonts w:ascii="Arial" w:eastAsia="Bankinter" w:hAnsi="Arial" w:cs="Arial"/>
          <w:color w:val="auto"/>
          <w:sz w:val="20"/>
          <w:szCs w:val="20"/>
          <w:u w:val="single"/>
        </w:rPr>
        <w:t>DE CARÁCTER PROCESAL</w:t>
      </w:r>
      <w:bookmarkEnd w:id="12"/>
    </w:p>
    <w:p w14:paraId="6C6803A6" w14:textId="77777777" w:rsidR="00F04469" w:rsidRPr="00554476" w:rsidRDefault="00F04469" w:rsidP="00554476">
      <w:pPr>
        <w:spacing w:after="0" w:line="360" w:lineRule="auto"/>
        <w:rPr>
          <w:rFonts w:ascii="Arial" w:hAnsi="Arial" w:cs="Arial"/>
          <w:sz w:val="20"/>
          <w:szCs w:val="20"/>
        </w:rPr>
      </w:pPr>
    </w:p>
    <w:p w14:paraId="5B081DA7" w14:textId="19E7EDB2" w:rsidR="00ED68BD" w:rsidRPr="00554476" w:rsidRDefault="00DF7285" w:rsidP="00554476">
      <w:pPr>
        <w:pStyle w:val="Ttulo2"/>
        <w:spacing w:before="0" w:line="360" w:lineRule="auto"/>
        <w:jc w:val="both"/>
        <w:rPr>
          <w:rFonts w:ascii="Arial" w:eastAsia="Bankinter" w:hAnsi="Arial" w:cs="Arial"/>
          <w:b/>
          <w:color w:val="auto"/>
          <w:sz w:val="20"/>
          <w:szCs w:val="20"/>
          <w:u w:val="single"/>
        </w:rPr>
      </w:pPr>
      <w:bookmarkStart w:id="13" w:name="_Toc54185197"/>
      <w:r w:rsidRPr="00554476">
        <w:rPr>
          <w:rFonts w:ascii="Arial" w:eastAsia="Bankinter" w:hAnsi="Arial" w:cs="Arial"/>
          <w:b/>
          <w:color w:val="auto"/>
          <w:sz w:val="20"/>
          <w:szCs w:val="20"/>
          <w:u w:val="single"/>
        </w:rPr>
        <w:t>PRIMERO. -</w:t>
      </w:r>
      <w:r w:rsidR="00FD0CE1" w:rsidRPr="00554476">
        <w:rPr>
          <w:rFonts w:ascii="Arial" w:eastAsia="Bankinter" w:hAnsi="Arial" w:cs="Arial"/>
          <w:b/>
          <w:color w:val="auto"/>
          <w:sz w:val="20"/>
          <w:szCs w:val="20"/>
          <w:u w:val="single"/>
        </w:rPr>
        <w:t xml:space="preserve"> Jurisdicción y competencia.</w:t>
      </w:r>
      <w:bookmarkEnd w:id="13"/>
    </w:p>
    <w:p w14:paraId="4B6C0006" w14:textId="765802BF" w:rsidR="006E64B3" w:rsidRPr="00554476" w:rsidRDefault="006E64B3" w:rsidP="00554476">
      <w:pPr>
        <w:spacing w:after="0" w:line="360" w:lineRule="auto"/>
        <w:jc w:val="both"/>
        <w:rPr>
          <w:rFonts w:ascii="Arial" w:hAnsi="Arial" w:cs="Arial"/>
          <w:sz w:val="20"/>
          <w:szCs w:val="20"/>
        </w:rPr>
      </w:pPr>
      <w:r w:rsidRPr="00554476">
        <w:rPr>
          <w:rFonts w:ascii="Arial" w:hAnsi="Arial" w:cs="Arial"/>
          <w:sz w:val="20"/>
          <w:szCs w:val="20"/>
        </w:rPr>
        <w:t xml:space="preserve">Esta parte se muestra conforme con la Jurisdicción y Competencia de los Juzgados de Primera </w:t>
      </w:r>
      <w:r w:rsidR="00B351E8" w:rsidRPr="00554476">
        <w:rPr>
          <w:rFonts w:ascii="Arial" w:hAnsi="Arial" w:cs="Arial"/>
          <w:sz w:val="20"/>
          <w:szCs w:val="20"/>
        </w:rPr>
        <w:t xml:space="preserve">Instancia </w:t>
      </w:r>
      <w:r w:rsidR="00573184">
        <w:rPr>
          <w:rFonts w:ascii="Arial" w:hAnsi="Arial" w:cs="Arial"/>
          <w:sz w:val="20"/>
          <w:szCs w:val="20"/>
        </w:rPr>
        <w:t>a los que me dirijo,</w:t>
      </w:r>
      <w:r w:rsidRPr="00554476">
        <w:rPr>
          <w:rFonts w:ascii="Arial" w:hAnsi="Arial" w:cs="Arial"/>
          <w:sz w:val="20"/>
          <w:szCs w:val="20"/>
        </w:rPr>
        <w:t xml:space="preserve"> para conocer del presente procedimiento.</w:t>
      </w:r>
    </w:p>
    <w:p w14:paraId="5B1077E0" w14:textId="77777777" w:rsidR="00F04469" w:rsidRPr="00554476" w:rsidRDefault="00F04469" w:rsidP="00554476">
      <w:pPr>
        <w:spacing w:after="0" w:line="360" w:lineRule="auto"/>
        <w:jc w:val="both"/>
        <w:rPr>
          <w:rFonts w:ascii="Arial" w:hAnsi="Arial" w:cs="Arial"/>
          <w:sz w:val="20"/>
          <w:szCs w:val="20"/>
        </w:rPr>
      </w:pPr>
    </w:p>
    <w:p w14:paraId="6FD0B509" w14:textId="77777777" w:rsidR="00BE4807" w:rsidRPr="00554476" w:rsidRDefault="00BE4807" w:rsidP="00554476">
      <w:pPr>
        <w:tabs>
          <w:tab w:val="left" w:pos="2250"/>
        </w:tabs>
        <w:spacing w:after="0" w:line="360" w:lineRule="auto"/>
        <w:jc w:val="both"/>
        <w:rPr>
          <w:rFonts w:ascii="Arial" w:hAnsi="Arial" w:cs="Arial"/>
          <w:sz w:val="20"/>
          <w:szCs w:val="20"/>
        </w:rPr>
      </w:pPr>
    </w:p>
    <w:p w14:paraId="0F320651" w14:textId="321D8B7E" w:rsidR="00F04469" w:rsidRPr="00554476" w:rsidRDefault="00DF7285" w:rsidP="00554476">
      <w:pPr>
        <w:pStyle w:val="Ttulo2"/>
        <w:spacing w:before="0" w:line="360" w:lineRule="auto"/>
        <w:jc w:val="both"/>
        <w:rPr>
          <w:rFonts w:ascii="Arial" w:eastAsia="Bankinter" w:hAnsi="Arial" w:cs="Arial"/>
          <w:b/>
          <w:color w:val="auto"/>
          <w:sz w:val="20"/>
          <w:szCs w:val="20"/>
          <w:u w:val="single"/>
        </w:rPr>
      </w:pPr>
      <w:bookmarkStart w:id="14" w:name="_Toc54185198"/>
      <w:r w:rsidRPr="00554476">
        <w:rPr>
          <w:rFonts w:ascii="Arial" w:eastAsia="Bankinter" w:hAnsi="Arial" w:cs="Arial"/>
          <w:b/>
          <w:color w:val="auto"/>
          <w:sz w:val="20"/>
          <w:szCs w:val="20"/>
          <w:u w:val="single"/>
        </w:rPr>
        <w:t>SEGUNDO. -</w:t>
      </w:r>
      <w:r w:rsidR="00FD0CE1" w:rsidRPr="00554476">
        <w:rPr>
          <w:rFonts w:ascii="Arial" w:eastAsia="Bankinter" w:hAnsi="Arial" w:cs="Arial"/>
          <w:b/>
          <w:color w:val="auto"/>
          <w:sz w:val="20"/>
          <w:szCs w:val="20"/>
          <w:u w:val="single"/>
        </w:rPr>
        <w:t xml:space="preserve"> Capacidad y legitimación.</w:t>
      </w:r>
      <w:bookmarkEnd w:id="14"/>
    </w:p>
    <w:p w14:paraId="0F280AD5" w14:textId="4266376E" w:rsidR="0033690C" w:rsidRPr="00554476" w:rsidRDefault="00FD0CE1" w:rsidP="00554476">
      <w:pPr>
        <w:spacing w:after="0" w:line="360" w:lineRule="auto"/>
        <w:jc w:val="both"/>
        <w:rPr>
          <w:rFonts w:ascii="Arial" w:eastAsia="MS Gothic" w:hAnsi="Arial" w:cs="Arial"/>
          <w:noProof/>
          <w:sz w:val="20"/>
          <w:szCs w:val="20"/>
        </w:rPr>
      </w:pPr>
      <w:r w:rsidRPr="00554476">
        <w:rPr>
          <w:rFonts w:ascii="Arial" w:eastAsia="MS Gothic" w:hAnsi="Arial" w:cs="Arial"/>
          <w:noProof/>
          <w:sz w:val="20"/>
          <w:szCs w:val="20"/>
        </w:rPr>
        <w:t xml:space="preserve">Nada que objetar en lo que atañe a la capacidad procesal de mi representada. </w:t>
      </w:r>
    </w:p>
    <w:p w14:paraId="66695A17" w14:textId="77777777" w:rsidR="00F04469" w:rsidRPr="00554476" w:rsidRDefault="00F04469" w:rsidP="00554476">
      <w:pPr>
        <w:spacing w:after="0" w:line="360" w:lineRule="auto"/>
        <w:jc w:val="both"/>
        <w:rPr>
          <w:rFonts w:ascii="Arial" w:eastAsia="MS Gothic" w:hAnsi="Arial" w:cs="Arial"/>
          <w:noProof/>
          <w:sz w:val="20"/>
          <w:szCs w:val="20"/>
        </w:rPr>
      </w:pPr>
    </w:p>
    <w:p w14:paraId="07C54AEC" w14:textId="3D5DFF7F" w:rsidR="00FD0CE1" w:rsidRPr="00554476" w:rsidRDefault="00FD0CE1" w:rsidP="00554476">
      <w:pPr>
        <w:widowControl w:val="0"/>
        <w:overflowPunct w:val="0"/>
        <w:adjustRightInd w:val="0"/>
        <w:spacing w:after="0" w:line="360" w:lineRule="auto"/>
        <w:ind w:right="-142"/>
        <w:contextualSpacing/>
        <w:jc w:val="both"/>
        <w:rPr>
          <w:rFonts w:ascii="Arial" w:hAnsi="Arial" w:cs="Arial"/>
          <w:sz w:val="20"/>
          <w:szCs w:val="20"/>
        </w:rPr>
      </w:pPr>
    </w:p>
    <w:p w14:paraId="46C1E8E3" w14:textId="0475B3C7" w:rsidR="00F04469" w:rsidRPr="00554476" w:rsidRDefault="00DF7285" w:rsidP="00554476">
      <w:pPr>
        <w:pStyle w:val="Ttulo2"/>
        <w:spacing w:before="0" w:line="360" w:lineRule="auto"/>
        <w:jc w:val="both"/>
        <w:rPr>
          <w:rFonts w:ascii="Arial" w:eastAsia="Bankinter" w:hAnsi="Arial" w:cs="Arial"/>
          <w:b/>
          <w:color w:val="auto"/>
          <w:sz w:val="20"/>
          <w:szCs w:val="20"/>
          <w:u w:val="single"/>
        </w:rPr>
      </w:pPr>
      <w:bookmarkStart w:id="15" w:name="_Toc54185199"/>
      <w:r w:rsidRPr="00554476">
        <w:rPr>
          <w:rFonts w:ascii="Arial" w:eastAsia="Bankinter" w:hAnsi="Arial" w:cs="Arial"/>
          <w:b/>
          <w:color w:val="auto"/>
          <w:sz w:val="20"/>
          <w:szCs w:val="20"/>
          <w:u w:val="single"/>
        </w:rPr>
        <w:t>TERCERO. -</w:t>
      </w:r>
      <w:r w:rsidR="00922E2C" w:rsidRPr="00554476">
        <w:rPr>
          <w:rFonts w:ascii="Arial" w:eastAsia="Bankinter" w:hAnsi="Arial" w:cs="Arial"/>
          <w:b/>
          <w:color w:val="auto"/>
          <w:sz w:val="20"/>
          <w:szCs w:val="20"/>
          <w:u w:val="single"/>
        </w:rPr>
        <w:t xml:space="preserve"> Procedimiento y requisitos formales</w:t>
      </w:r>
      <w:r w:rsidR="00CA2347" w:rsidRPr="00554476">
        <w:rPr>
          <w:rFonts w:ascii="Arial" w:eastAsia="Bankinter" w:hAnsi="Arial" w:cs="Arial"/>
          <w:b/>
          <w:color w:val="auto"/>
          <w:sz w:val="20"/>
          <w:szCs w:val="20"/>
          <w:u w:val="single"/>
        </w:rPr>
        <w:t>.</w:t>
      </w:r>
      <w:bookmarkEnd w:id="15"/>
    </w:p>
    <w:p w14:paraId="2E1387DD" w14:textId="115A0D6E" w:rsidR="00086846" w:rsidRPr="00554476" w:rsidRDefault="00086846"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Nada que objetar en cuanto a este particular. Deben seguirse los trámites de juicio ordinario por razón de la materia, habida cuenta de lo dispuesto en la regla 5ª del artículo 248.1 de la Ley de Enjuiciamiento Civil</w:t>
      </w:r>
      <w:r w:rsidR="008F5D9B" w:rsidRPr="00554476">
        <w:rPr>
          <w:rFonts w:ascii="Arial" w:eastAsia="Calibri" w:hAnsi="Arial" w:cs="Arial"/>
          <w:spacing w:val="4"/>
          <w:sz w:val="20"/>
          <w:szCs w:val="20"/>
        </w:rPr>
        <w:t xml:space="preserve"> (en adelante, LEC)</w:t>
      </w:r>
      <w:r w:rsidRPr="00554476">
        <w:rPr>
          <w:rFonts w:ascii="Arial" w:eastAsia="Calibri" w:hAnsi="Arial" w:cs="Arial"/>
          <w:spacing w:val="4"/>
          <w:sz w:val="20"/>
          <w:szCs w:val="20"/>
        </w:rPr>
        <w:t>.</w:t>
      </w:r>
    </w:p>
    <w:p w14:paraId="3E4FF629" w14:textId="77777777" w:rsidR="00086846" w:rsidRPr="00554476" w:rsidRDefault="00086846" w:rsidP="00554476">
      <w:pPr>
        <w:spacing w:after="0" w:line="360" w:lineRule="auto"/>
        <w:jc w:val="both"/>
        <w:rPr>
          <w:rFonts w:ascii="Arial" w:eastAsia="MS Gothic" w:hAnsi="Arial" w:cs="Arial"/>
          <w:noProof/>
          <w:sz w:val="20"/>
          <w:szCs w:val="20"/>
        </w:rPr>
      </w:pPr>
    </w:p>
    <w:p w14:paraId="1CA36AAC" w14:textId="3967AA53" w:rsidR="00086846" w:rsidRPr="00554476" w:rsidRDefault="00086846" w:rsidP="00554476">
      <w:pPr>
        <w:spacing w:after="0" w:line="360" w:lineRule="auto"/>
        <w:jc w:val="both"/>
        <w:rPr>
          <w:rFonts w:ascii="Arial" w:eastAsia="MS Gothic" w:hAnsi="Arial" w:cs="Arial"/>
          <w:noProof/>
          <w:sz w:val="20"/>
          <w:szCs w:val="20"/>
        </w:rPr>
      </w:pPr>
      <w:r w:rsidRPr="00554476">
        <w:rPr>
          <w:rFonts w:ascii="Arial" w:eastAsia="MS Gothic" w:hAnsi="Arial" w:cs="Arial"/>
          <w:noProof/>
          <w:sz w:val="20"/>
          <w:szCs w:val="20"/>
        </w:rPr>
        <w:t xml:space="preserve">Por otro lado, la presente contestación cumple con lo establecido en el artículo 405 de la </w:t>
      </w:r>
      <w:r w:rsidR="008F5D9B" w:rsidRPr="00554476">
        <w:rPr>
          <w:rFonts w:ascii="Arial" w:eastAsia="MS Gothic" w:hAnsi="Arial" w:cs="Arial"/>
          <w:noProof/>
          <w:sz w:val="20"/>
          <w:szCs w:val="20"/>
        </w:rPr>
        <w:t>LEC</w:t>
      </w:r>
      <w:r w:rsidRPr="00554476">
        <w:rPr>
          <w:rFonts w:ascii="Arial" w:eastAsia="MS Gothic" w:hAnsi="Arial" w:cs="Arial"/>
          <w:noProof/>
          <w:sz w:val="20"/>
          <w:szCs w:val="20"/>
        </w:rPr>
        <w:t>, en relación con el 399 de la LEC, en cuanto a la estructura que, legalmente, habrá de revestir la contestación a la demanda.</w:t>
      </w:r>
    </w:p>
    <w:p w14:paraId="58FE02ED" w14:textId="77777777" w:rsidR="00F04469" w:rsidRPr="00554476" w:rsidRDefault="00F04469" w:rsidP="00554476">
      <w:pPr>
        <w:spacing w:after="0" w:line="360" w:lineRule="auto"/>
        <w:jc w:val="both"/>
        <w:rPr>
          <w:rFonts w:ascii="Arial" w:eastAsia="MS Gothic" w:hAnsi="Arial" w:cs="Arial"/>
          <w:noProof/>
          <w:sz w:val="20"/>
          <w:szCs w:val="20"/>
        </w:rPr>
      </w:pPr>
    </w:p>
    <w:p w14:paraId="2148C0B9" w14:textId="07296ABB" w:rsidR="005B4F39" w:rsidRPr="00554476" w:rsidRDefault="005B4F39" w:rsidP="00554476">
      <w:pPr>
        <w:spacing w:after="0" w:line="360" w:lineRule="auto"/>
        <w:jc w:val="both"/>
        <w:rPr>
          <w:rFonts w:ascii="Arial" w:hAnsi="Arial" w:cs="Arial"/>
          <w:sz w:val="20"/>
          <w:szCs w:val="20"/>
        </w:rPr>
      </w:pPr>
    </w:p>
    <w:p w14:paraId="2A3730FD" w14:textId="72742A67" w:rsidR="00086846" w:rsidRPr="00554476" w:rsidRDefault="00DF7285" w:rsidP="00554476">
      <w:pPr>
        <w:pStyle w:val="Ttulo2"/>
        <w:spacing w:before="0" w:line="360" w:lineRule="auto"/>
        <w:jc w:val="both"/>
        <w:rPr>
          <w:rFonts w:ascii="Arial" w:eastAsia="Bankinter" w:hAnsi="Arial" w:cs="Arial"/>
          <w:b/>
          <w:color w:val="auto"/>
          <w:sz w:val="20"/>
          <w:szCs w:val="20"/>
          <w:u w:val="single"/>
        </w:rPr>
      </w:pPr>
      <w:bookmarkStart w:id="16" w:name="_Toc54185200"/>
      <w:r w:rsidRPr="00554476">
        <w:rPr>
          <w:rFonts w:ascii="Arial" w:eastAsia="Bankinter" w:hAnsi="Arial" w:cs="Arial"/>
          <w:b/>
          <w:color w:val="auto"/>
          <w:sz w:val="20"/>
          <w:szCs w:val="20"/>
          <w:u w:val="single"/>
        </w:rPr>
        <w:t>CUARTO. -</w:t>
      </w:r>
      <w:r w:rsidR="00086846" w:rsidRPr="00554476">
        <w:rPr>
          <w:rFonts w:ascii="Arial" w:eastAsia="Bankinter" w:hAnsi="Arial" w:cs="Arial"/>
          <w:b/>
          <w:color w:val="auto"/>
          <w:sz w:val="20"/>
          <w:szCs w:val="20"/>
          <w:u w:val="single"/>
        </w:rPr>
        <w:t xml:space="preserve"> </w:t>
      </w:r>
      <w:r w:rsidR="008F5D9B" w:rsidRPr="00554476">
        <w:rPr>
          <w:rFonts w:ascii="Arial" w:eastAsia="Bankinter" w:hAnsi="Arial" w:cs="Arial"/>
          <w:b/>
          <w:color w:val="auto"/>
          <w:sz w:val="20"/>
          <w:szCs w:val="20"/>
          <w:u w:val="single"/>
        </w:rPr>
        <w:t>Postulación.</w:t>
      </w:r>
      <w:bookmarkEnd w:id="16"/>
    </w:p>
    <w:p w14:paraId="6CED8787" w14:textId="77777777" w:rsidR="00F04469" w:rsidRPr="00554476" w:rsidRDefault="00F04469" w:rsidP="00554476">
      <w:pPr>
        <w:autoSpaceDE w:val="0"/>
        <w:autoSpaceDN w:val="0"/>
        <w:adjustRightInd w:val="0"/>
        <w:spacing w:after="0" w:line="360" w:lineRule="auto"/>
        <w:jc w:val="both"/>
        <w:rPr>
          <w:rFonts w:ascii="Arial" w:eastAsia="MS Gothic" w:hAnsi="Arial" w:cs="Arial"/>
          <w:noProof/>
          <w:sz w:val="20"/>
          <w:szCs w:val="20"/>
        </w:rPr>
      </w:pPr>
    </w:p>
    <w:p w14:paraId="36C77BA6" w14:textId="1EAB635C" w:rsidR="00086846" w:rsidRPr="00554476" w:rsidRDefault="00A25EBA" w:rsidP="00554476">
      <w:pPr>
        <w:autoSpaceDE w:val="0"/>
        <w:autoSpaceDN w:val="0"/>
        <w:adjustRightInd w:val="0"/>
        <w:spacing w:after="0" w:line="360" w:lineRule="auto"/>
        <w:jc w:val="both"/>
        <w:rPr>
          <w:rFonts w:ascii="Arial" w:eastAsia="MS Gothic" w:hAnsi="Arial" w:cs="Arial"/>
          <w:noProof/>
          <w:sz w:val="20"/>
          <w:szCs w:val="20"/>
        </w:rPr>
      </w:pPr>
      <w:r w:rsidRPr="00554476">
        <w:rPr>
          <w:rFonts w:ascii="Arial" w:eastAsia="MS Gothic" w:hAnsi="Arial" w:cs="Arial"/>
          <w:noProof/>
          <w:sz w:val="20"/>
          <w:szCs w:val="20"/>
        </w:rPr>
        <w:t>Tal y como establecen los artículos 23 y 31 de la LEC, la presente contestación aparece firmada por Procuradora de los Tribunales debidamente apoderada, así como por Letrado.</w:t>
      </w:r>
    </w:p>
    <w:p w14:paraId="1DDF7356" w14:textId="37E58D7E" w:rsidR="00A25EBA" w:rsidRPr="00554476" w:rsidRDefault="00A25EBA" w:rsidP="00554476">
      <w:pPr>
        <w:spacing w:after="0" w:line="360" w:lineRule="auto"/>
        <w:jc w:val="both"/>
        <w:rPr>
          <w:rFonts w:ascii="Arial" w:hAnsi="Arial" w:cs="Arial"/>
          <w:sz w:val="20"/>
          <w:szCs w:val="20"/>
        </w:rPr>
      </w:pPr>
    </w:p>
    <w:p w14:paraId="20587087" w14:textId="11219868" w:rsidR="00086846" w:rsidRDefault="00DF7285" w:rsidP="00554476">
      <w:pPr>
        <w:pStyle w:val="Ttulo2"/>
        <w:spacing w:before="0" w:line="360" w:lineRule="auto"/>
        <w:jc w:val="both"/>
        <w:rPr>
          <w:rFonts w:ascii="Arial" w:eastAsia="Bankinter" w:hAnsi="Arial" w:cs="Arial"/>
          <w:b/>
          <w:color w:val="auto"/>
          <w:sz w:val="20"/>
          <w:szCs w:val="20"/>
          <w:u w:val="single"/>
        </w:rPr>
      </w:pPr>
      <w:bookmarkStart w:id="17" w:name="_Toc54185201"/>
      <w:r w:rsidRPr="00554476">
        <w:rPr>
          <w:rFonts w:ascii="Arial" w:eastAsia="Bankinter" w:hAnsi="Arial" w:cs="Arial"/>
          <w:b/>
          <w:color w:val="auto"/>
          <w:sz w:val="20"/>
          <w:szCs w:val="20"/>
          <w:u w:val="single"/>
        </w:rPr>
        <w:t xml:space="preserve">QUINTO. </w:t>
      </w:r>
      <w:r w:rsidR="00625762" w:rsidRPr="00554476">
        <w:rPr>
          <w:rFonts w:ascii="Arial" w:eastAsia="Bankinter" w:hAnsi="Arial" w:cs="Arial"/>
          <w:b/>
          <w:color w:val="auto"/>
          <w:sz w:val="20"/>
          <w:szCs w:val="20"/>
          <w:u w:val="single"/>
        </w:rPr>
        <w:t>–</w:t>
      </w:r>
      <w:r w:rsidR="00086846" w:rsidRPr="00554476">
        <w:rPr>
          <w:rFonts w:ascii="Arial" w:eastAsia="Bankinter" w:hAnsi="Arial" w:cs="Arial"/>
          <w:b/>
          <w:color w:val="auto"/>
          <w:sz w:val="20"/>
          <w:szCs w:val="20"/>
          <w:u w:val="single"/>
        </w:rPr>
        <w:t xml:space="preserve"> </w:t>
      </w:r>
      <w:r w:rsidR="002F763B" w:rsidRPr="00554476">
        <w:rPr>
          <w:rFonts w:ascii="Arial" w:eastAsia="Bankinter" w:hAnsi="Arial" w:cs="Arial"/>
          <w:b/>
          <w:color w:val="auto"/>
          <w:sz w:val="20"/>
          <w:szCs w:val="20"/>
          <w:u w:val="single"/>
        </w:rPr>
        <w:t>Cuantía</w:t>
      </w:r>
      <w:r w:rsidR="00625762" w:rsidRPr="00554476">
        <w:rPr>
          <w:rFonts w:ascii="Arial" w:eastAsia="Bankinter" w:hAnsi="Arial" w:cs="Arial"/>
          <w:b/>
          <w:color w:val="auto"/>
          <w:sz w:val="20"/>
          <w:szCs w:val="20"/>
          <w:u w:val="single"/>
        </w:rPr>
        <w:t>.</w:t>
      </w:r>
      <w:r w:rsidR="001F4427" w:rsidRPr="00554476">
        <w:rPr>
          <w:rFonts w:ascii="Arial" w:eastAsia="Bankinter" w:hAnsi="Arial" w:cs="Arial"/>
          <w:b/>
          <w:color w:val="auto"/>
          <w:sz w:val="20"/>
          <w:szCs w:val="20"/>
          <w:u w:val="single"/>
        </w:rPr>
        <w:t xml:space="preserve"> Impugnación de la </w:t>
      </w:r>
      <w:r w:rsidR="001F4427" w:rsidRPr="00592553">
        <w:rPr>
          <w:rFonts w:ascii="Arial" w:eastAsia="Bankinter" w:hAnsi="Arial" w:cs="Arial"/>
          <w:b/>
          <w:color w:val="auto"/>
          <w:sz w:val="20"/>
          <w:szCs w:val="20"/>
          <w:highlight w:val="cyan"/>
          <w:u w:val="single"/>
        </w:rPr>
        <w:t>indeterminación</w:t>
      </w:r>
      <w:r w:rsidR="001F4427" w:rsidRPr="00554476">
        <w:rPr>
          <w:rFonts w:ascii="Arial" w:eastAsia="Bankinter" w:hAnsi="Arial" w:cs="Arial"/>
          <w:b/>
          <w:color w:val="auto"/>
          <w:sz w:val="20"/>
          <w:szCs w:val="20"/>
          <w:u w:val="single"/>
        </w:rPr>
        <w:t xml:space="preserve"> de la cuantía de la demanda. Obligación de cuantificar el pleito y prohibición de reserva de liquidación al trámite de ejecución de eventual sentencia condenatoria</w:t>
      </w:r>
      <w:bookmarkEnd w:id="17"/>
    </w:p>
    <w:p w14:paraId="518EE572" w14:textId="77777777" w:rsidR="00A42C7C" w:rsidRDefault="00A42C7C" w:rsidP="00A42C7C"/>
    <w:p w14:paraId="485A3ECE" w14:textId="79D51B41" w:rsidR="00A42C7C" w:rsidRPr="00A42C7C" w:rsidRDefault="00A42C7C" w:rsidP="00A42C7C">
      <w:r w:rsidRPr="00A42C7C">
        <w:rPr>
          <w:highlight w:val="green"/>
        </w:rPr>
        <w:t>[SI NOS DETERMINAN LA CUANTÍA BORRAMOS ESTE APARTADO]</w:t>
      </w:r>
    </w:p>
    <w:p w14:paraId="4F475899" w14:textId="51F026F3" w:rsidR="001F4427" w:rsidRPr="00554476" w:rsidRDefault="001F4427" w:rsidP="00554476">
      <w:pPr>
        <w:spacing w:after="0" w:line="360" w:lineRule="auto"/>
        <w:jc w:val="both"/>
        <w:rPr>
          <w:rFonts w:ascii="Arial" w:eastAsia="Calibri" w:hAnsi="Arial" w:cs="Arial"/>
          <w:spacing w:val="4"/>
          <w:sz w:val="20"/>
          <w:szCs w:val="20"/>
        </w:rPr>
      </w:pPr>
    </w:p>
    <w:p w14:paraId="0513163E" w14:textId="77777777" w:rsidR="00F04469" w:rsidRPr="00554476" w:rsidRDefault="00F04469" w:rsidP="00554476">
      <w:pPr>
        <w:spacing w:after="0" w:line="360" w:lineRule="auto"/>
        <w:jc w:val="both"/>
        <w:rPr>
          <w:rFonts w:ascii="Arial" w:eastAsia="Calibri" w:hAnsi="Arial" w:cs="Arial"/>
          <w:spacing w:val="4"/>
          <w:sz w:val="20"/>
          <w:szCs w:val="20"/>
        </w:rPr>
      </w:pPr>
    </w:p>
    <w:p w14:paraId="36A1D127" w14:textId="0105B3C4" w:rsidR="001F4427" w:rsidRPr="00554476" w:rsidRDefault="001F4427" w:rsidP="00554476">
      <w:pPr>
        <w:spacing w:after="0" w:line="360" w:lineRule="auto"/>
        <w:jc w:val="center"/>
        <w:rPr>
          <w:rFonts w:ascii="Arial" w:eastAsia="Calibri" w:hAnsi="Arial" w:cs="Arial"/>
          <w:b/>
          <w:bCs/>
          <w:spacing w:val="4"/>
          <w:sz w:val="20"/>
          <w:szCs w:val="20"/>
        </w:rPr>
      </w:pPr>
      <w:r w:rsidRPr="00554476">
        <w:rPr>
          <w:rFonts w:ascii="Arial" w:eastAsia="Calibri" w:hAnsi="Arial" w:cs="Arial"/>
          <w:b/>
          <w:bCs/>
          <w:spacing w:val="4"/>
          <w:sz w:val="20"/>
          <w:szCs w:val="20"/>
        </w:rPr>
        <w:t>I</w:t>
      </w:r>
    </w:p>
    <w:p w14:paraId="21A9E2DB" w14:textId="77777777" w:rsidR="001F4427" w:rsidRPr="00554476" w:rsidRDefault="001F4427" w:rsidP="00554476">
      <w:pPr>
        <w:spacing w:after="0" w:line="360" w:lineRule="auto"/>
        <w:jc w:val="both"/>
        <w:rPr>
          <w:rFonts w:ascii="Arial" w:hAnsi="Arial" w:cs="Arial"/>
          <w:sz w:val="20"/>
          <w:szCs w:val="20"/>
        </w:rPr>
      </w:pPr>
    </w:p>
    <w:p w14:paraId="0D70BA63" w14:textId="278E44EE" w:rsidR="001F4427" w:rsidRPr="00554476" w:rsidRDefault="001F4427" w:rsidP="00554476">
      <w:pPr>
        <w:spacing w:after="0" w:line="360" w:lineRule="auto"/>
        <w:jc w:val="both"/>
        <w:rPr>
          <w:rFonts w:ascii="Arial" w:hAnsi="Arial" w:cs="Arial"/>
          <w:sz w:val="20"/>
          <w:szCs w:val="20"/>
        </w:rPr>
      </w:pPr>
      <w:r w:rsidRPr="00554476">
        <w:rPr>
          <w:rFonts w:ascii="Arial" w:hAnsi="Arial" w:cs="Arial"/>
          <w:sz w:val="20"/>
          <w:szCs w:val="20"/>
        </w:rPr>
        <w:t>La exigencia de determinar la cuantía en el escrito de demanda viene establecida en artículo 251 de la LEC, cuando señala que “</w:t>
      </w:r>
      <w:r w:rsidRPr="00554476">
        <w:rPr>
          <w:rFonts w:ascii="Arial" w:hAnsi="Arial" w:cs="Arial"/>
          <w:i/>
          <w:iCs/>
          <w:sz w:val="20"/>
          <w:szCs w:val="20"/>
        </w:rPr>
        <w:t xml:space="preserve">La cuantía se fijará según el interés económico de la demanda, </w:t>
      </w:r>
      <w:r w:rsidRPr="00554476">
        <w:rPr>
          <w:rFonts w:ascii="Arial" w:hAnsi="Arial" w:cs="Arial"/>
          <w:i/>
          <w:iCs/>
          <w:sz w:val="20"/>
          <w:szCs w:val="20"/>
        </w:rPr>
        <w:lastRenderedPageBreak/>
        <w:t>que se calculará de acuerdo con las reglas siguientes: 1.ª Si se reclama una cantidad de dinero determinada, la cuantía de la demanda estará representada por dicha cantidad (…).”</w:t>
      </w:r>
    </w:p>
    <w:p w14:paraId="38AB1EBD" w14:textId="77777777" w:rsidR="001F4427" w:rsidRPr="00554476" w:rsidRDefault="001F4427" w:rsidP="00554476">
      <w:pPr>
        <w:spacing w:after="0" w:line="360" w:lineRule="auto"/>
        <w:jc w:val="both"/>
        <w:rPr>
          <w:rFonts w:ascii="Arial" w:hAnsi="Arial" w:cs="Arial"/>
          <w:sz w:val="20"/>
          <w:szCs w:val="20"/>
        </w:rPr>
      </w:pPr>
    </w:p>
    <w:p w14:paraId="17C70A09" w14:textId="4EA1B91E" w:rsidR="001F4427" w:rsidRPr="00554476" w:rsidRDefault="001F4427" w:rsidP="00554476">
      <w:pPr>
        <w:spacing w:after="0" w:line="360" w:lineRule="auto"/>
        <w:jc w:val="both"/>
        <w:rPr>
          <w:rFonts w:ascii="Arial" w:hAnsi="Arial" w:cs="Arial"/>
          <w:sz w:val="20"/>
          <w:szCs w:val="20"/>
        </w:rPr>
      </w:pPr>
      <w:r w:rsidRPr="00554476">
        <w:rPr>
          <w:rFonts w:ascii="Arial" w:hAnsi="Arial" w:cs="Arial"/>
          <w:sz w:val="20"/>
          <w:szCs w:val="20"/>
        </w:rPr>
        <w:t>En el mismo sentido, el artículo 253 de la LEC establece que “</w:t>
      </w:r>
      <w:r w:rsidRPr="00554476">
        <w:rPr>
          <w:rFonts w:ascii="Arial" w:hAnsi="Arial" w:cs="Arial"/>
          <w:i/>
          <w:iCs/>
          <w:sz w:val="20"/>
          <w:szCs w:val="20"/>
        </w:rPr>
        <w:t>2. La cuantía de la demanda deberá ser expresada con claridad y precisión. No obstante, podrá indicarse en forma relativa, si el actor justifica debidamente que el interés económico del litigio al menos iguala la cuantía mínima correspondiente al juicio ordinario, o que no rebasa la máxima del juicio verbal. En ningún caso podrá el actor limitarse a indicar la clase de juicio a seguir, ni hacer recaer en el demandado la carga de determinar la cuantía.</w:t>
      </w:r>
      <w:r w:rsidRPr="00554476">
        <w:rPr>
          <w:rFonts w:ascii="Arial" w:hAnsi="Arial" w:cs="Arial"/>
          <w:sz w:val="20"/>
          <w:szCs w:val="20"/>
        </w:rPr>
        <w:t>”</w:t>
      </w:r>
    </w:p>
    <w:p w14:paraId="49D8B8C9" w14:textId="77777777" w:rsidR="001F4427" w:rsidRPr="00554476" w:rsidRDefault="001F4427" w:rsidP="00554476">
      <w:pPr>
        <w:spacing w:after="0" w:line="360" w:lineRule="auto"/>
        <w:jc w:val="both"/>
        <w:rPr>
          <w:rFonts w:ascii="Arial" w:hAnsi="Arial" w:cs="Arial"/>
          <w:sz w:val="20"/>
          <w:szCs w:val="20"/>
        </w:rPr>
      </w:pPr>
    </w:p>
    <w:p w14:paraId="0757F7C6" w14:textId="789192FF" w:rsidR="001F4427" w:rsidRPr="00554476" w:rsidRDefault="001F4427" w:rsidP="00554476">
      <w:pPr>
        <w:spacing w:after="0" w:line="360" w:lineRule="auto"/>
        <w:jc w:val="both"/>
        <w:rPr>
          <w:rFonts w:ascii="Arial" w:hAnsi="Arial" w:cs="Arial"/>
          <w:sz w:val="20"/>
          <w:szCs w:val="20"/>
        </w:rPr>
      </w:pPr>
      <w:r w:rsidRPr="00554476">
        <w:rPr>
          <w:rFonts w:ascii="Arial" w:hAnsi="Arial" w:cs="Arial"/>
          <w:sz w:val="20"/>
          <w:szCs w:val="20"/>
        </w:rPr>
        <w:t>Por último y en cuanto a la imposibilidad de sentencias con reserva de liquidación, el artículo 219 de la LEC establece que: “1</w:t>
      </w:r>
      <w:r w:rsidRPr="00554476">
        <w:rPr>
          <w:rFonts w:ascii="Arial" w:hAnsi="Arial" w:cs="Arial"/>
          <w:i/>
          <w:iCs/>
          <w:sz w:val="20"/>
          <w:szCs w:val="20"/>
        </w:rPr>
        <w:t>. Cuando se reclame en juicio el pago de una cantidad de dinero determinada o de frutos, rentas, utilidades o productos de cualquier clase, no podrá limitarse la demanda a pretender una sentencia meramente declarativa del derecho a percibirlos, sino que deberá solicitarse también la condena a su pago, cuantificando exactamente su importe, sin que pueda solicitarse su determinación en ejecución de sentencia, o fijando claramente las bases con arreglo a las cuales se deba efectuar la liquidación, de forma que ésta consista en una pura operación aritmética. 2. En los casos a que se refiere el apartado anterior, la sentencia de condena establecerá el importe exacto de las cantidades respectivas, o fijará con claridad y precisión las bases para su liquidación, que deberá consistir en una simple operación aritmética que se efectuará en la ejecución. 3. Fuera de los casos anteriores, no podrá el demandante pretender, ni se permitirá al tribunal en la sentencia, que la condena se efectúe con reserva de liquidación en la ejecución. No obstante lo anterior, se permitirá al demandante solicitar, y al tribunal sentenciar, la condena al pago de cantidad de dinero, frutos, rentas, utilidades o productos cuando ésa sea exclusivamente la pretensión planteada y se dejen para un pleito posterior los problemas de liquidación concreta de las cantidades</w:t>
      </w:r>
      <w:r w:rsidRPr="00554476">
        <w:rPr>
          <w:rFonts w:ascii="Arial" w:hAnsi="Arial" w:cs="Arial"/>
          <w:sz w:val="20"/>
          <w:szCs w:val="20"/>
        </w:rPr>
        <w:t>.”</w:t>
      </w:r>
    </w:p>
    <w:p w14:paraId="54C91B74" w14:textId="77777777" w:rsidR="001F4427" w:rsidRPr="00554476" w:rsidRDefault="001F4427" w:rsidP="00554476">
      <w:pPr>
        <w:spacing w:after="0" w:line="360" w:lineRule="auto"/>
        <w:jc w:val="both"/>
        <w:rPr>
          <w:rFonts w:ascii="Arial" w:hAnsi="Arial" w:cs="Arial"/>
          <w:sz w:val="20"/>
          <w:szCs w:val="20"/>
        </w:rPr>
      </w:pPr>
    </w:p>
    <w:p w14:paraId="422F17A5" w14:textId="6A363539" w:rsidR="001F4427" w:rsidRPr="00554476" w:rsidRDefault="001F4427" w:rsidP="00554476">
      <w:pPr>
        <w:spacing w:after="0" w:line="360" w:lineRule="auto"/>
        <w:jc w:val="both"/>
        <w:rPr>
          <w:rFonts w:ascii="Arial" w:hAnsi="Arial" w:cs="Arial"/>
          <w:sz w:val="20"/>
          <w:szCs w:val="20"/>
        </w:rPr>
      </w:pPr>
      <w:r w:rsidRPr="00554476">
        <w:rPr>
          <w:rFonts w:ascii="Arial" w:hAnsi="Arial" w:cs="Arial"/>
          <w:sz w:val="20"/>
          <w:szCs w:val="20"/>
        </w:rPr>
        <w:t>La dicción literal de los anteriores preceptos no deja lugar a dudas en cuanto a que es absolutamente necesaria la determinación de la cuantía en la demanda, siendo dicho quantum el que resulte ser objeto de reclamación y en el que la contraparte fija su real interés en la litis.</w:t>
      </w:r>
    </w:p>
    <w:p w14:paraId="23AADB00" w14:textId="77777777" w:rsidR="001F4427" w:rsidRPr="00554476" w:rsidRDefault="001F4427" w:rsidP="00554476">
      <w:pPr>
        <w:spacing w:after="0" w:line="360" w:lineRule="auto"/>
        <w:jc w:val="both"/>
        <w:rPr>
          <w:rFonts w:ascii="Arial" w:hAnsi="Arial" w:cs="Arial"/>
          <w:sz w:val="20"/>
          <w:szCs w:val="20"/>
        </w:rPr>
      </w:pPr>
    </w:p>
    <w:p w14:paraId="5B35700D" w14:textId="15C462EC" w:rsidR="001F4427" w:rsidRPr="00554476" w:rsidRDefault="00774B8E" w:rsidP="00554476">
      <w:pPr>
        <w:spacing w:after="0" w:line="360" w:lineRule="auto"/>
        <w:jc w:val="both"/>
        <w:rPr>
          <w:rFonts w:ascii="Arial" w:hAnsi="Arial" w:cs="Arial"/>
          <w:sz w:val="20"/>
          <w:szCs w:val="20"/>
        </w:rPr>
      </w:pPr>
      <w:r w:rsidRPr="00554476">
        <w:rPr>
          <w:rFonts w:ascii="Arial" w:hAnsi="Arial" w:cs="Arial"/>
          <w:sz w:val="20"/>
          <w:szCs w:val="20"/>
        </w:rPr>
        <w:t xml:space="preserve">En apoyo de lo expuesto, cabe destacar el criterio sostenido en </w:t>
      </w:r>
      <w:r w:rsidR="001F4427" w:rsidRPr="00554476">
        <w:rPr>
          <w:rFonts w:ascii="Arial" w:hAnsi="Arial" w:cs="Arial"/>
          <w:sz w:val="20"/>
          <w:szCs w:val="20"/>
        </w:rPr>
        <w:t xml:space="preserve">la </w:t>
      </w:r>
      <w:r w:rsidR="001F4427" w:rsidRPr="00554476">
        <w:rPr>
          <w:rFonts w:ascii="Arial" w:hAnsi="Arial" w:cs="Arial"/>
          <w:b/>
          <w:bCs/>
          <w:sz w:val="20"/>
          <w:szCs w:val="20"/>
          <w:u w:val="single"/>
        </w:rPr>
        <w:t>Sentencia de 15 marzo de 2018 del Tribunal Supremo</w:t>
      </w:r>
      <w:r w:rsidR="001F4427" w:rsidRPr="00554476">
        <w:rPr>
          <w:rFonts w:ascii="Arial" w:hAnsi="Arial" w:cs="Arial"/>
          <w:sz w:val="20"/>
          <w:szCs w:val="20"/>
        </w:rPr>
        <w:t>, que viene a fijar la obligación del tribunal de fijar los efectos restitutorios inherentes a tal declaración de nulidad:</w:t>
      </w:r>
      <w:r w:rsidRPr="00554476">
        <w:rPr>
          <w:rFonts w:ascii="Arial" w:hAnsi="Arial" w:cs="Arial"/>
          <w:sz w:val="20"/>
          <w:szCs w:val="20"/>
        </w:rPr>
        <w:t xml:space="preserve"> </w:t>
      </w:r>
      <w:r w:rsidR="001F4427" w:rsidRPr="00554476">
        <w:rPr>
          <w:rFonts w:ascii="Arial" w:hAnsi="Arial" w:cs="Arial"/>
          <w:i/>
          <w:iCs/>
          <w:sz w:val="20"/>
          <w:szCs w:val="20"/>
        </w:rPr>
        <w:t xml:space="preserve">“(…) Es decir, anulada la condición general que imponía al consumidor el pago de todos los impuestos, cualquiera que fuera el reparto que la ley hubiera hecho respecto de una y otra parte, el tribunal debe fijar los efectos restitutorios inherentes a tal declaración de nulidad, lo que, en el caso del impuesto sobre transmisiones patrimoniales y actos jurídicos documentados, viene determinado por su ley reguladora y su reglamento (en la interpretación que de tales normas han hecho el Tribunal Constitucional y la Sala Tercera del Tribunal Supremo); y como resultado de ello, acordar que el profesional restituya </w:t>
      </w:r>
      <w:r w:rsidR="001F4427" w:rsidRPr="00554476">
        <w:rPr>
          <w:rFonts w:ascii="Arial" w:hAnsi="Arial" w:cs="Arial"/>
          <w:i/>
          <w:iCs/>
          <w:sz w:val="20"/>
          <w:szCs w:val="20"/>
        </w:rPr>
        <w:lastRenderedPageBreak/>
        <w:t>al consumidor las cantidades que hubo de pagar por impuestos cuyo pago la ley impone al profesional.”</w:t>
      </w:r>
    </w:p>
    <w:p w14:paraId="2C187E70" w14:textId="77777777" w:rsidR="001F4427" w:rsidRPr="00554476" w:rsidRDefault="001F4427" w:rsidP="00554476">
      <w:pPr>
        <w:spacing w:after="0" w:line="360" w:lineRule="auto"/>
        <w:jc w:val="both"/>
        <w:rPr>
          <w:rFonts w:ascii="Arial" w:hAnsi="Arial" w:cs="Arial"/>
          <w:sz w:val="20"/>
          <w:szCs w:val="20"/>
        </w:rPr>
      </w:pPr>
    </w:p>
    <w:p w14:paraId="7B898265" w14:textId="52340A6A" w:rsidR="001F4427" w:rsidRPr="00554476" w:rsidRDefault="00774B8E" w:rsidP="00554476">
      <w:pPr>
        <w:spacing w:after="0" w:line="360" w:lineRule="auto"/>
        <w:jc w:val="center"/>
        <w:rPr>
          <w:rFonts w:ascii="Arial" w:hAnsi="Arial" w:cs="Arial"/>
          <w:b/>
          <w:bCs/>
          <w:sz w:val="20"/>
          <w:szCs w:val="20"/>
        </w:rPr>
      </w:pPr>
      <w:r w:rsidRPr="00554476">
        <w:rPr>
          <w:rFonts w:ascii="Arial" w:hAnsi="Arial" w:cs="Arial"/>
          <w:b/>
          <w:bCs/>
          <w:sz w:val="20"/>
          <w:szCs w:val="20"/>
        </w:rPr>
        <w:t>II</w:t>
      </w:r>
    </w:p>
    <w:p w14:paraId="593AE890" w14:textId="77777777" w:rsidR="001F4427" w:rsidRPr="00554476" w:rsidRDefault="001F4427" w:rsidP="00554476">
      <w:pPr>
        <w:spacing w:after="0" w:line="360" w:lineRule="auto"/>
        <w:jc w:val="both"/>
        <w:rPr>
          <w:rFonts w:ascii="Arial" w:hAnsi="Arial" w:cs="Arial"/>
          <w:sz w:val="20"/>
          <w:szCs w:val="20"/>
        </w:rPr>
      </w:pPr>
    </w:p>
    <w:p w14:paraId="12A256BB" w14:textId="19FC45EC" w:rsidR="00B443C3" w:rsidRPr="00554476" w:rsidRDefault="00774B8E"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Partiendo de lo anterior, e</w:t>
      </w:r>
      <w:r w:rsidR="00B443C3" w:rsidRPr="00554476">
        <w:rPr>
          <w:rFonts w:ascii="Arial" w:eastAsia="Calibri" w:hAnsi="Arial" w:cs="Arial"/>
          <w:spacing w:val="4"/>
          <w:sz w:val="20"/>
          <w:szCs w:val="20"/>
        </w:rPr>
        <w:t xml:space="preserve">sta parte se muestra </w:t>
      </w:r>
      <w:r w:rsidRPr="00554476">
        <w:rPr>
          <w:rFonts w:ascii="Arial" w:eastAsia="Calibri" w:hAnsi="Arial" w:cs="Arial"/>
          <w:spacing w:val="4"/>
          <w:sz w:val="20"/>
          <w:szCs w:val="20"/>
        </w:rPr>
        <w:t xml:space="preserve">igualmente </w:t>
      </w:r>
      <w:r w:rsidR="00B443C3" w:rsidRPr="00554476">
        <w:rPr>
          <w:rFonts w:ascii="Arial" w:eastAsia="Calibri" w:hAnsi="Arial" w:cs="Arial"/>
          <w:spacing w:val="4"/>
          <w:sz w:val="20"/>
          <w:szCs w:val="20"/>
        </w:rPr>
        <w:t>disconforme con que se considere como indeterminada la cuantía del presente procedimiento</w:t>
      </w:r>
      <w:r w:rsidRPr="00554476">
        <w:rPr>
          <w:rFonts w:ascii="Arial" w:eastAsia="Calibri" w:hAnsi="Arial" w:cs="Arial"/>
          <w:spacing w:val="4"/>
          <w:sz w:val="20"/>
          <w:szCs w:val="20"/>
        </w:rPr>
        <w:t>, por las siguientes razones.</w:t>
      </w:r>
    </w:p>
    <w:p w14:paraId="78E5F36F" w14:textId="77777777" w:rsidR="00B443C3" w:rsidRPr="00554476" w:rsidRDefault="00B443C3" w:rsidP="00554476">
      <w:pPr>
        <w:spacing w:after="0" w:line="360" w:lineRule="auto"/>
        <w:jc w:val="both"/>
        <w:rPr>
          <w:rFonts w:ascii="Arial" w:eastAsia="Calibri" w:hAnsi="Arial" w:cs="Arial"/>
          <w:spacing w:val="4"/>
          <w:sz w:val="20"/>
          <w:szCs w:val="20"/>
        </w:rPr>
      </w:pPr>
    </w:p>
    <w:p w14:paraId="28B8EFAC" w14:textId="406A4C1E" w:rsidR="00B443C3" w:rsidRPr="00554476" w:rsidRDefault="00B443C3" w:rsidP="00554476">
      <w:pPr>
        <w:spacing w:after="0" w:line="360" w:lineRule="auto"/>
        <w:jc w:val="both"/>
        <w:rPr>
          <w:rFonts w:ascii="Arial" w:eastAsia="Calibri" w:hAnsi="Arial" w:cs="Arial"/>
          <w:spacing w:val="4"/>
          <w:sz w:val="20"/>
          <w:szCs w:val="20"/>
          <w:lang w:eastAsia="es-ES"/>
        </w:rPr>
      </w:pPr>
      <w:r w:rsidRPr="00554476">
        <w:rPr>
          <w:rFonts w:ascii="Arial" w:eastAsia="Calibri" w:hAnsi="Arial" w:cs="Arial"/>
          <w:spacing w:val="4"/>
          <w:sz w:val="20"/>
          <w:szCs w:val="20"/>
          <w:lang w:eastAsia="es-ES"/>
        </w:rPr>
        <w:t>El artículo 251.1ª de la LEC establece, en relac</w:t>
      </w:r>
      <w:r w:rsidR="00FA42DD" w:rsidRPr="00554476">
        <w:rPr>
          <w:rFonts w:ascii="Arial" w:eastAsia="Calibri" w:hAnsi="Arial" w:cs="Arial"/>
          <w:spacing w:val="4"/>
          <w:sz w:val="20"/>
          <w:szCs w:val="20"/>
          <w:lang w:eastAsia="es-ES"/>
        </w:rPr>
        <w:t>ión a la fijación de la cuantía</w:t>
      </w:r>
      <w:r w:rsidRPr="00554476">
        <w:rPr>
          <w:rFonts w:ascii="Arial" w:eastAsia="Calibri" w:hAnsi="Arial" w:cs="Arial"/>
          <w:spacing w:val="4"/>
          <w:sz w:val="20"/>
          <w:szCs w:val="20"/>
          <w:lang w:eastAsia="es-ES"/>
        </w:rPr>
        <w:t xml:space="preserve"> </w:t>
      </w:r>
      <w:r w:rsidR="00FA42DD" w:rsidRPr="00554476">
        <w:rPr>
          <w:rFonts w:ascii="Arial" w:eastAsia="Calibri" w:hAnsi="Arial" w:cs="Arial"/>
          <w:spacing w:val="4"/>
          <w:sz w:val="20"/>
          <w:szCs w:val="20"/>
          <w:lang w:eastAsia="es-ES"/>
        </w:rPr>
        <w:t>que, si</w:t>
      </w:r>
      <w:r w:rsidRPr="00554476">
        <w:rPr>
          <w:rFonts w:ascii="Arial" w:eastAsia="Calibri" w:hAnsi="Arial" w:cs="Arial"/>
          <w:spacing w:val="4"/>
          <w:sz w:val="20"/>
          <w:szCs w:val="20"/>
          <w:lang w:eastAsia="es-ES"/>
        </w:rPr>
        <w:t xml:space="preserve"> se reclama una cantidad de dinero determinada, la cuantía de la demanda estará representada por dicha cantidad, y si falta la determinación, aun en forma relativa, la demanda se considerará de cuantía indeterminada.</w:t>
      </w:r>
    </w:p>
    <w:p w14:paraId="59CF672F" w14:textId="77777777" w:rsidR="00B443C3" w:rsidRPr="00554476" w:rsidRDefault="00B443C3" w:rsidP="00554476">
      <w:pPr>
        <w:spacing w:after="0" w:line="360" w:lineRule="auto"/>
        <w:jc w:val="both"/>
        <w:rPr>
          <w:rFonts w:ascii="Arial" w:eastAsia="Calibri" w:hAnsi="Arial" w:cs="Arial"/>
          <w:spacing w:val="4"/>
          <w:sz w:val="20"/>
          <w:szCs w:val="20"/>
          <w:lang w:eastAsia="es-ES"/>
        </w:rPr>
      </w:pPr>
    </w:p>
    <w:p w14:paraId="04B65DC7" w14:textId="77777777" w:rsidR="00B443C3" w:rsidRPr="00554476" w:rsidRDefault="00B443C3"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Se debe relacionar el anterior precepto con el artículo 252.2 de la LEC:  </w:t>
      </w:r>
    </w:p>
    <w:p w14:paraId="63385DC1" w14:textId="77777777" w:rsidR="00B443C3" w:rsidRPr="00554476" w:rsidRDefault="00B443C3" w:rsidP="00554476">
      <w:pPr>
        <w:spacing w:after="0" w:line="360" w:lineRule="auto"/>
        <w:jc w:val="both"/>
        <w:rPr>
          <w:rFonts w:ascii="Arial" w:eastAsia="Calibri" w:hAnsi="Arial" w:cs="Arial"/>
          <w:spacing w:val="4"/>
          <w:sz w:val="20"/>
          <w:szCs w:val="20"/>
        </w:rPr>
      </w:pPr>
    </w:p>
    <w:p w14:paraId="04719361" w14:textId="3A0F73B7" w:rsidR="00B443C3" w:rsidRPr="00554476" w:rsidRDefault="00B443C3" w:rsidP="00554476">
      <w:pPr>
        <w:spacing w:after="0" w:line="360" w:lineRule="auto"/>
        <w:ind w:left="708" w:right="-1"/>
        <w:jc w:val="both"/>
        <w:rPr>
          <w:rFonts w:ascii="Arial" w:eastAsia="Calibri" w:hAnsi="Arial" w:cs="Arial"/>
          <w:i/>
          <w:spacing w:val="4"/>
          <w:sz w:val="20"/>
          <w:szCs w:val="20"/>
        </w:rPr>
      </w:pPr>
      <w:r w:rsidRPr="00554476">
        <w:rPr>
          <w:rFonts w:ascii="Arial" w:eastAsia="Calibri" w:hAnsi="Arial" w:cs="Arial"/>
          <w:i/>
          <w:spacing w:val="4"/>
          <w:sz w:val="20"/>
          <w:szCs w:val="20"/>
        </w:rPr>
        <w:t> “Si las acciones acumuladas provienen del mismo título o con la acción principal se piden accesoriamente intereses, frutos, rentas o daños y perjuicios, la cuantía vendrá determinada por la suma del valor de todas las acciones acumuladas. Pero si el importe de cualquiera de las acciones no fuera cierto y líquido, sólo se tomará en cuenta el valor de las acciones cuyo importe sí lo fuera.”</w:t>
      </w:r>
    </w:p>
    <w:p w14:paraId="7DD70B71" w14:textId="3DDEF7B2" w:rsidR="00726B3A" w:rsidRPr="00554476" w:rsidRDefault="00726B3A" w:rsidP="00554476">
      <w:pPr>
        <w:spacing w:after="0" w:line="360" w:lineRule="auto"/>
        <w:ind w:left="708" w:right="566"/>
        <w:jc w:val="both"/>
        <w:rPr>
          <w:rFonts w:ascii="Arial" w:eastAsia="Calibri" w:hAnsi="Arial" w:cs="Arial"/>
          <w:i/>
          <w:spacing w:val="4"/>
          <w:sz w:val="20"/>
          <w:szCs w:val="20"/>
        </w:rPr>
      </w:pPr>
    </w:p>
    <w:p w14:paraId="2DD13511" w14:textId="6BC6DD2E" w:rsidR="00726B3A" w:rsidRPr="00554476" w:rsidRDefault="00726B3A" w:rsidP="00554476">
      <w:pPr>
        <w:spacing w:after="0" w:line="360" w:lineRule="auto"/>
        <w:ind w:right="-1"/>
        <w:jc w:val="both"/>
        <w:rPr>
          <w:rFonts w:ascii="Arial" w:eastAsia="Calibri" w:hAnsi="Arial" w:cs="Arial"/>
          <w:iCs/>
          <w:spacing w:val="4"/>
          <w:sz w:val="20"/>
          <w:szCs w:val="20"/>
        </w:rPr>
      </w:pPr>
      <w:r w:rsidRPr="00554476">
        <w:rPr>
          <w:rFonts w:ascii="Arial" w:eastAsia="Calibri" w:hAnsi="Arial" w:cs="Arial"/>
          <w:iCs/>
          <w:spacing w:val="4"/>
          <w:sz w:val="20"/>
          <w:szCs w:val="20"/>
        </w:rPr>
        <w:t xml:space="preserve">La </w:t>
      </w:r>
      <w:r w:rsidRPr="00554476">
        <w:rPr>
          <w:rFonts w:ascii="Arial" w:eastAsia="Calibri" w:hAnsi="Arial" w:cs="Arial"/>
          <w:b/>
          <w:bCs/>
          <w:iCs/>
          <w:spacing w:val="4"/>
          <w:sz w:val="20"/>
          <w:szCs w:val="20"/>
          <w:u w:val="single"/>
        </w:rPr>
        <w:t>Sentencia nº 247/2019, de 1 de marzo, de la Audiencia Provincial de Alicante, sección 8ª</w:t>
      </w:r>
      <w:r w:rsidRPr="00554476">
        <w:rPr>
          <w:rFonts w:ascii="Arial" w:eastAsia="Calibri" w:hAnsi="Arial" w:cs="Arial"/>
          <w:iCs/>
          <w:spacing w:val="4"/>
          <w:sz w:val="20"/>
          <w:szCs w:val="20"/>
        </w:rPr>
        <w:t xml:space="preserve">, viene a considerar además, en interpretación del citado artículo, que si la validez y eficacia de lo que se cuestiona se refiere </w:t>
      </w:r>
      <w:r w:rsidR="001F4427" w:rsidRPr="00554476">
        <w:rPr>
          <w:rFonts w:ascii="Arial" w:eastAsia="Calibri" w:hAnsi="Arial" w:cs="Arial"/>
          <w:iCs/>
          <w:spacing w:val="4"/>
          <w:sz w:val="20"/>
          <w:szCs w:val="20"/>
        </w:rPr>
        <w:t>no al contrato en su conjunto, sino a cierta cláusula, que resulta escindible, y sin la cual cabe la pervivencia del contrato, habrá que estar al valor en que se fija el interés económico de esta cláusula en concreto.</w:t>
      </w:r>
    </w:p>
    <w:p w14:paraId="142F90AF" w14:textId="77777777" w:rsidR="00B443C3" w:rsidRPr="00554476" w:rsidRDefault="00B443C3" w:rsidP="00554476">
      <w:pPr>
        <w:spacing w:after="0" w:line="360" w:lineRule="auto"/>
        <w:jc w:val="both"/>
        <w:rPr>
          <w:rFonts w:ascii="Arial" w:eastAsia="Calibri" w:hAnsi="Arial" w:cs="Arial"/>
          <w:spacing w:val="4"/>
          <w:sz w:val="20"/>
          <w:szCs w:val="20"/>
          <w:lang w:eastAsia="es-ES"/>
        </w:rPr>
      </w:pPr>
    </w:p>
    <w:p w14:paraId="7FCE55FF" w14:textId="77777777" w:rsidR="00B443C3" w:rsidRPr="00554476" w:rsidRDefault="00B443C3"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 mayor abundamiento, y como se establece en la </w:t>
      </w:r>
      <w:r w:rsidRPr="00554476">
        <w:rPr>
          <w:rFonts w:ascii="Arial" w:eastAsia="Calibri" w:hAnsi="Arial" w:cs="Arial"/>
          <w:b/>
          <w:bCs/>
          <w:spacing w:val="4"/>
          <w:sz w:val="20"/>
          <w:szCs w:val="20"/>
          <w:u w:val="single"/>
        </w:rPr>
        <w:t>Sentencia de 15 de marzo de 2018 del Tribunal Supremo,</w:t>
      </w:r>
      <w:r w:rsidRPr="00554476">
        <w:rPr>
          <w:rFonts w:ascii="Arial" w:eastAsia="Calibri" w:hAnsi="Arial" w:cs="Arial"/>
          <w:spacing w:val="4"/>
          <w:sz w:val="20"/>
          <w:szCs w:val="20"/>
        </w:rPr>
        <w:t xml:space="preserve"> nos encontramos ante una cuestión procesal apreciable incluso de oficio por el Tribunal, que tiene obligación de fijar los efectos restitutorios inherentes a la declaración de nulidad:</w:t>
      </w:r>
    </w:p>
    <w:p w14:paraId="29C62255" w14:textId="77777777" w:rsidR="00B443C3" w:rsidRPr="00554476" w:rsidRDefault="00B443C3" w:rsidP="00554476">
      <w:pPr>
        <w:spacing w:after="0" w:line="360" w:lineRule="auto"/>
        <w:jc w:val="both"/>
        <w:rPr>
          <w:rFonts w:ascii="Arial" w:eastAsia="Calibri" w:hAnsi="Arial" w:cs="Arial"/>
          <w:spacing w:val="4"/>
          <w:sz w:val="20"/>
          <w:szCs w:val="20"/>
        </w:rPr>
      </w:pPr>
    </w:p>
    <w:p w14:paraId="311FD2BF" w14:textId="77777777" w:rsidR="00B443C3" w:rsidRPr="00554476" w:rsidRDefault="00B443C3" w:rsidP="00592553">
      <w:pPr>
        <w:spacing w:after="0" w:line="360" w:lineRule="auto"/>
        <w:ind w:left="708" w:right="-1"/>
        <w:jc w:val="both"/>
        <w:rPr>
          <w:rFonts w:ascii="Arial" w:eastAsia="Calibri" w:hAnsi="Arial" w:cs="Arial"/>
          <w:i/>
          <w:spacing w:val="4"/>
          <w:sz w:val="20"/>
          <w:szCs w:val="20"/>
        </w:rPr>
      </w:pPr>
      <w:r w:rsidRPr="00554476">
        <w:rPr>
          <w:rFonts w:ascii="Arial" w:eastAsia="Calibri" w:hAnsi="Arial" w:cs="Arial"/>
          <w:i/>
          <w:spacing w:val="4"/>
          <w:sz w:val="20"/>
          <w:szCs w:val="20"/>
        </w:rPr>
        <w:t xml:space="preserve">“(…) Es decir, anulada la condición general que imponía al consumidor el pago de todos los impuestos, cualquiera que fuera el reparto que la ley hubiera hecho respecto de una y otra parte, el tribunal debe fijar los efectos restitutorios inherentes a tal declaración de nulidad, lo que, en el caso del impuesto sobre transmisiones patrimoniales y actos jurídicos documentados, viene determinado por su ley reguladora y su reglamento (en la interpretación que de tales normas han hecho el Tribunal Constitucional y la Sala Tercera del Tribunal Supremo); y como resultado de </w:t>
      </w:r>
      <w:r w:rsidRPr="00554476">
        <w:rPr>
          <w:rFonts w:ascii="Arial" w:eastAsia="Calibri" w:hAnsi="Arial" w:cs="Arial"/>
          <w:i/>
          <w:spacing w:val="4"/>
          <w:sz w:val="20"/>
          <w:szCs w:val="20"/>
        </w:rPr>
        <w:lastRenderedPageBreak/>
        <w:t>ello, acordar que el profesional restituya al consumidor las cantidades que hubo de pagar por impuestos cuyo pago la ley impone al profesional.”</w:t>
      </w:r>
    </w:p>
    <w:p w14:paraId="2CE4C83F" w14:textId="77777777" w:rsidR="00B443C3" w:rsidRPr="00554476" w:rsidRDefault="00B443C3" w:rsidP="00554476">
      <w:pPr>
        <w:spacing w:after="0" w:line="360" w:lineRule="auto"/>
        <w:jc w:val="both"/>
        <w:rPr>
          <w:rFonts w:ascii="Arial" w:eastAsia="Calibri" w:hAnsi="Arial" w:cs="Arial"/>
          <w:spacing w:val="4"/>
          <w:sz w:val="20"/>
          <w:szCs w:val="20"/>
        </w:rPr>
      </w:pPr>
    </w:p>
    <w:p w14:paraId="5FE2F113" w14:textId="4DC07790" w:rsidR="00B443C3" w:rsidRPr="00554476" w:rsidRDefault="00B443C3"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Los tribunales han acogido el criterio dictado por el Alto Tribunal y así, la </w:t>
      </w:r>
      <w:r w:rsidR="001F4427" w:rsidRPr="00554476">
        <w:rPr>
          <w:rFonts w:ascii="Arial" w:eastAsia="Calibri" w:hAnsi="Arial" w:cs="Arial"/>
          <w:b/>
          <w:bCs/>
          <w:spacing w:val="4"/>
          <w:sz w:val="20"/>
          <w:szCs w:val="20"/>
          <w:u w:val="single"/>
        </w:rPr>
        <w:t>S</w:t>
      </w:r>
      <w:r w:rsidRPr="00554476">
        <w:rPr>
          <w:rFonts w:ascii="Arial" w:eastAsia="Calibri" w:hAnsi="Arial" w:cs="Arial"/>
          <w:b/>
          <w:bCs/>
          <w:spacing w:val="4"/>
          <w:sz w:val="20"/>
          <w:szCs w:val="20"/>
          <w:u w:val="single"/>
        </w:rPr>
        <w:t>entencia de 26 de abril de 2018 de la Audiencia Provincial de Baleares</w:t>
      </w:r>
      <w:r w:rsidRPr="00554476">
        <w:rPr>
          <w:rFonts w:ascii="Arial" w:eastAsia="Calibri" w:hAnsi="Arial" w:cs="Arial"/>
          <w:spacing w:val="4"/>
          <w:sz w:val="20"/>
          <w:szCs w:val="20"/>
        </w:rPr>
        <w:t>, entre otras, establece:</w:t>
      </w:r>
    </w:p>
    <w:p w14:paraId="20475E17" w14:textId="77777777" w:rsidR="00B443C3" w:rsidRPr="00554476" w:rsidRDefault="00B443C3" w:rsidP="00554476">
      <w:pPr>
        <w:spacing w:after="0" w:line="360" w:lineRule="auto"/>
        <w:jc w:val="both"/>
        <w:rPr>
          <w:rFonts w:ascii="Arial" w:eastAsia="Calibri" w:hAnsi="Arial" w:cs="Arial"/>
          <w:spacing w:val="4"/>
          <w:sz w:val="20"/>
          <w:szCs w:val="20"/>
        </w:rPr>
      </w:pPr>
    </w:p>
    <w:p w14:paraId="6CF15951" w14:textId="77777777" w:rsidR="00B443C3" w:rsidRPr="00554476" w:rsidRDefault="00B443C3" w:rsidP="00592553">
      <w:pPr>
        <w:spacing w:after="0" w:line="360" w:lineRule="auto"/>
        <w:ind w:left="708" w:right="-1"/>
        <w:jc w:val="both"/>
        <w:rPr>
          <w:rFonts w:ascii="Arial" w:eastAsia="Calibri" w:hAnsi="Arial" w:cs="Arial"/>
          <w:i/>
          <w:spacing w:val="4"/>
          <w:sz w:val="20"/>
          <w:szCs w:val="20"/>
        </w:rPr>
      </w:pPr>
      <w:r w:rsidRPr="00554476">
        <w:rPr>
          <w:rFonts w:ascii="Arial" w:eastAsia="Calibri" w:hAnsi="Arial" w:cs="Arial"/>
          <w:i/>
          <w:spacing w:val="4"/>
          <w:sz w:val="20"/>
          <w:szCs w:val="20"/>
        </w:rPr>
        <w:t>“en un supuesto como el que nos ocupa en el que dicha cuestión ha sido controvertida, con impugnación de la parte demandada sobre la cuantía propuesta por la parte actora en su demanda, el Juzgador debe decidir sobre la cuestión, aunque sea irrelevante a los efectos de determinar la clase del procedimiento a seguir, o la posibilidad de ciertos recurso, al ser el ordinario por disposición legal ( artículo 249.1.5 de la LEC ) , y no cabe diferir la cuestión a los incidentes de impugnaciones de tasación de costas que en el futuro hipotéticamente pudieren suscitarse, lo cual, en el supuesto enjuiciado, es la única utilidad práctica de determinar la cuantía del procedimiento.”</w:t>
      </w:r>
    </w:p>
    <w:p w14:paraId="01FC64C7" w14:textId="77777777" w:rsidR="00B443C3" w:rsidRPr="00554476" w:rsidRDefault="00B443C3" w:rsidP="00554476">
      <w:pPr>
        <w:spacing w:after="0" w:line="360" w:lineRule="auto"/>
        <w:jc w:val="both"/>
        <w:rPr>
          <w:rFonts w:ascii="Arial" w:eastAsia="Calibri" w:hAnsi="Arial" w:cs="Arial"/>
          <w:spacing w:val="4"/>
          <w:sz w:val="20"/>
          <w:szCs w:val="20"/>
        </w:rPr>
      </w:pPr>
    </w:p>
    <w:p w14:paraId="4AB2CC95" w14:textId="77777777" w:rsidR="00B443C3" w:rsidRPr="00554476" w:rsidRDefault="00B443C3" w:rsidP="00554476">
      <w:pPr>
        <w:spacing w:after="0" w:line="360" w:lineRule="auto"/>
        <w:jc w:val="both"/>
        <w:rPr>
          <w:rFonts w:ascii="Arial" w:eastAsia="Calibri" w:hAnsi="Arial" w:cs="Arial"/>
          <w:spacing w:val="4"/>
          <w:sz w:val="20"/>
          <w:szCs w:val="20"/>
          <w:lang w:eastAsia="es-ES"/>
        </w:rPr>
      </w:pPr>
      <w:r w:rsidRPr="00554476">
        <w:rPr>
          <w:rFonts w:ascii="Arial" w:eastAsia="Calibri" w:hAnsi="Arial" w:cs="Arial"/>
          <w:spacing w:val="4"/>
          <w:sz w:val="20"/>
          <w:szCs w:val="20"/>
        </w:rPr>
        <w:t>Entendemos que en el presente caso existe un claro “abuso de derecho” por la contraparte, quién, siendo conocedora del alcance de su reclamación, ha optado por fijar como indeterminada la cuantía de su pretensión, todo ello con la intención de obtener una sentencia favorable con imposición en costas a mi mandante, poder tasarlas sobre la base de “cuantía indeterminada” que, como todos sabemos, en este tipo de procedimientos es muy superior al interés económico del pleito.</w:t>
      </w:r>
    </w:p>
    <w:p w14:paraId="485F4300" w14:textId="77777777" w:rsidR="00B443C3" w:rsidRPr="00554476" w:rsidRDefault="00B443C3" w:rsidP="00554476">
      <w:pPr>
        <w:spacing w:after="0" w:line="360" w:lineRule="auto"/>
        <w:jc w:val="both"/>
        <w:rPr>
          <w:rFonts w:ascii="Arial" w:eastAsia="Calibri" w:hAnsi="Arial" w:cs="Arial"/>
          <w:spacing w:val="4"/>
          <w:sz w:val="20"/>
          <w:szCs w:val="20"/>
        </w:rPr>
      </w:pPr>
    </w:p>
    <w:p w14:paraId="099A43CD" w14:textId="02718BDB" w:rsidR="00B443C3" w:rsidRDefault="00B443C3"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Así las cosas, la cuantía del presente procedimiento deberá ser fijada en el importe </w:t>
      </w:r>
      <w:r w:rsidR="001F4427" w:rsidRPr="00554476">
        <w:rPr>
          <w:rFonts w:ascii="Arial" w:eastAsia="Calibri" w:hAnsi="Arial" w:cs="Arial"/>
          <w:spacing w:val="4"/>
          <w:sz w:val="20"/>
          <w:szCs w:val="20"/>
        </w:rPr>
        <w:t xml:space="preserve">exacto </w:t>
      </w:r>
      <w:r w:rsidRPr="00554476">
        <w:rPr>
          <w:rFonts w:ascii="Arial" w:eastAsia="Calibri" w:hAnsi="Arial" w:cs="Arial"/>
          <w:spacing w:val="4"/>
          <w:sz w:val="20"/>
          <w:szCs w:val="20"/>
        </w:rPr>
        <w:t xml:space="preserve">de </w:t>
      </w:r>
      <w:r w:rsidR="00A42C7C">
        <w:rPr>
          <w:rFonts w:ascii="Arial" w:eastAsia="Calibri" w:hAnsi="Arial" w:cs="Arial"/>
          <w:b/>
          <w:spacing w:val="4"/>
          <w:sz w:val="20"/>
          <w:szCs w:val="20"/>
        </w:rPr>
        <w:fldChar w:fldCharType="begin"/>
      </w:r>
      <w:r w:rsidR="00A42C7C">
        <w:rPr>
          <w:rFonts w:ascii="Arial" w:eastAsia="Calibri" w:hAnsi="Arial" w:cs="Arial"/>
          <w:b/>
          <w:spacing w:val="4"/>
          <w:sz w:val="20"/>
          <w:szCs w:val="20"/>
        </w:rPr>
        <w:instrText>persovalores_personalizable1291</w:instrText>
      </w:r>
      <w:r w:rsidR="00A42C7C">
        <w:rPr>
          <w:rFonts w:ascii="Arial" w:eastAsia="Calibri" w:hAnsi="Arial" w:cs="Arial"/>
          <w:b/>
          <w:spacing w:val="4"/>
          <w:sz w:val="20"/>
          <w:szCs w:val="20"/>
        </w:rPr>
        <w:fldChar w:fldCharType="separate"/>
      </w:r>
      <w:r w:rsidR="00A42C7C">
        <w:rPr>
          <w:rFonts w:ascii="Arial" w:eastAsia="Calibri" w:hAnsi="Arial" w:cs="Arial"/>
          <w:b/>
          <w:noProof/>
          <w:spacing w:val="4"/>
          <w:sz w:val="20"/>
          <w:szCs w:val="20"/>
        </w:rPr>
        <w:t>«BANKINTER_CLAUSULAS_CANTIDAD_TOTAL_RECLA»</w:t>
      </w:r>
      <w:r w:rsidR="00A42C7C">
        <w:rPr>
          <w:rFonts w:ascii="Arial" w:eastAsia="Calibri" w:hAnsi="Arial" w:cs="Arial"/>
          <w:b/>
          <w:spacing w:val="4"/>
          <w:sz w:val="20"/>
          <w:szCs w:val="20"/>
        </w:rPr>
        <w:fldChar w:fldCharType="end"/>
      </w:r>
      <w:r w:rsidR="00A42C7C">
        <w:rPr>
          <w:rFonts w:ascii="Arial" w:eastAsia="Calibri" w:hAnsi="Arial" w:cs="Arial"/>
          <w:b/>
          <w:spacing w:val="4"/>
          <w:sz w:val="20"/>
          <w:szCs w:val="20"/>
        </w:rPr>
        <w:t xml:space="preserve"> </w:t>
      </w:r>
      <w:r w:rsidRPr="00554476">
        <w:rPr>
          <w:rFonts w:ascii="Arial" w:eastAsia="Calibri" w:hAnsi="Arial" w:cs="Arial"/>
          <w:spacing w:val="4"/>
          <w:sz w:val="20"/>
          <w:szCs w:val="20"/>
        </w:rPr>
        <w:t>suma de la totalidad de los conceptos reclamados.</w:t>
      </w:r>
    </w:p>
    <w:p w14:paraId="04602635" w14:textId="4DC15912" w:rsidR="00C468FD" w:rsidRDefault="00C468FD" w:rsidP="00554476">
      <w:pPr>
        <w:spacing w:after="0" w:line="360" w:lineRule="auto"/>
        <w:jc w:val="both"/>
        <w:rPr>
          <w:rFonts w:ascii="Arial" w:eastAsia="Calibri" w:hAnsi="Arial" w:cs="Arial"/>
          <w:spacing w:val="4"/>
          <w:sz w:val="20"/>
          <w:szCs w:val="20"/>
        </w:rPr>
      </w:pPr>
    </w:p>
    <w:p w14:paraId="0D82EF18" w14:textId="410F59A8" w:rsidR="00C468FD" w:rsidRDefault="00C468FD" w:rsidP="00554476">
      <w:pPr>
        <w:spacing w:after="0" w:line="360" w:lineRule="auto"/>
        <w:jc w:val="both"/>
        <w:rPr>
          <w:rFonts w:ascii="Arial" w:eastAsia="Calibri" w:hAnsi="Arial" w:cs="Arial"/>
          <w:spacing w:val="4"/>
          <w:sz w:val="20"/>
          <w:szCs w:val="20"/>
        </w:rPr>
      </w:pPr>
    </w:p>
    <w:p w14:paraId="04EF6B29" w14:textId="009409CA" w:rsidR="00C468FD" w:rsidRDefault="00C468FD" w:rsidP="00554476">
      <w:pPr>
        <w:spacing w:after="0" w:line="360" w:lineRule="auto"/>
        <w:jc w:val="both"/>
        <w:rPr>
          <w:rFonts w:ascii="Arial" w:eastAsia="Calibri" w:hAnsi="Arial" w:cs="Arial"/>
          <w:spacing w:val="4"/>
          <w:sz w:val="20"/>
          <w:szCs w:val="20"/>
        </w:rPr>
      </w:pPr>
    </w:p>
    <w:p w14:paraId="34C45157" w14:textId="77777777" w:rsidR="00C468FD" w:rsidRPr="00554476" w:rsidRDefault="00C468FD" w:rsidP="00554476">
      <w:pPr>
        <w:spacing w:after="0" w:line="360" w:lineRule="auto"/>
        <w:jc w:val="both"/>
        <w:rPr>
          <w:rFonts w:ascii="Arial" w:eastAsia="Calibri" w:hAnsi="Arial" w:cs="Arial"/>
          <w:spacing w:val="4"/>
          <w:sz w:val="20"/>
          <w:szCs w:val="20"/>
        </w:rPr>
      </w:pPr>
    </w:p>
    <w:p w14:paraId="1B997317" w14:textId="389CBEB8" w:rsidR="00B94CC8" w:rsidRPr="00554476" w:rsidRDefault="00B94CC8" w:rsidP="00554476">
      <w:pPr>
        <w:spacing w:after="0" w:line="360" w:lineRule="auto"/>
        <w:jc w:val="both"/>
        <w:rPr>
          <w:rFonts w:ascii="Arial" w:eastAsia="Calibri" w:hAnsi="Arial" w:cs="Arial"/>
          <w:spacing w:val="4"/>
          <w:sz w:val="20"/>
          <w:szCs w:val="20"/>
        </w:rPr>
      </w:pPr>
    </w:p>
    <w:p w14:paraId="74F82C8C" w14:textId="663EBDB2" w:rsidR="005B4F39" w:rsidRDefault="00CB2235" w:rsidP="00554476">
      <w:pPr>
        <w:spacing w:after="0" w:line="360" w:lineRule="auto"/>
        <w:jc w:val="center"/>
        <w:rPr>
          <w:rFonts w:ascii="Arial" w:hAnsi="Arial" w:cs="Arial"/>
          <w:b/>
          <w:sz w:val="20"/>
          <w:szCs w:val="20"/>
        </w:rPr>
      </w:pPr>
      <w:r w:rsidRPr="00554476">
        <w:rPr>
          <w:rFonts w:ascii="Arial" w:hAnsi="Arial" w:cs="Arial"/>
          <w:b/>
          <w:sz w:val="20"/>
          <w:szCs w:val="20"/>
        </w:rPr>
        <w:t>B</w:t>
      </w:r>
    </w:p>
    <w:p w14:paraId="1000477C" w14:textId="77777777" w:rsidR="00FA6134" w:rsidRPr="00554476" w:rsidRDefault="00FA6134" w:rsidP="00554476">
      <w:pPr>
        <w:spacing w:after="0" w:line="360" w:lineRule="auto"/>
        <w:jc w:val="center"/>
        <w:rPr>
          <w:rFonts w:ascii="Arial" w:hAnsi="Arial" w:cs="Arial"/>
          <w:b/>
          <w:sz w:val="20"/>
          <w:szCs w:val="20"/>
        </w:rPr>
      </w:pPr>
    </w:p>
    <w:p w14:paraId="571D0527" w14:textId="605060F5" w:rsidR="00402005" w:rsidRDefault="005B4F39" w:rsidP="00554476">
      <w:pPr>
        <w:pStyle w:val="Ttulo1"/>
        <w:spacing w:before="0" w:line="360" w:lineRule="auto"/>
        <w:jc w:val="center"/>
        <w:rPr>
          <w:rFonts w:ascii="Arial" w:eastAsia="Bankinter" w:hAnsi="Arial" w:cs="Arial"/>
          <w:color w:val="auto"/>
          <w:sz w:val="20"/>
          <w:szCs w:val="20"/>
          <w:u w:val="single"/>
        </w:rPr>
      </w:pPr>
      <w:bookmarkStart w:id="18" w:name="_Toc54185202"/>
      <w:r w:rsidRPr="00554476">
        <w:rPr>
          <w:rFonts w:ascii="Arial" w:eastAsia="Bankinter" w:hAnsi="Arial" w:cs="Arial"/>
          <w:color w:val="auto"/>
          <w:sz w:val="20"/>
          <w:szCs w:val="20"/>
          <w:u w:val="single"/>
        </w:rPr>
        <w:t>DE CARÁCTER MATERIAL</w:t>
      </w:r>
      <w:bookmarkEnd w:id="18"/>
    </w:p>
    <w:p w14:paraId="06A48FDE" w14:textId="77777777" w:rsidR="00FA6134" w:rsidRPr="00FA6134" w:rsidRDefault="00FA6134" w:rsidP="00FA6134"/>
    <w:p w14:paraId="0F719B2B" w14:textId="09FE6929" w:rsidR="00177619" w:rsidRDefault="00177619" w:rsidP="00177619"/>
    <w:p w14:paraId="0014F79B" w14:textId="6B45EAA9" w:rsidR="00573184" w:rsidRPr="00177619" w:rsidRDefault="00573184" w:rsidP="00177619">
      <w:r w:rsidRPr="00C468FD">
        <w:rPr>
          <w:highlight w:val="cyan"/>
        </w:rPr>
        <w:t xml:space="preserve">PRESCRIPCION </w:t>
      </w:r>
      <w:r w:rsidR="004364A0" w:rsidRPr="004364A0">
        <w:rPr>
          <w:highlight w:val="cyan"/>
        </w:rPr>
        <w:t>PARA P</w:t>
      </w:r>
      <w:r w:rsidR="004364A0">
        <w:rPr>
          <w:highlight w:val="cyan"/>
        </w:rPr>
        <w:t>ÉSTAMOS HIPOTECARIOS ANTERIOR A</w:t>
      </w:r>
      <w:r w:rsidR="004364A0" w:rsidRPr="004364A0">
        <w:rPr>
          <w:highlight w:val="cyan"/>
        </w:rPr>
        <w:t xml:space="preserve"> 21 DE ENERO DE 2016</w:t>
      </w:r>
    </w:p>
    <w:p w14:paraId="169E25DB" w14:textId="5699D895" w:rsidR="00177619" w:rsidRPr="00177619" w:rsidRDefault="00177619" w:rsidP="00177619">
      <w:pPr>
        <w:spacing w:before="240" w:after="240" w:line="360" w:lineRule="auto"/>
        <w:ind w:left="1410" w:hanging="1410"/>
        <w:jc w:val="both"/>
        <w:rPr>
          <w:rFonts w:ascii="Arial" w:hAnsi="Arial" w:cs="Arial"/>
          <w:b/>
          <w:color w:val="000000"/>
          <w:sz w:val="20"/>
          <w:szCs w:val="20"/>
          <w:u w:val="single"/>
        </w:rPr>
      </w:pPr>
      <w:r w:rsidRPr="00177619">
        <w:rPr>
          <w:rFonts w:ascii="Arial" w:hAnsi="Arial" w:cs="Arial"/>
          <w:b/>
          <w:color w:val="000000"/>
          <w:sz w:val="20"/>
          <w:szCs w:val="20"/>
          <w:u w:val="single"/>
        </w:rPr>
        <w:t>PRIMERO</w:t>
      </w:r>
      <w:r>
        <w:rPr>
          <w:rFonts w:ascii="Arial" w:hAnsi="Arial" w:cs="Arial"/>
          <w:b/>
          <w:color w:val="000000"/>
          <w:sz w:val="20"/>
          <w:szCs w:val="20"/>
          <w:u w:val="single"/>
        </w:rPr>
        <w:t xml:space="preserve">. - </w:t>
      </w:r>
      <w:r w:rsidRPr="00177619">
        <w:rPr>
          <w:rFonts w:ascii="Arial" w:hAnsi="Arial" w:cs="Arial"/>
          <w:b/>
          <w:color w:val="000000"/>
          <w:sz w:val="20"/>
          <w:szCs w:val="20"/>
          <w:u w:val="single"/>
        </w:rPr>
        <w:t xml:space="preserve">La acción restitutoria ejercitada de contrario se encuentra prescrita </w:t>
      </w:r>
    </w:p>
    <w:p w14:paraId="4C1F0EE9" w14:textId="77777777" w:rsidR="00177619" w:rsidRPr="00BE758C" w:rsidRDefault="00177619" w:rsidP="001618DF">
      <w:pPr>
        <w:pStyle w:val="Prrafodelista"/>
        <w:numPr>
          <w:ilvl w:val="0"/>
          <w:numId w:val="23"/>
        </w:numPr>
        <w:spacing w:before="240" w:after="240" w:line="360" w:lineRule="auto"/>
        <w:ind w:left="567" w:hanging="567"/>
        <w:contextualSpacing w:val="0"/>
        <w:jc w:val="both"/>
        <w:rPr>
          <w:rFonts w:ascii="Arial" w:hAnsi="Arial" w:cs="Arial"/>
          <w:b/>
          <w:color w:val="000000"/>
          <w:sz w:val="20"/>
          <w:szCs w:val="20"/>
        </w:rPr>
      </w:pPr>
      <w:r w:rsidRPr="00BE758C">
        <w:rPr>
          <w:rFonts w:ascii="Arial" w:hAnsi="Arial" w:cs="Arial"/>
          <w:b/>
          <w:color w:val="000000"/>
          <w:sz w:val="20"/>
          <w:szCs w:val="20"/>
        </w:rPr>
        <w:lastRenderedPageBreak/>
        <w:t xml:space="preserve">Introducción </w:t>
      </w:r>
    </w:p>
    <w:p w14:paraId="5E8BDE01"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Como ya se ha tenido oportunidad de indicar en el presente escrito, de contrario se ejercitan dos acciones: por un lado una acción declarativa de nulidad de condición general de contratación, fundada en la eventual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de la cláusula </w:t>
      </w:r>
      <w:r w:rsidRPr="00BE758C">
        <w:rPr>
          <w:rFonts w:ascii="Arial" w:hAnsi="Arial" w:cs="Arial"/>
          <w:color w:val="000000"/>
          <w:sz w:val="20"/>
          <w:szCs w:val="20"/>
          <w:highlight w:val="yellow"/>
        </w:rPr>
        <w:t>de imposición de gastos</w:t>
      </w:r>
      <w:r w:rsidRPr="00BE758C">
        <w:rPr>
          <w:rFonts w:ascii="Arial" w:hAnsi="Arial" w:cs="Arial"/>
          <w:color w:val="000000"/>
          <w:sz w:val="20"/>
          <w:szCs w:val="20"/>
        </w:rPr>
        <w:t xml:space="preserve">, a la cual se acumula una acción restitutoria dirigida al reembolso </w:t>
      </w:r>
      <w:r w:rsidRPr="00BE758C">
        <w:rPr>
          <w:rFonts w:ascii="Arial" w:hAnsi="Arial" w:cs="Arial"/>
          <w:color w:val="000000"/>
          <w:sz w:val="20"/>
          <w:szCs w:val="20"/>
          <w:highlight w:val="yellow"/>
        </w:rPr>
        <w:t>de los gastos</w:t>
      </w:r>
      <w:r w:rsidRPr="00BE758C">
        <w:rPr>
          <w:rFonts w:ascii="Arial" w:hAnsi="Arial" w:cs="Arial"/>
          <w:color w:val="000000"/>
          <w:sz w:val="20"/>
          <w:szCs w:val="20"/>
        </w:rPr>
        <w:t xml:space="preserve"> de constitución de hipoteca abonados por la parte actora con sus intereses legales. </w:t>
      </w:r>
    </w:p>
    <w:p w14:paraId="36D0B2A4"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7F621517"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Sentado lo anterior, veremos que la acción restitutoria está sujeta al plazo de prescripción de 5 años (tras la reforma de la </w:t>
      </w:r>
      <w:hyperlink r:id="rId8" w:tooltip="enlace" w:history="1">
        <w:r w:rsidRPr="00BE758C">
          <w:rPr>
            <w:rFonts w:ascii="Arial" w:hAnsi="Arial" w:cs="Arial"/>
            <w:color w:val="000000"/>
            <w:sz w:val="20"/>
            <w:szCs w:val="20"/>
          </w:rPr>
          <w:t>Ley 42/2015, de 5 de octubre</w:t>
        </w:r>
        <w:r w:rsidRPr="00BE758C">
          <w:rPr>
            <w:rStyle w:val="Refdenotaalpie"/>
            <w:rFonts w:cs="Arial"/>
            <w:sz w:val="20"/>
            <w:szCs w:val="20"/>
          </w:rPr>
          <w:footnoteReference w:id="1"/>
        </w:r>
      </w:hyperlink>
      <w:r w:rsidRPr="00BE758C">
        <w:rPr>
          <w:rFonts w:ascii="Arial" w:hAnsi="Arial" w:cs="Arial"/>
          <w:color w:val="000000"/>
          <w:sz w:val="20"/>
          <w:szCs w:val="20"/>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BE758C">
        <w:rPr>
          <w:rFonts w:ascii="Arial" w:hAnsi="Arial" w:cs="Arial"/>
          <w:i/>
          <w:iCs/>
          <w:color w:val="000000"/>
          <w:sz w:val="20"/>
          <w:szCs w:val="20"/>
        </w:rPr>
        <w:t>dies</w:t>
      </w:r>
      <w:proofErr w:type="spellEnd"/>
      <w:r w:rsidRPr="00BE758C">
        <w:rPr>
          <w:rFonts w:ascii="Arial" w:hAnsi="Arial" w:cs="Arial"/>
          <w:i/>
          <w:iCs/>
          <w:color w:val="000000"/>
          <w:sz w:val="20"/>
          <w:szCs w:val="20"/>
        </w:rPr>
        <w:t xml:space="preserve"> a quo</w:t>
      </w:r>
      <w:r w:rsidRPr="00BE758C">
        <w:rPr>
          <w:rFonts w:ascii="Arial" w:hAnsi="Arial" w:cs="Arial"/>
          <w:color w:val="000000"/>
          <w:sz w:val="20"/>
          <w:szCs w:val="20"/>
        </w:rPr>
        <w:t xml:space="preserve"> para computar el referido plazo de prescripción es el momento en que la parte actora tuvo conocimiento de la potencial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y estuvo en condiciones de ejercitar la acción.</w:t>
      </w:r>
    </w:p>
    <w:p w14:paraId="70D0198D" w14:textId="1864C7DC" w:rsidR="00177619"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6D5411D2" w14:textId="3A144CA4" w:rsidR="00C468FD" w:rsidRDefault="00C468FD" w:rsidP="00177619">
      <w:pPr>
        <w:spacing w:before="240" w:after="240" w:line="360" w:lineRule="auto"/>
        <w:jc w:val="both"/>
        <w:rPr>
          <w:rFonts w:ascii="Arial" w:hAnsi="Arial" w:cs="Arial"/>
          <w:color w:val="000000"/>
          <w:sz w:val="20"/>
          <w:szCs w:val="20"/>
        </w:rPr>
      </w:pPr>
    </w:p>
    <w:p w14:paraId="37CD0AFE" w14:textId="77777777" w:rsidR="00C468FD" w:rsidRPr="00BE758C" w:rsidRDefault="00C468FD" w:rsidP="00177619">
      <w:pPr>
        <w:spacing w:before="240" w:after="240" w:line="360" w:lineRule="auto"/>
        <w:jc w:val="both"/>
        <w:rPr>
          <w:rFonts w:ascii="Arial" w:hAnsi="Arial" w:cs="Arial"/>
          <w:color w:val="000000"/>
          <w:sz w:val="20"/>
          <w:szCs w:val="20"/>
        </w:rPr>
      </w:pPr>
    </w:p>
    <w:p w14:paraId="7A711C59" w14:textId="77777777" w:rsidR="00177619" w:rsidRPr="00BE758C" w:rsidRDefault="00177619" w:rsidP="001618DF">
      <w:pPr>
        <w:pStyle w:val="Prrafodelista"/>
        <w:numPr>
          <w:ilvl w:val="0"/>
          <w:numId w:val="23"/>
        </w:numPr>
        <w:spacing w:before="240" w:after="240" w:line="360" w:lineRule="auto"/>
        <w:ind w:left="567" w:hanging="567"/>
        <w:contextualSpacing w:val="0"/>
        <w:jc w:val="both"/>
        <w:rPr>
          <w:rFonts w:ascii="Arial" w:hAnsi="Arial" w:cs="Arial"/>
          <w:color w:val="000000"/>
          <w:sz w:val="20"/>
          <w:szCs w:val="20"/>
        </w:rPr>
      </w:pPr>
      <w:r w:rsidRPr="00BE758C">
        <w:rPr>
          <w:rFonts w:ascii="Arial" w:hAnsi="Arial" w:cs="Arial"/>
          <w:b/>
          <w:color w:val="000000"/>
          <w:sz w:val="20"/>
          <w:szCs w:val="20"/>
        </w:rPr>
        <w:t xml:space="preserve">La acción declarativa de </w:t>
      </w:r>
      <w:proofErr w:type="spellStart"/>
      <w:r w:rsidRPr="00BE758C">
        <w:rPr>
          <w:rFonts w:ascii="Arial" w:hAnsi="Arial" w:cs="Arial"/>
          <w:b/>
          <w:color w:val="000000"/>
          <w:sz w:val="20"/>
          <w:szCs w:val="20"/>
        </w:rPr>
        <w:t>abusividad</w:t>
      </w:r>
      <w:proofErr w:type="spellEnd"/>
      <w:r w:rsidRPr="00BE758C">
        <w:rPr>
          <w:rFonts w:ascii="Arial" w:hAnsi="Arial" w:cs="Arial"/>
          <w:b/>
          <w:color w:val="000000"/>
          <w:sz w:val="20"/>
          <w:szCs w:val="20"/>
        </w:rPr>
        <w:t xml:space="preserve"> y la acción restitutoria son acciones autónomas</w:t>
      </w:r>
    </w:p>
    <w:p w14:paraId="60597259" w14:textId="77777777" w:rsidR="00177619"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La acción declarativa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y la acción de remoción de efectos o restitución de ventajas son dos acciones autónomas e independientes, que responden a distintas causas de pedir: por un lado, la nulidad con base en la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de la cláusula, y, por otro lado, la restitución de las cantidades satisfechas en virtud de la cláusula declarada abusiva.</w:t>
      </w:r>
    </w:p>
    <w:p w14:paraId="6284AF73"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Hay que matizar, eso sí, que aunque con carácter genérico se habla de “declaración de nulidad”, la Directiva 93/13 no regula ni hace mención a ninguna acción de nulidad. El artículo 6, apartado 1 de la Directiva 93/13 dispone que las cláusulas abusivas que figuren en un contrato celebrado </w:t>
      </w:r>
      <w:r w:rsidRPr="00BE758C">
        <w:rPr>
          <w:rFonts w:ascii="Arial" w:hAnsi="Arial" w:cs="Arial"/>
          <w:color w:val="000000"/>
          <w:sz w:val="20"/>
          <w:szCs w:val="20"/>
        </w:rPr>
        <w:lastRenderedPageBreak/>
        <w:t>entre un consumidor y un profesional “</w:t>
      </w:r>
      <w:r w:rsidRPr="00BE758C">
        <w:rPr>
          <w:rFonts w:ascii="Arial" w:hAnsi="Arial" w:cs="Arial"/>
          <w:i/>
          <w:color w:val="000000"/>
          <w:sz w:val="20"/>
          <w:szCs w:val="20"/>
        </w:rPr>
        <w:t xml:space="preserve">no vincularán al </w:t>
      </w:r>
      <w:r w:rsidRPr="00BE758C">
        <w:rPr>
          <w:rFonts w:ascii="Arial" w:hAnsi="Arial" w:cs="Arial"/>
          <w:i/>
          <w:iCs/>
          <w:color w:val="000000"/>
          <w:sz w:val="20"/>
          <w:szCs w:val="20"/>
        </w:rPr>
        <w:t>consumidor</w:t>
      </w:r>
      <w:r w:rsidRPr="00BE758C">
        <w:rPr>
          <w:rFonts w:ascii="Arial" w:hAnsi="Arial" w:cs="Arial"/>
          <w:color w:val="000000"/>
          <w:sz w:val="20"/>
          <w:szCs w:val="20"/>
        </w:rPr>
        <w:t>”. Al aplicar este principio de “no vinculación”, tanto las Directrices para la interpretación y aplicación de la Directiva 93/13 elaboradas por la Comisión Europea</w:t>
      </w:r>
      <w:r w:rsidRPr="00BE758C">
        <w:rPr>
          <w:rStyle w:val="Refdenotaalpie"/>
          <w:rFonts w:cs="Arial"/>
          <w:color w:val="000000"/>
          <w:sz w:val="20"/>
          <w:szCs w:val="20"/>
        </w:rPr>
        <w:footnoteReference w:id="2"/>
      </w:r>
      <w:r w:rsidRPr="00BE758C">
        <w:rPr>
          <w:rFonts w:ascii="Arial" w:hAnsi="Arial" w:cs="Arial"/>
          <w:color w:val="000000"/>
          <w:sz w:val="20"/>
          <w:szCs w:val="20"/>
        </w:rPr>
        <w:t xml:space="preserve"> (“</w:t>
      </w:r>
      <w:r w:rsidRPr="00BE758C">
        <w:rPr>
          <w:rFonts w:ascii="Arial" w:hAnsi="Arial" w:cs="Arial"/>
          <w:b/>
          <w:color w:val="000000"/>
          <w:sz w:val="20"/>
          <w:szCs w:val="20"/>
        </w:rPr>
        <w:t>Directrices de la Comisión</w:t>
      </w:r>
      <w:r w:rsidRPr="00BE758C">
        <w:rPr>
          <w:rFonts w:ascii="Arial" w:hAnsi="Arial" w:cs="Arial"/>
          <w:color w:val="000000"/>
          <w:sz w:val="20"/>
          <w:szCs w:val="20"/>
        </w:rPr>
        <w:t xml:space="preserve">”) como el TJUE distinguen entre dos aspectos distintos: (i) la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y (</w:t>
      </w:r>
      <w:proofErr w:type="spellStart"/>
      <w:r w:rsidRPr="00BE758C">
        <w:rPr>
          <w:rFonts w:ascii="Arial" w:hAnsi="Arial" w:cs="Arial"/>
          <w:color w:val="000000"/>
          <w:sz w:val="20"/>
          <w:szCs w:val="20"/>
        </w:rPr>
        <w:t>ii</w:t>
      </w:r>
      <w:proofErr w:type="spellEnd"/>
      <w:r w:rsidRPr="00BE758C">
        <w:rPr>
          <w:rFonts w:ascii="Arial" w:hAnsi="Arial" w:cs="Arial"/>
          <w:color w:val="000000"/>
          <w:sz w:val="20"/>
          <w:szCs w:val="20"/>
        </w:rPr>
        <w:t xml:space="preserve">) la remoción de los efectos que haya producido la cláusula abusiva hasta el momento, en el sentido de restitución de las ventajas obtenidas en aplicación de dicha cláusula. </w:t>
      </w:r>
    </w:p>
    <w:p w14:paraId="174BB6EE"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Respecto de la remoción de los efectos que se han producido de manera efectiva en la relación contractual en aplicación de la cláusula declarada abusiva (“</w:t>
      </w:r>
      <w:r w:rsidRPr="00BE758C">
        <w:rPr>
          <w:rFonts w:ascii="Arial" w:hAnsi="Arial" w:cs="Arial"/>
          <w:color w:val="000000"/>
          <w:sz w:val="20"/>
          <w:szCs w:val="20"/>
          <w:u w:val="single"/>
        </w:rPr>
        <w:t>restitución de ventajas obtenidas mediante cláusulas contractuales abusivas</w:t>
      </w:r>
      <w:r w:rsidRPr="00BE758C">
        <w:rPr>
          <w:rFonts w:ascii="Arial" w:hAnsi="Arial" w:cs="Arial"/>
          <w:color w:val="000000"/>
          <w:sz w:val="20"/>
          <w:szCs w:val="20"/>
        </w:rPr>
        <w:t>”, en palabras de la Comisión</w:t>
      </w:r>
      <w:r w:rsidRPr="00BE758C">
        <w:rPr>
          <w:rStyle w:val="Refdenotaalpie"/>
          <w:rFonts w:cs="Arial"/>
          <w:color w:val="000000"/>
          <w:sz w:val="20"/>
          <w:szCs w:val="20"/>
        </w:rPr>
        <w:footnoteReference w:id="3"/>
      </w:r>
      <w:r w:rsidRPr="00BE758C">
        <w:rPr>
          <w:rFonts w:ascii="Arial" w:hAnsi="Arial" w:cs="Arial"/>
          <w:color w:val="000000"/>
          <w:sz w:val="20"/>
          <w:szCs w:val="20"/>
        </w:rPr>
        <w:t xml:space="preserve">) no es automática o inherente a la propia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sino que </w:t>
      </w:r>
      <w:r w:rsidRPr="00BE758C">
        <w:rPr>
          <w:rFonts w:ascii="Arial" w:hAnsi="Arial" w:cs="Arial"/>
          <w:color w:val="000000"/>
          <w:sz w:val="20"/>
          <w:szCs w:val="20"/>
          <w:u w:val="single"/>
        </w:rPr>
        <w:t>responde a una acción autónoma y accesoria a la declarativa</w:t>
      </w:r>
      <w:r w:rsidRPr="00BE758C">
        <w:rPr>
          <w:rFonts w:ascii="Arial" w:hAnsi="Arial" w:cs="Arial"/>
          <w:color w:val="000000"/>
          <w:sz w:val="20"/>
          <w:szCs w:val="20"/>
        </w:rPr>
        <w:t xml:space="preserve">. </w:t>
      </w:r>
    </w:p>
    <w:p w14:paraId="4EB58E5E"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Esta configuración del régimen de protección al consumidor que ejercita acciones individuales es plenamente conforme con la regulación de las acciones colectivas en esta misma materia, respecto de las que se ha publicado recientemente la </w:t>
      </w:r>
      <w:r w:rsidRPr="00BE758C">
        <w:rPr>
          <w:rFonts w:ascii="Arial" w:hAnsi="Arial" w:cs="Arial"/>
          <w:sz w:val="20"/>
          <w:szCs w:val="20"/>
        </w:rPr>
        <w:t>Directiva 2020/1828 del Parlamento Europeo y del Consejo de 25 de noviembre de 2020 relativa a las acciones de representación para la protección de los intereses colectivos de los consumidores y por la que se deroga la Directiva 2009/22/CEE</w:t>
      </w:r>
      <w:r w:rsidRPr="00BE758C">
        <w:rPr>
          <w:rFonts w:ascii="Arial" w:hAnsi="Arial" w:cs="Arial"/>
          <w:color w:val="000000"/>
          <w:sz w:val="20"/>
          <w:szCs w:val="20"/>
        </w:rPr>
        <w:t>,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BE758C">
        <w:rPr>
          <w:rStyle w:val="Refdenotaalpie"/>
          <w:rFonts w:cs="Arial"/>
          <w:color w:val="000000"/>
          <w:sz w:val="20"/>
          <w:szCs w:val="20"/>
        </w:rPr>
        <w:footnoteReference w:id="4"/>
      </w:r>
      <w:r w:rsidRPr="00BE758C">
        <w:rPr>
          <w:rFonts w:ascii="Arial" w:hAnsi="Arial" w:cs="Arial"/>
          <w:color w:val="000000"/>
          <w:sz w:val="20"/>
          <w:szCs w:val="20"/>
        </w:rPr>
        <w:t xml:space="preserve">. </w:t>
      </w:r>
    </w:p>
    <w:p w14:paraId="2623980C"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Este carácter autónomo y accesorio de la acción de remoción de efectos ha sido confirmado por el TJUE tal y como se desprende de </w:t>
      </w:r>
      <w:r w:rsidRPr="00BE758C">
        <w:rPr>
          <w:rFonts w:ascii="Arial" w:hAnsi="Arial" w:cs="Arial"/>
          <w:color w:val="000000"/>
          <w:sz w:val="20"/>
          <w:szCs w:val="20"/>
          <w:lang w:val="es-ES_tradnl"/>
        </w:rPr>
        <w:t xml:space="preserve">la STJUE de 16 de julio de 2020 en el asunto </w:t>
      </w:r>
      <w:proofErr w:type="spellStart"/>
      <w:r w:rsidRPr="00BE758C">
        <w:rPr>
          <w:rFonts w:ascii="Arial" w:hAnsi="Arial" w:cs="Arial"/>
          <w:i/>
          <w:iCs/>
          <w:color w:val="000000"/>
          <w:sz w:val="20"/>
          <w:szCs w:val="20"/>
          <w:lang w:val="es-ES_tradnl"/>
        </w:rPr>
        <w:t>Caixabank</w:t>
      </w:r>
      <w:proofErr w:type="spellEnd"/>
      <w:r w:rsidRPr="00BE758C">
        <w:rPr>
          <w:rStyle w:val="Refdenotaalpie"/>
          <w:rFonts w:cs="Arial"/>
          <w:color w:val="000000"/>
          <w:sz w:val="20"/>
          <w:szCs w:val="20"/>
          <w:lang w:val="es-ES_tradnl"/>
        </w:rPr>
        <w:footnoteReference w:id="5"/>
      </w:r>
      <w:r w:rsidRPr="00BE758C">
        <w:rPr>
          <w:rFonts w:ascii="Arial" w:hAnsi="Arial" w:cs="Arial"/>
          <w:i/>
          <w:iCs/>
          <w:color w:val="000000"/>
          <w:sz w:val="20"/>
          <w:szCs w:val="20"/>
          <w:lang w:val="es-ES_tradnl"/>
        </w:rPr>
        <w:t xml:space="preserve"> </w:t>
      </w:r>
      <w:r w:rsidRPr="00BE758C">
        <w:rPr>
          <w:rFonts w:ascii="Arial" w:hAnsi="Arial" w:cs="Arial"/>
          <w:color w:val="000000"/>
          <w:sz w:val="20"/>
          <w:szCs w:val="20"/>
          <w:lang w:val="es-ES_tradnl"/>
        </w:rPr>
        <w:t xml:space="preserve">o la </w:t>
      </w:r>
      <w:r w:rsidRPr="00BE758C">
        <w:rPr>
          <w:rFonts w:ascii="Arial" w:hAnsi="Arial" w:cs="Arial"/>
          <w:color w:val="000000"/>
          <w:sz w:val="20"/>
          <w:szCs w:val="20"/>
        </w:rPr>
        <w:t xml:space="preserve">más reciente STJUE de 10 de junio de 2021 (asunto </w:t>
      </w:r>
      <w:r w:rsidRPr="00BE758C">
        <w:rPr>
          <w:rFonts w:ascii="Arial" w:hAnsi="Arial" w:cs="Arial"/>
          <w:i/>
          <w:iCs/>
          <w:color w:val="000000"/>
          <w:sz w:val="20"/>
          <w:szCs w:val="20"/>
        </w:rPr>
        <w:t xml:space="preserve">BNP </w:t>
      </w:r>
      <w:proofErr w:type="spellStart"/>
      <w:r w:rsidRPr="00BE758C">
        <w:rPr>
          <w:rFonts w:ascii="Arial" w:hAnsi="Arial" w:cs="Arial"/>
          <w:i/>
          <w:iCs/>
          <w:color w:val="000000"/>
          <w:sz w:val="20"/>
          <w:szCs w:val="20"/>
        </w:rPr>
        <w:t>Paribas</w:t>
      </w:r>
      <w:proofErr w:type="spellEnd"/>
      <w:r w:rsidRPr="00BE758C">
        <w:rPr>
          <w:rFonts w:ascii="Arial" w:hAnsi="Arial" w:cs="Arial"/>
          <w:color w:val="000000"/>
          <w:sz w:val="20"/>
          <w:szCs w:val="20"/>
        </w:rPr>
        <w:t>)</w:t>
      </w:r>
      <w:r w:rsidRPr="00BE758C">
        <w:rPr>
          <w:rStyle w:val="Refdenotaalpie"/>
          <w:rFonts w:cs="Arial"/>
          <w:color w:val="000000"/>
          <w:sz w:val="20"/>
          <w:szCs w:val="20"/>
        </w:rPr>
        <w:footnoteReference w:id="6"/>
      </w:r>
      <w:r w:rsidRPr="00BE758C">
        <w:rPr>
          <w:rFonts w:ascii="Arial" w:hAnsi="Arial" w:cs="Arial"/>
          <w:color w:val="000000"/>
          <w:sz w:val="20"/>
          <w:szCs w:val="20"/>
        </w:rPr>
        <w:t xml:space="preserve">, donde se establece que el carácter autónomo de dichas acciones determina la aplicación de un diferente régimen de prescripción. </w:t>
      </w:r>
    </w:p>
    <w:p w14:paraId="3E8CCD6A"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accesorias y, por tanto, autónomas, las acciones de devolución de cantidades y de indemnización </w:t>
      </w:r>
      <w:r w:rsidRPr="00BE758C">
        <w:rPr>
          <w:rFonts w:ascii="Arial" w:hAnsi="Arial" w:cs="Arial"/>
          <w:color w:val="000000"/>
          <w:sz w:val="20"/>
          <w:szCs w:val="20"/>
        </w:rPr>
        <w:lastRenderedPageBreak/>
        <w:t>de daños y perjuicios</w:t>
      </w:r>
      <w:r w:rsidRPr="00BE758C">
        <w:rPr>
          <w:rStyle w:val="Refdenotaalpie"/>
          <w:rFonts w:cs="Arial"/>
          <w:color w:val="000000"/>
          <w:sz w:val="20"/>
          <w:szCs w:val="20"/>
        </w:rPr>
        <w:footnoteReference w:id="7"/>
      </w:r>
      <w:r w:rsidRPr="00BE758C">
        <w:rPr>
          <w:rFonts w:ascii="Arial" w:hAnsi="Arial" w:cs="Arial"/>
          <w:color w:val="000000"/>
          <w:sz w:val="20"/>
          <w:szCs w:val="20"/>
        </w:rPr>
        <w:t>. De igual forma, la jurisprudencia es unánime al entender que la acción declarativa y la acción restitutoria se configuran como acciones autónomas y sujetas a diferentes criterios de prescripción.</w:t>
      </w:r>
    </w:p>
    <w:p w14:paraId="3AB1392B" w14:textId="77777777" w:rsidR="00177619" w:rsidRPr="00BE758C" w:rsidRDefault="00177619" w:rsidP="00177619">
      <w:pPr>
        <w:spacing w:before="240" w:after="240" w:line="360" w:lineRule="auto"/>
        <w:jc w:val="both"/>
        <w:rPr>
          <w:rFonts w:ascii="Arial" w:hAnsi="Arial" w:cs="Arial"/>
          <w:color w:val="000000"/>
          <w:sz w:val="20"/>
          <w:szCs w:val="20"/>
        </w:rPr>
      </w:pPr>
      <w:bookmarkStart w:id="19" w:name="_Hlk83301493"/>
      <w:r w:rsidRPr="00BE758C">
        <w:rPr>
          <w:rFonts w:ascii="Arial" w:hAnsi="Arial" w:cs="Arial"/>
          <w:color w:val="000000"/>
          <w:sz w:val="20"/>
          <w:szCs w:val="20"/>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BE758C">
        <w:rPr>
          <w:rFonts w:ascii="Arial" w:hAnsi="Arial" w:cs="Arial"/>
          <w:b/>
          <w:bCs/>
          <w:color w:val="000000"/>
          <w:sz w:val="20"/>
          <w:szCs w:val="20"/>
        </w:rPr>
        <w:t>Auto Cuestión Prejudicial GH</w:t>
      </w:r>
      <w:r w:rsidRPr="00BE758C">
        <w:rPr>
          <w:rFonts w:ascii="Arial" w:hAnsi="Arial" w:cs="Arial"/>
          <w:color w:val="000000"/>
          <w:sz w:val="20"/>
          <w:szCs w:val="20"/>
        </w:rPr>
        <w:t xml:space="preserve">”) y que por su relevancia, mencionaremos a lo largo de este escrito. En dicha cuestión prejudicial las preguntas que se plantean se refieren al </w:t>
      </w:r>
      <w:proofErr w:type="spellStart"/>
      <w:r w:rsidRPr="00BE758C">
        <w:rPr>
          <w:rFonts w:ascii="Arial" w:hAnsi="Arial" w:cs="Arial"/>
          <w:color w:val="000000"/>
          <w:sz w:val="20"/>
          <w:szCs w:val="20"/>
        </w:rPr>
        <w:t>dies</w:t>
      </w:r>
      <w:proofErr w:type="spellEnd"/>
      <w:r w:rsidRPr="00BE758C">
        <w:rPr>
          <w:rFonts w:ascii="Arial" w:hAnsi="Arial" w:cs="Arial"/>
          <w:color w:val="000000"/>
          <w:sz w:val="20"/>
          <w:szCs w:val="20"/>
        </w:rPr>
        <w:t xml:space="preserve"> a quo (a lo que haremos referencia más adelante) pero no hay ninguna duda de que el Tribunal Supremo, siguiendo la jurisprudencia del TJUE, considera que la acción de restitución de las prestaciones realizadas en ejecución de la cláusula declarada nula es una acción accesoria pero autónoma que tiene su propio régimen de prescripción. Así, en el párrafo 9 de dicho Auto, el Tribunal Supremo deja claro que tal distinción existe y que dicha acción de restitución es prescriptible</w:t>
      </w:r>
    </w:p>
    <w:p w14:paraId="3BEB0269" w14:textId="77777777" w:rsidR="00177619" w:rsidRPr="00BE758C" w:rsidRDefault="00177619" w:rsidP="00177619">
      <w:pPr>
        <w:spacing w:before="240" w:after="240" w:line="360" w:lineRule="auto"/>
        <w:ind w:firstLine="567"/>
        <w:jc w:val="both"/>
        <w:rPr>
          <w:rFonts w:ascii="Arial" w:hAnsi="Arial" w:cs="Arial"/>
          <w:color w:val="000000"/>
          <w:sz w:val="20"/>
          <w:szCs w:val="20"/>
        </w:rPr>
      </w:pPr>
      <w:r w:rsidRPr="00BE758C">
        <w:rPr>
          <w:rFonts w:ascii="Arial" w:hAnsi="Arial" w:cs="Arial"/>
          <w:color w:val="000000"/>
          <w:sz w:val="20"/>
          <w:szCs w:val="20"/>
        </w:rPr>
        <w:t>“</w:t>
      </w:r>
      <w:r w:rsidRPr="00BE758C">
        <w:rPr>
          <w:rFonts w:ascii="Arial" w:hAnsi="Arial" w:cs="Arial"/>
          <w:i/>
          <w:iCs/>
          <w:color w:val="000000"/>
          <w:sz w:val="20"/>
          <w:szCs w:val="20"/>
        </w:rPr>
        <w:t xml:space="preserve">En efecto, en la sentencia de 27 de febrero de 20164 y en la más reciente sentencia 747/2010, de 30 de diciembre, hemos distinguido entre la acción de declaración de nulidad absoluta del contrato, que hemos considerado imprescriptible, y </w:t>
      </w:r>
      <w:r w:rsidRPr="00BE758C">
        <w:rPr>
          <w:rFonts w:ascii="Arial" w:hAnsi="Arial" w:cs="Arial"/>
          <w:b/>
          <w:bCs/>
          <w:i/>
          <w:iCs/>
          <w:color w:val="000000"/>
          <w:sz w:val="20"/>
          <w:szCs w:val="20"/>
        </w:rPr>
        <w:t>la acción de restitución de las prestaciones realizadas en ejecución del contrato nulo, a la que hemos aplicado el régimen de prescripción de las acciones personales</w:t>
      </w:r>
      <w:r w:rsidRPr="00BE758C">
        <w:rPr>
          <w:rFonts w:ascii="Arial" w:hAnsi="Arial" w:cs="Arial"/>
          <w:color w:val="000000"/>
          <w:sz w:val="20"/>
          <w:szCs w:val="20"/>
        </w:rPr>
        <w:t>”</w:t>
      </w:r>
    </w:p>
    <w:p w14:paraId="41C83D2D"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En el mismo sentido, se pronuncian los órganos inferiores. </w:t>
      </w:r>
      <w:bookmarkEnd w:id="19"/>
      <w:r w:rsidRPr="00BE758C">
        <w:rPr>
          <w:rFonts w:ascii="Arial" w:hAnsi="Arial" w:cs="Arial"/>
          <w:color w:val="000000"/>
          <w:sz w:val="20"/>
          <w:szCs w:val="20"/>
        </w:rPr>
        <w:t>Se cita, por ejemplo, las sentencias núm. 1828/2020, de 10 de septiembre de 2020, y 2548/2020, de 1 de diciembre de 2020, de la Audiencia Provincial de Barcelona (Sección 15ª)</w:t>
      </w:r>
      <w:r w:rsidRPr="00BE758C">
        <w:rPr>
          <w:rStyle w:val="Refdenotaalpie"/>
          <w:rFonts w:cs="Arial"/>
          <w:color w:val="000000"/>
          <w:sz w:val="20"/>
          <w:szCs w:val="20"/>
        </w:rPr>
        <w:t xml:space="preserve"> </w:t>
      </w:r>
      <w:r w:rsidRPr="00BE758C">
        <w:rPr>
          <w:rStyle w:val="Refdenotaalpie"/>
          <w:rFonts w:cs="Arial"/>
          <w:color w:val="000000"/>
          <w:sz w:val="20"/>
          <w:szCs w:val="20"/>
        </w:rPr>
        <w:footnoteReference w:id="8"/>
      </w:r>
      <w:r w:rsidRPr="00BE758C">
        <w:rPr>
          <w:rFonts w:ascii="Arial" w:hAnsi="Arial" w:cs="Arial"/>
          <w:color w:val="000000"/>
          <w:sz w:val="20"/>
          <w:szCs w:val="20"/>
        </w:rPr>
        <w:t xml:space="preserve">, que distinguen entre declaración de nulidad (como se denomina en derecho nacional a la acción declarativa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y restitución de ventajas o resarcimiento concluyendo que “</w:t>
      </w:r>
      <w:r w:rsidRPr="00BE758C">
        <w:rPr>
          <w:rFonts w:ascii="Arial" w:hAnsi="Arial" w:cs="Arial"/>
          <w:i/>
          <w:iCs/>
          <w:color w:val="000000"/>
          <w:sz w:val="20"/>
          <w:szCs w:val="20"/>
        </w:rPr>
        <w:t>no</w:t>
      </w:r>
      <w:r w:rsidRPr="00BE758C">
        <w:rPr>
          <w:rFonts w:ascii="Arial" w:hAnsi="Arial" w:cs="Arial"/>
          <w:i/>
          <w:color w:val="000000"/>
          <w:sz w:val="20"/>
          <w:szCs w:val="20"/>
        </w:rPr>
        <w:t xml:space="preserve"> estimamos que estemos ante una única acción de nulidad imprescriptible y que no podamos distinguir, como hace de forma casi unánime la doctrina, entre la acción declarativa de nulidad y la acción de remoción de los efectos</w:t>
      </w:r>
      <w:r w:rsidRPr="00BE758C">
        <w:rPr>
          <w:rFonts w:ascii="Arial" w:hAnsi="Arial" w:cs="Arial"/>
          <w:iCs/>
          <w:color w:val="000000"/>
          <w:sz w:val="20"/>
          <w:szCs w:val="20"/>
        </w:rPr>
        <w:t xml:space="preserve">”; o la </w:t>
      </w:r>
      <w:r w:rsidRPr="00BE758C">
        <w:rPr>
          <w:rFonts w:ascii="Arial" w:hAnsi="Arial" w:cs="Arial"/>
          <w:color w:val="000000"/>
          <w:sz w:val="20"/>
          <w:szCs w:val="20"/>
        </w:rPr>
        <w:t xml:space="preserve">Sentencia de la Audiencia Provincial de Madrid (Sección 28ª), núm. 1098/2020, de 11 de junio de 2020, </w:t>
      </w:r>
      <w:bookmarkStart w:id="20" w:name="_Hlk83301679"/>
      <w:r w:rsidRPr="00BE758C">
        <w:rPr>
          <w:rFonts w:ascii="Arial" w:hAnsi="Arial" w:cs="Arial"/>
          <w:color w:val="000000"/>
          <w:sz w:val="20"/>
          <w:szCs w:val="20"/>
        </w:rPr>
        <w:t>donde se concluye que la acción restitutoria no puede quedar sujeta al mismo régimen de prescripción “</w:t>
      </w:r>
      <w:r w:rsidRPr="00BE758C">
        <w:rPr>
          <w:rFonts w:ascii="Arial" w:hAnsi="Arial" w:cs="Arial"/>
          <w:b/>
          <w:bCs/>
          <w:i/>
          <w:color w:val="000000"/>
          <w:sz w:val="20"/>
          <w:szCs w:val="20"/>
          <w:u w:val="single"/>
        </w:rPr>
        <w:t>por ser una acción distinta de la declarativa de nulidad</w:t>
      </w:r>
      <w:r w:rsidRPr="00BE758C">
        <w:rPr>
          <w:rFonts w:ascii="Arial" w:hAnsi="Arial" w:cs="Arial"/>
          <w:iCs/>
          <w:color w:val="000000"/>
          <w:sz w:val="20"/>
          <w:szCs w:val="20"/>
        </w:rPr>
        <w:t>”, lo que le lleva a concluir que “</w:t>
      </w:r>
      <w:r w:rsidRPr="00BE758C">
        <w:rPr>
          <w:rFonts w:ascii="Arial" w:hAnsi="Arial" w:cs="Arial"/>
          <w:b/>
          <w:bCs/>
          <w:i/>
          <w:color w:val="000000"/>
          <w:sz w:val="20"/>
          <w:szCs w:val="20"/>
          <w:u w:val="single"/>
        </w:rPr>
        <w:t>el reconocimiento de la diversidad de acciones implica que cada una se rija por la normativa y el régimen jurídico que le resulte de aplicación, según su naturaleza jurídica</w:t>
      </w:r>
      <w:r w:rsidRPr="00BE758C">
        <w:rPr>
          <w:rFonts w:ascii="Arial" w:hAnsi="Arial" w:cs="Arial"/>
          <w:iCs/>
          <w:color w:val="000000"/>
          <w:sz w:val="20"/>
          <w:szCs w:val="20"/>
        </w:rPr>
        <w:t>”</w:t>
      </w:r>
      <w:bookmarkEnd w:id="20"/>
      <w:r w:rsidRPr="00BE758C">
        <w:rPr>
          <w:rFonts w:ascii="Arial" w:hAnsi="Arial" w:cs="Arial"/>
          <w:iCs/>
          <w:color w:val="000000"/>
          <w:sz w:val="20"/>
          <w:szCs w:val="20"/>
        </w:rPr>
        <w:t>.</w:t>
      </w:r>
    </w:p>
    <w:p w14:paraId="39DFC8AE"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lastRenderedPageBreak/>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BE758C">
        <w:rPr>
          <w:rStyle w:val="Refdenotaalpie"/>
          <w:rFonts w:cs="Arial"/>
          <w:color w:val="000000"/>
          <w:sz w:val="20"/>
          <w:szCs w:val="20"/>
        </w:rPr>
        <w:footnoteReference w:id="9"/>
      </w:r>
      <w:r w:rsidRPr="00BE758C">
        <w:rPr>
          <w:rFonts w:ascii="Arial" w:hAnsi="Arial" w:cs="Arial"/>
          <w:color w:val="000000"/>
          <w:sz w:val="20"/>
          <w:szCs w:val="20"/>
        </w:rPr>
        <w:t xml:space="preserve"> o la Audiencia Provincial de Murcia</w:t>
      </w:r>
      <w:r w:rsidRPr="00BE758C">
        <w:rPr>
          <w:rStyle w:val="Refdenotaalpie"/>
          <w:rFonts w:cs="Arial"/>
          <w:color w:val="000000"/>
          <w:sz w:val="20"/>
          <w:szCs w:val="20"/>
        </w:rPr>
        <w:footnoteReference w:id="10"/>
      </w:r>
      <w:r w:rsidRPr="00BE758C">
        <w:rPr>
          <w:rFonts w:ascii="Arial" w:hAnsi="Arial" w:cs="Arial"/>
          <w:color w:val="000000"/>
          <w:sz w:val="20"/>
          <w:szCs w:val="20"/>
        </w:rPr>
        <w:t>). Ejemplo de ello es la Sentencia del Tribunal Supremo nº 38/2015, de 24 de mayo,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5922932D" w14:textId="77777777" w:rsidR="00177619" w:rsidRPr="00BE758C" w:rsidRDefault="00177619" w:rsidP="001618DF">
      <w:pPr>
        <w:pStyle w:val="Prrafodelista"/>
        <w:keepNext/>
        <w:numPr>
          <w:ilvl w:val="0"/>
          <w:numId w:val="23"/>
        </w:numPr>
        <w:spacing w:before="240" w:after="240" w:line="360" w:lineRule="auto"/>
        <w:ind w:left="567" w:hanging="567"/>
        <w:contextualSpacing w:val="0"/>
        <w:jc w:val="both"/>
        <w:rPr>
          <w:rFonts w:ascii="Arial" w:hAnsi="Arial" w:cs="Arial"/>
          <w:color w:val="000000"/>
          <w:sz w:val="20"/>
          <w:szCs w:val="20"/>
        </w:rPr>
      </w:pPr>
      <w:r w:rsidRPr="00BE758C">
        <w:rPr>
          <w:rFonts w:ascii="Arial" w:hAnsi="Arial" w:cs="Arial"/>
          <w:b/>
          <w:color w:val="000000"/>
          <w:sz w:val="20"/>
          <w:szCs w:val="20"/>
        </w:rPr>
        <w:t>Sujeción de la acción de restitución a prescripción</w:t>
      </w:r>
    </w:p>
    <w:p w14:paraId="1E7508A1" w14:textId="77777777" w:rsidR="00177619" w:rsidRPr="00BE758C" w:rsidRDefault="00177619" w:rsidP="00177619">
      <w:pPr>
        <w:keepNext/>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El carácter autónomo de las acciones declarativas y restitutorias conlleva, entre otras cosas, que cada una esté sujeta a un régimen de prescripción diferente. </w:t>
      </w:r>
    </w:p>
    <w:p w14:paraId="0AD8D5D1" w14:textId="77777777" w:rsidR="00177619" w:rsidRPr="00BE758C" w:rsidRDefault="00177619" w:rsidP="00177619">
      <w:pPr>
        <w:keepNext/>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Respecto de la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las Directrices de la Comisión indican que la concurrencia de plazos de prescripción aplicables</w:t>
      </w:r>
      <w:r w:rsidRPr="00BE758C">
        <w:rPr>
          <w:rStyle w:val="Refdenotaalpie"/>
          <w:rFonts w:cs="Arial"/>
          <w:color w:val="000000"/>
          <w:sz w:val="20"/>
          <w:szCs w:val="20"/>
        </w:rPr>
        <w:footnoteReference w:id="11"/>
      </w:r>
      <w:r w:rsidRPr="00BE758C">
        <w:rPr>
          <w:rFonts w:ascii="Arial" w:hAnsi="Arial" w:cs="Arial"/>
          <w:color w:val="000000"/>
          <w:sz w:val="20"/>
          <w:szCs w:val="20"/>
        </w:rPr>
        <w:t xml:space="preserve"> no puede impedir a los consumidores (i) solicitar a un profesional que elimine una cláusula abusiva de un contrato, (ii) pedir que una cláusula del contrato se declare inválida en sede judicial u (iii)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de la cláusula no estaría sujeta a plazo de prescripción. Sirva de ejemplo el asunto </w:t>
      </w:r>
      <w:r w:rsidRPr="00BE758C">
        <w:rPr>
          <w:rFonts w:ascii="Arial" w:hAnsi="Arial" w:cs="Arial"/>
          <w:i/>
          <w:iCs/>
          <w:color w:val="000000"/>
          <w:sz w:val="20"/>
          <w:szCs w:val="20"/>
        </w:rPr>
        <w:t xml:space="preserve">BNP </w:t>
      </w:r>
      <w:proofErr w:type="spellStart"/>
      <w:r w:rsidRPr="00BE758C">
        <w:rPr>
          <w:rFonts w:ascii="Arial" w:hAnsi="Arial" w:cs="Arial"/>
          <w:i/>
          <w:iCs/>
          <w:color w:val="000000"/>
          <w:sz w:val="20"/>
          <w:szCs w:val="20"/>
        </w:rPr>
        <w:t>Paribas</w:t>
      </w:r>
      <w:proofErr w:type="spellEnd"/>
      <w:r w:rsidRPr="00BE758C">
        <w:rPr>
          <w:rStyle w:val="Refdenotaalpie"/>
          <w:rFonts w:cs="Arial"/>
          <w:color w:val="000000"/>
          <w:sz w:val="20"/>
          <w:szCs w:val="20"/>
        </w:rPr>
        <w:footnoteReference w:id="12"/>
      </w:r>
      <w:r w:rsidRPr="00BE758C">
        <w:rPr>
          <w:rFonts w:ascii="Arial" w:hAnsi="Arial" w:cs="Arial"/>
          <w:color w:val="000000"/>
          <w:sz w:val="20"/>
          <w:szCs w:val="20"/>
        </w:rPr>
        <w:t>:</w:t>
      </w:r>
    </w:p>
    <w:p w14:paraId="3B8F77C9" w14:textId="77777777" w:rsidR="00177619" w:rsidRPr="00BE758C" w:rsidRDefault="00177619" w:rsidP="00177619">
      <w:pPr>
        <w:spacing w:before="240" w:after="240" w:line="360" w:lineRule="auto"/>
        <w:ind w:firstLine="567"/>
        <w:jc w:val="both"/>
        <w:rPr>
          <w:rFonts w:ascii="Arial" w:hAnsi="Arial" w:cs="Arial"/>
          <w:color w:val="000000"/>
          <w:sz w:val="20"/>
          <w:szCs w:val="20"/>
        </w:rPr>
      </w:pPr>
      <w:r w:rsidRPr="00BE758C">
        <w:rPr>
          <w:rFonts w:ascii="Arial" w:hAnsi="Arial" w:cs="Arial"/>
          <w:color w:val="000000"/>
          <w:sz w:val="20"/>
          <w:szCs w:val="20"/>
        </w:rPr>
        <w:t xml:space="preserve">“(…) </w:t>
      </w:r>
      <w:r w:rsidRPr="00BE758C">
        <w:rPr>
          <w:rFonts w:ascii="Arial" w:hAnsi="Arial" w:cs="Arial"/>
          <w:i/>
          <w:iCs/>
          <w:color w:val="000000"/>
          <w:sz w:val="20"/>
          <w:szCs w:val="20"/>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BE758C">
        <w:rPr>
          <w:rFonts w:ascii="Arial" w:hAnsi="Arial" w:cs="Arial"/>
          <w:b/>
          <w:bCs/>
          <w:i/>
          <w:iCs/>
          <w:color w:val="000000"/>
          <w:sz w:val="20"/>
          <w:szCs w:val="20"/>
          <w:u w:val="single"/>
        </w:rPr>
        <w:t xml:space="preserve">una acción ejercitada por el consumidor para que se declare el carácter abusivo de una cláusula incluida en un </w:t>
      </w:r>
      <w:r w:rsidRPr="00BE758C">
        <w:rPr>
          <w:rFonts w:ascii="Arial" w:hAnsi="Arial" w:cs="Arial"/>
          <w:b/>
          <w:bCs/>
          <w:i/>
          <w:iCs/>
          <w:color w:val="000000"/>
          <w:sz w:val="20"/>
          <w:szCs w:val="20"/>
          <w:u w:val="single"/>
        </w:rPr>
        <w:lastRenderedPageBreak/>
        <w:t>contrato celebrado entre un profesional y un consumidor no puede estar sujeta a ningún plazo de prescripción</w:t>
      </w:r>
      <w:r w:rsidRPr="00BE758C">
        <w:rPr>
          <w:rFonts w:ascii="Arial" w:hAnsi="Arial" w:cs="Arial"/>
          <w:color w:val="000000"/>
          <w:sz w:val="20"/>
          <w:szCs w:val="20"/>
        </w:rPr>
        <w:t>”.</w:t>
      </w:r>
    </w:p>
    <w:p w14:paraId="09F33117" w14:textId="77777777" w:rsidR="00177619" w:rsidRPr="00BE758C" w:rsidRDefault="00177619" w:rsidP="00177619">
      <w:pPr>
        <w:spacing w:before="240" w:after="240" w:line="360" w:lineRule="auto"/>
        <w:jc w:val="both"/>
        <w:rPr>
          <w:rFonts w:ascii="Arial" w:hAnsi="Arial" w:cs="Arial"/>
          <w:color w:val="000000"/>
          <w:sz w:val="20"/>
          <w:szCs w:val="20"/>
        </w:rPr>
      </w:pPr>
      <w:bookmarkStart w:id="21" w:name="_Ref77330329"/>
      <w:r w:rsidRPr="00BE758C">
        <w:rPr>
          <w:rFonts w:ascii="Arial" w:hAnsi="Arial" w:cs="Arial"/>
          <w:color w:val="000000"/>
          <w:sz w:val="20"/>
          <w:szCs w:val="20"/>
        </w:rPr>
        <w:t xml:space="preserve">Sin embargo, respecto de la acción de remoción de efectos o restitución, las Directrices de la Comisión y el TJUE han señalado que esta acción autónoma, en aplicación de las exigencias del </w:t>
      </w:r>
      <w:r w:rsidRPr="00BE758C">
        <w:rPr>
          <w:rFonts w:ascii="Arial" w:hAnsi="Arial" w:cs="Arial"/>
          <w:color w:val="000000"/>
          <w:sz w:val="20"/>
          <w:szCs w:val="20"/>
          <w:u w:val="single"/>
        </w:rPr>
        <w:t>principio de seguridad jurídica,</w:t>
      </w:r>
      <w:r w:rsidRPr="00BE758C">
        <w:rPr>
          <w:rFonts w:ascii="Arial" w:hAnsi="Arial" w:cs="Arial"/>
          <w:color w:val="000000"/>
          <w:sz w:val="20"/>
          <w:szCs w:val="20"/>
        </w:rPr>
        <w:t xml:space="preserve"> está sometida a los plazos de prescripción previstos en los ordenamientos nacionales para las acciones ejercitadas con base en el Derecho nacional que sean similares a la vista de </w:t>
      </w:r>
      <w:r w:rsidRPr="00BE758C">
        <w:rPr>
          <w:rFonts w:ascii="Arial" w:hAnsi="Arial" w:cs="Arial"/>
          <w:sz w:val="20"/>
          <w:szCs w:val="20"/>
        </w:rPr>
        <w:t>su objeto, causa y elementos esenciales</w:t>
      </w:r>
      <w:r w:rsidRPr="00BE758C">
        <w:rPr>
          <w:rFonts w:ascii="Arial" w:hAnsi="Arial" w:cs="Arial"/>
          <w:color w:val="000000"/>
          <w:sz w:val="20"/>
          <w:szCs w:val="20"/>
        </w:rPr>
        <w:t xml:space="preserve"> o que protejan derechos similares conferidos por el ordenamiento interno</w:t>
      </w:r>
      <w:r w:rsidRPr="00BE758C">
        <w:rPr>
          <w:rStyle w:val="Refdenotaalpie"/>
          <w:rFonts w:cs="Arial"/>
          <w:color w:val="000000"/>
          <w:sz w:val="20"/>
          <w:szCs w:val="20"/>
        </w:rPr>
        <w:footnoteReference w:id="13"/>
      </w:r>
      <w:r w:rsidRPr="00BE758C">
        <w:rPr>
          <w:rFonts w:ascii="Arial" w:hAnsi="Arial" w:cs="Arial"/>
          <w:color w:val="000000"/>
          <w:sz w:val="20"/>
          <w:szCs w:val="20"/>
        </w:rPr>
        <w:t>.</w:t>
      </w:r>
      <w:bookmarkEnd w:id="21"/>
    </w:p>
    <w:p w14:paraId="51AEF561" w14:textId="77777777" w:rsidR="00177619" w:rsidRPr="00BE758C" w:rsidRDefault="00177619" w:rsidP="00177619">
      <w:pPr>
        <w:spacing w:before="240" w:after="240" w:line="360" w:lineRule="auto"/>
        <w:jc w:val="both"/>
        <w:rPr>
          <w:rFonts w:ascii="Arial" w:hAnsi="Arial" w:cs="Arial"/>
          <w:color w:val="000000"/>
          <w:sz w:val="20"/>
          <w:szCs w:val="20"/>
        </w:rPr>
      </w:pPr>
      <w:bookmarkStart w:id="22" w:name="_Ref74758751"/>
      <w:r w:rsidRPr="00BE758C">
        <w:rPr>
          <w:rFonts w:ascii="Arial" w:hAnsi="Arial" w:cs="Arial"/>
          <w:color w:val="000000"/>
          <w:sz w:val="20"/>
          <w:szCs w:val="20"/>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bookmarkEnd w:id="22"/>
    </w:p>
    <w:p w14:paraId="400862A7"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 xml:space="preserve">En la STJUE de 9 de julio de 2020, asunto </w:t>
      </w:r>
      <w:r w:rsidRPr="00BE758C">
        <w:rPr>
          <w:rFonts w:ascii="Arial" w:hAnsi="Arial" w:cs="Arial"/>
          <w:i/>
          <w:iCs/>
          <w:color w:val="000000"/>
          <w:sz w:val="20"/>
          <w:szCs w:val="20"/>
        </w:rPr>
        <w:t>Ibercaja</w:t>
      </w:r>
      <w:r w:rsidRPr="00BE758C">
        <w:rPr>
          <w:rStyle w:val="Refdenotaalpie"/>
          <w:rFonts w:cs="Arial"/>
          <w:i/>
          <w:iCs/>
          <w:color w:val="000000"/>
          <w:sz w:val="20"/>
          <w:szCs w:val="20"/>
        </w:rPr>
        <w:footnoteReference w:id="14"/>
      </w:r>
      <w:r w:rsidRPr="00BE758C">
        <w:rPr>
          <w:rFonts w:ascii="Arial" w:hAnsi="Arial" w:cs="Arial"/>
          <w:i/>
          <w:iCs/>
          <w:color w:val="000000"/>
          <w:sz w:val="20"/>
          <w:szCs w:val="20"/>
        </w:rPr>
        <w:t xml:space="preserve"> </w:t>
      </w:r>
      <w:r w:rsidRPr="00BE758C">
        <w:rPr>
          <w:rFonts w:ascii="Arial" w:hAnsi="Arial" w:cs="Arial"/>
          <w:color w:val="000000"/>
          <w:sz w:val="20"/>
          <w:szCs w:val="20"/>
        </w:rPr>
        <w:t>el TJUE volvió a afirmar que la protección del consumidor no es absoluta y que, por tanto, la fijación de plazos razonables de carácter preclusivo, en interés de la seguridad jurídica era compatible con el Derecho de la Unión Europea:</w:t>
      </w:r>
    </w:p>
    <w:p w14:paraId="1CBD8766" w14:textId="77777777" w:rsidR="00177619" w:rsidRPr="00BE758C" w:rsidRDefault="00177619" w:rsidP="00177619">
      <w:pPr>
        <w:spacing w:before="240" w:after="240" w:line="360" w:lineRule="auto"/>
        <w:ind w:left="1134" w:firstLine="141"/>
        <w:jc w:val="both"/>
        <w:rPr>
          <w:rFonts w:ascii="Arial" w:hAnsi="Arial" w:cs="Arial"/>
          <w:iCs/>
          <w:color w:val="000000"/>
          <w:sz w:val="20"/>
          <w:szCs w:val="20"/>
        </w:rPr>
      </w:pPr>
      <w:bookmarkStart w:id="23" w:name="point84"/>
      <w:r w:rsidRPr="00BE758C">
        <w:rPr>
          <w:rFonts w:ascii="Arial" w:hAnsi="Arial" w:cs="Arial"/>
          <w:iCs/>
          <w:color w:val="000000"/>
          <w:sz w:val="20"/>
          <w:szCs w:val="20"/>
        </w:rPr>
        <w:t>“</w:t>
      </w:r>
      <w:bookmarkEnd w:id="23"/>
      <w:r w:rsidRPr="00BE758C">
        <w:rPr>
          <w:rFonts w:ascii="Arial" w:hAnsi="Arial" w:cs="Arial"/>
          <w:iCs/>
          <w:color w:val="000000"/>
          <w:sz w:val="20"/>
          <w:szCs w:val="20"/>
        </w:rPr>
        <w:t>(…)</w:t>
      </w:r>
      <w:r w:rsidRPr="00BE758C">
        <w:rPr>
          <w:rFonts w:ascii="Arial" w:hAnsi="Arial" w:cs="Arial"/>
          <w:i/>
          <w:color w:val="000000"/>
          <w:sz w:val="20"/>
          <w:szCs w:val="20"/>
        </w:rPr>
        <w:t xml:space="preserve"> el Derecho de la Unión no se opone a una normativa nacional que, </w:t>
      </w:r>
      <w:r w:rsidRPr="00BE758C">
        <w:rPr>
          <w:rFonts w:ascii="Arial" w:hAnsi="Arial" w:cs="Arial"/>
          <w:i/>
          <w:color w:val="000000"/>
          <w:sz w:val="20"/>
          <w:szCs w:val="20"/>
          <w:u w:val="single"/>
        </w:rPr>
        <w:t>a la vez que reconoce el carácter imprescriptible de la acción de nulidad de una cláusula abusiva</w:t>
      </w:r>
      <w:r w:rsidRPr="00BE758C">
        <w:rPr>
          <w:rFonts w:ascii="Arial" w:hAnsi="Arial" w:cs="Arial"/>
          <w:i/>
          <w:color w:val="000000"/>
          <w:sz w:val="20"/>
          <w:szCs w:val="20"/>
        </w:rPr>
        <w:t xml:space="preserve"> incluida en un contrato celebrado entre un profesional y un consumidor, </w:t>
      </w:r>
      <w:r w:rsidRPr="00BE758C">
        <w:rPr>
          <w:rFonts w:ascii="Arial" w:hAnsi="Arial" w:cs="Arial"/>
          <w:b/>
          <w:bCs/>
          <w:i/>
          <w:color w:val="000000"/>
          <w:sz w:val="20"/>
          <w:szCs w:val="20"/>
          <w:u w:val="single"/>
        </w:rPr>
        <w:t>sujeta a un plazo de prescripción la acción dirigida a hacer valer los efectos restitutorios de esta declaración, siempre que se respeten los principios de equivalencia y de efectividad</w:t>
      </w:r>
      <w:r w:rsidRPr="00BE758C">
        <w:rPr>
          <w:rFonts w:ascii="Arial" w:hAnsi="Arial" w:cs="Arial"/>
          <w:i/>
          <w:color w:val="000000"/>
          <w:sz w:val="20"/>
          <w:szCs w:val="20"/>
        </w:rPr>
        <w:t>.</w:t>
      </w:r>
      <w:r w:rsidRPr="00BE758C">
        <w:rPr>
          <w:rFonts w:ascii="Arial" w:hAnsi="Arial" w:cs="Arial"/>
          <w:iCs/>
          <w:color w:val="000000"/>
          <w:sz w:val="20"/>
          <w:szCs w:val="20"/>
        </w:rPr>
        <w:t>”</w:t>
      </w:r>
    </w:p>
    <w:p w14:paraId="2E0008A8"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 xml:space="preserve">En el asunto </w:t>
      </w:r>
      <w:proofErr w:type="spellStart"/>
      <w:r w:rsidRPr="00BE758C">
        <w:rPr>
          <w:rFonts w:ascii="Arial" w:hAnsi="Arial" w:cs="Arial"/>
          <w:i/>
          <w:color w:val="000000"/>
          <w:sz w:val="20"/>
          <w:szCs w:val="20"/>
        </w:rPr>
        <w:t>Caixabank</w:t>
      </w:r>
      <w:proofErr w:type="spellEnd"/>
      <w:r w:rsidRPr="00BE758C">
        <w:rPr>
          <w:rStyle w:val="Refdenotaalpie"/>
          <w:rFonts w:cs="Arial"/>
          <w:sz w:val="20"/>
          <w:szCs w:val="20"/>
        </w:rPr>
        <w:footnoteReference w:id="15"/>
      </w:r>
      <w:r w:rsidRPr="00BE758C">
        <w:rPr>
          <w:rFonts w:ascii="Arial" w:hAnsi="Arial" w:cs="Arial"/>
          <w:iCs/>
          <w:color w:val="000000"/>
          <w:sz w:val="20"/>
          <w:szCs w:val="20"/>
        </w:rPr>
        <w:t xml:space="preserve"> el TJUE reiteró lo anterior declarando que la Directiva 93/13 era compatible con que “</w:t>
      </w:r>
      <w:r w:rsidRPr="00BE758C">
        <w:rPr>
          <w:rFonts w:ascii="Arial" w:hAnsi="Arial" w:cs="Arial"/>
          <w:b/>
          <w:bCs/>
          <w:i/>
          <w:color w:val="000000"/>
          <w:sz w:val="20"/>
          <w:szCs w:val="20"/>
          <w:u w:val="single"/>
        </w:rPr>
        <w:t>el ejercicio de la acción dirigida a hacer valer los efectos restitutorios de la declaración de la nulidad de una cláusula contractual abusiva quede sometido a un plazo de prescripción</w:t>
      </w:r>
      <w:r w:rsidRPr="00BE758C">
        <w:rPr>
          <w:rFonts w:ascii="Arial" w:hAnsi="Arial" w:cs="Arial"/>
          <w:i/>
          <w:color w:val="000000"/>
          <w:sz w:val="20"/>
          <w:szCs w:val="20"/>
        </w:rPr>
        <w:t>, siempre que ni el momento en que ese plazo comienza a correr ni su duración hagan imposible en la práctica o excesivamente difícil el ejercicio del derecho del consumidor a solicitar tal restitución</w:t>
      </w:r>
      <w:r w:rsidRPr="00BE758C">
        <w:rPr>
          <w:rFonts w:ascii="Arial" w:hAnsi="Arial" w:cs="Arial"/>
          <w:color w:val="000000"/>
          <w:sz w:val="20"/>
          <w:szCs w:val="20"/>
        </w:rPr>
        <w:t>.”</w:t>
      </w:r>
    </w:p>
    <w:p w14:paraId="5258DC23" w14:textId="77777777" w:rsidR="00177619"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 xml:space="preserve">Finalmente, la reciente STJUE en el asunto </w:t>
      </w:r>
      <w:r w:rsidRPr="00BE758C">
        <w:rPr>
          <w:rFonts w:ascii="Arial" w:hAnsi="Arial" w:cs="Arial"/>
          <w:i/>
          <w:iCs/>
          <w:color w:val="000000"/>
          <w:sz w:val="20"/>
          <w:szCs w:val="20"/>
        </w:rPr>
        <w:t xml:space="preserve">BNP </w:t>
      </w:r>
      <w:proofErr w:type="spellStart"/>
      <w:r w:rsidRPr="00BE758C">
        <w:rPr>
          <w:rFonts w:ascii="Arial" w:hAnsi="Arial" w:cs="Arial"/>
          <w:i/>
          <w:iCs/>
          <w:color w:val="000000"/>
          <w:sz w:val="20"/>
          <w:szCs w:val="20"/>
        </w:rPr>
        <w:t>Paribas</w:t>
      </w:r>
      <w:proofErr w:type="spellEnd"/>
      <w:r w:rsidRPr="00BE758C">
        <w:rPr>
          <w:rFonts w:ascii="Arial" w:hAnsi="Arial" w:cs="Arial"/>
          <w:color w:val="000000"/>
          <w:sz w:val="20"/>
          <w:szCs w:val="20"/>
        </w:rPr>
        <w:t>, además de reiterar los pronunciamientos anteriores, recalcó que “</w:t>
      </w:r>
      <w:r w:rsidRPr="00BE758C">
        <w:rPr>
          <w:rFonts w:ascii="Arial" w:hAnsi="Arial" w:cs="Arial"/>
          <w:i/>
          <w:iCs/>
          <w:color w:val="000000"/>
          <w:sz w:val="20"/>
          <w:szCs w:val="20"/>
        </w:rPr>
        <w:t xml:space="preserve">procede considerar que la oposición de </w:t>
      </w:r>
      <w:r w:rsidRPr="00BE758C">
        <w:rPr>
          <w:rFonts w:ascii="Arial" w:hAnsi="Arial" w:cs="Arial"/>
          <w:i/>
          <w:iCs/>
          <w:color w:val="000000"/>
          <w:sz w:val="20"/>
          <w:szCs w:val="20"/>
        </w:rPr>
        <w:lastRenderedPageBreak/>
        <w:t>un plazo de prescripción a las acciones de carácter restitutorio, ejercitadas por unos consumidores con el fin de hacer valer derechos que les confiere la Directiva 93/13, no es, en sí misma, contraria al principio de efectividad siempre que su aplicación no haga imposible en la práctica o excesivamente difícil el ejercicio de los derechos conferidos en dicha Directiva</w:t>
      </w:r>
      <w:r w:rsidRPr="00BE758C">
        <w:rPr>
          <w:rFonts w:ascii="Arial" w:hAnsi="Arial" w:cs="Arial"/>
          <w:color w:val="000000"/>
          <w:sz w:val="20"/>
          <w:szCs w:val="20"/>
        </w:rPr>
        <w:t>”</w:t>
      </w:r>
      <w:r w:rsidRPr="00BE758C">
        <w:rPr>
          <w:rStyle w:val="Refdenotaalpie"/>
          <w:rFonts w:cs="Arial"/>
          <w:color w:val="000000"/>
          <w:sz w:val="20"/>
          <w:szCs w:val="20"/>
        </w:rPr>
        <w:footnoteReference w:id="16"/>
      </w:r>
      <w:r w:rsidRPr="00BE758C">
        <w:rPr>
          <w:rFonts w:ascii="Arial" w:hAnsi="Arial" w:cs="Arial"/>
          <w:color w:val="000000"/>
          <w:sz w:val="20"/>
          <w:szCs w:val="20"/>
        </w:rPr>
        <w:t>.</w:t>
      </w:r>
    </w:p>
    <w:p w14:paraId="36021304"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La sujeción de la acción restitutoria a un plazo de prescripción también se deprende del Derecho nacional. Como ya hemos indicado, el fundamento de la </w:t>
      </w:r>
      <w:proofErr w:type="spellStart"/>
      <w:r w:rsidRPr="00BE758C">
        <w:rPr>
          <w:rFonts w:ascii="Arial" w:hAnsi="Arial" w:cs="Arial"/>
          <w:color w:val="000000"/>
          <w:sz w:val="20"/>
          <w:szCs w:val="20"/>
        </w:rPr>
        <w:t>prescriptibilidad</w:t>
      </w:r>
      <w:proofErr w:type="spellEnd"/>
      <w:r w:rsidRPr="00BE758C">
        <w:rPr>
          <w:rFonts w:ascii="Arial" w:hAnsi="Arial" w:cs="Arial"/>
          <w:color w:val="000000"/>
          <w:sz w:val="20"/>
          <w:szCs w:val="20"/>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BE758C">
        <w:rPr>
          <w:rFonts w:ascii="Arial" w:hAnsi="Arial" w:cs="Arial"/>
          <w:i/>
          <w:iCs/>
          <w:color w:val="000000"/>
          <w:sz w:val="20"/>
          <w:szCs w:val="20"/>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BE758C">
        <w:rPr>
          <w:rFonts w:ascii="Arial" w:hAnsi="Arial" w:cs="Arial"/>
          <w:color w:val="000000"/>
          <w:sz w:val="20"/>
          <w:szCs w:val="20"/>
        </w:rPr>
        <w:t xml:space="preserve">”. Por ello, la prescripción debe ser objeto de interpretación y aplicación restrictiva ya que no se asienta en fundamentos de justicia intrínseca sino en la necesidad de limitar el ejercicio de los derechos en aras al principio de seguridad jurídica (SSTS de 27 de mayo de 1997 y 29 de octubre de 2003, entre otras muchas). </w:t>
      </w:r>
    </w:p>
    <w:p w14:paraId="08A0544D"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Dado el carácter esencial del instituto de la prescripción, el artículo 1930.2º CC establece que los derechos y las acciones “</w:t>
      </w:r>
      <w:r w:rsidRPr="00BE758C">
        <w:rPr>
          <w:rFonts w:ascii="Arial" w:hAnsi="Arial" w:cs="Arial"/>
          <w:i/>
          <w:color w:val="000000"/>
          <w:sz w:val="20"/>
          <w:szCs w:val="20"/>
        </w:rPr>
        <w:t>de cualquier clase que sean</w:t>
      </w:r>
      <w:r w:rsidRPr="00BE758C">
        <w:rPr>
          <w:rFonts w:ascii="Arial" w:hAnsi="Arial" w:cs="Arial"/>
          <w:color w:val="000000"/>
          <w:sz w:val="20"/>
          <w:szCs w:val="20"/>
        </w:rPr>
        <w:t>” se extinguen por la prescripción</w:t>
      </w:r>
      <w:r w:rsidRPr="00BE758C">
        <w:rPr>
          <w:rFonts w:ascii="Arial" w:hAnsi="Arial" w:cs="Arial"/>
          <w:i/>
          <w:color w:val="000000"/>
          <w:sz w:val="20"/>
          <w:szCs w:val="20"/>
        </w:rPr>
        <w:t>.</w:t>
      </w:r>
      <w:r w:rsidRPr="00BE758C">
        <w:rPr>
          <w:rFonts w:ascii="Arial" w:hAnsi="Arial" w:cs="Arial"/>
          <w:color w:val="000000"/>
          <w:sz w:val="20"/>
          <w:szCs w:val="20"/>
        </w:rPr>
        <w:t xml:space="preserve"> Es decir, la prescripción es la regla y alcanza a todas la acciones,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51.2º de la Ley de Marcas). </w:t>
      </w:r>
    </w:p>
    <w:p w14:paraId="09CECB45" w14:textId="77777777" w:rsidR="00177619"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Pues bien, la normativa de transposición de la Directiva 93/13 al ordenamiento español (LCGC y LGDCU) no prevé que la acción de restitución –que es independiente y autónoma de la acción declarativa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5D58B982"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La jurisprudencia ha venido confirmando la carácter prescriptible de la acción de restitución. </w:t>
      </w:r>
      <w:bookmarkStart w:id="24" w:name="_Hlk83301828"/>
      <w:r w:rsidRPr="00BE758C">
        <w:rPr>
          <w:rFonts w:ascii="Arial" w:hAnsi="Arial" w:cs="Arial"/>
          <w:color w:val="000000"/>
          <w:sz w:val="20"/>
          <w:szCs w:val="20"/>
        </w:rPr>
        <w:t>Como ya indicábamos más arriba, el Auto Cuestión Prejudicial GH pone fin a cualquier duda sobre esta cuestión al dejar claro en su párrafo 10 que “</w:t>
      </w:r>
      <w:r w:rsidRPr="00BE758C">
        <w:rPr>
          <w:rFonts w:ascii="Arial" w:hAnsi="Arial" w:cs="Arial"/>
          <w:i/>
          <w:iCs/>
          <w:color w:val="000000"/>
          <w:sz w:val="20"/>
          <w:szCs w:val="20"/>
        </w:rPr>
        <w:t xml:space="preserve">la aplicación de un plazo de prescripción a la acción de restitución de lo pagado por el consumidor en aplicación de una cláusula abusiva </w:t>
      </w:r>
      <w:r w:rsidRPr="00BE758C">
        <w:rPr>
          <w:rFonts w:ascii="Arial" w:hAnsi="Arial" w:cs="Arial"/>
          <w:i/>
          <w:iCs/>
          <w:color w:val="000000"/>
          <w:sz w:val="20"/>
          <w:szCs w:val="20"/>
        </w:rPr>
        <w:lastRenderedPageBreak/>
        <w:t>no solo es conforme con el principio de seguridad jurídica, que constituye uno de los principios rectores del Derecho de la UE, sino que además no vulnera el principio de equivalencia</w:t>
      </w:r>
      <w:r w:rsidRPr="00BE758C">
        <w:rPr>
          <w:rFonts w:ascii="Arial" w:hAnsi="Arial" w:cs="Arial"/>
          <w:color w:val="000000"/>
          <w:sz w:val="20"/>
          <w:szCs w:val="20"/>
        </w:rPr>
        <w:t>”.</w:t>
      </w:r>
      <w:bookmarkEnd w:id="24"/>
    </w:p>
    <w:p w14:paraId="2FD186D8"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En idéntico sentido se pronuncia la Sentencia de la Audiencia Provincial de Madrid nº 2473/2020, de 23 de noviembre dispuso que “</w:t>
      </w:r>
      <w:r w:rsidRPr="00BE758C">
        <w:rPr>
          <w:rFonts w:ascii="Arial" w:hAnsi="Arial" w:cs="Arial"/>
          <w:i/>
          <w:iCs/>
          <w:color w:val="000000"/>
          <w:sz w:val="20"/>
          <w:szCs w:val="20"/>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BE758C">
        <w:rPr>
          <w:rFonts w:ascii="Arial" w:hAnsi="Arial" w:cs="Arial"/>
          <w:color w:val="000000"/>
          <w:sz w:val="20"/>
          <w:szCs w:val="20"/>
        </w:rPr>
        <w:t>”. Con más claridad si cabe se pronuncia la Sentencia de la Audiencia Provincial de Valencia nº 1332/2020, de 24 de noviembre:</w:t>
      </w:r>
    </w:p>
    <w:p w14:paraId="142EE569" w14:textId="77777777" w:rsidR="00177619" w:rsidRPr="00BE758C" w:rsidRDefault="00177619" w:rsidP="00177619">
      <w:pPr>
        <w:pStyle w:val="Prrafodelista"/>
        <w:spacing w:before="240" w:after="240" w:line="360" w:lineRule="auto"/>
        <w:ind w:left="1134"/>
        <w:contextualSpacing w:val="0"/>
        <w:jc w:val="both"/>
        <w:rPr>
          <w:rFonts w:ascii="Arial" w:hAnsi="Arial" w:cs="Arial"/>
          <w:i/>
          <w:iCs/>
          <w:color w:val="000000"/>
          <w:sz w:val="20"/>
          <w:szCs w:val="20"/>
        </w:rPr>
      </w:pPr>
      <w:r w:rsidRPr="00BE758C">
        <w:rPr>
          <w:rFonts w:ascii="Arial" w:hAnsi="Arial" w:cs="Arial"/>
          <w:color w:val="000000"/>
          <w:sz w:val="20"/>
          <w:szCs w:val="20"/>
        </w:rPr>
        <w:t xml:space="preserve">“(…) </w:t>
      </w:r>
      <w:r w:rsidRPr="00BE758C">
        <w:rPr>
          <w:rFonts w:ascii="Arial" w:hAnsi="Arial" w:cs="Arial"/>
          <w:i/>
          <w:iCs/>
          <w:color w:val="000000"/>
          <w:sz w:val="20"/>
          <w:szCs w:val="20"/>
        </w:rPr>
        <w:t>cabe señalar que esta Sección 9ª fijó su criterio respecto a la prescripción, en casos análogos, singularmente desde la Sentencia nº 66/2018, de 1 de febrero. En síntesis, en dicha resolución se examinaron tres cuestiones:</w:t>
      </w:r>
    </w:p>
    <w:p w14:paraId="6623B7EC" w14:textId="77777777" w:rsidR="00177619" w:rsidRPr="00BE758C" w:rsidRDefault="00177619" w:rsidP="00177619">
      <w:pPr>
        <w:pStyle w:val="Prrafodelista"/>
        <w:spacing w:before="240" w:after="240" w:line="360" w:lineRule="auto"/>
        <w:ind w:left="1134"/>
        <w:contextualSpacing w:val="0"/>
        <w:jc w:val="both"/>
        <w:rPr>
          <w:rFonts w:ascii="Arial" w:hAnsi="Arial" w:cs="Arial"/>
          <w:i/>
          <w:iCs/>
          <w:color w:val="000000"/>
          <w:sz w:val="20"/>
          <w:szCs w:val="20"/>
        </w:rPr>
      </w:pPr>
      <w:r w:rsidRPr="00BE758C">
        <w:rPr>
          <w:rFonts w:ascii="Arial" w:hAnsi="Arial" w:cs="Arial"/>
          <w:i/>
          <w:iCs/>
          <w:color w:val="000000"/>
          <w:sz w:val="20"/>
          <w:szCs w:val="20"/>
        </w:rPr>
        <w:t xml:space="preserve">1. </w:t>
      </w:r>
      <w:r w:rsidRPr="00BE758C">
        <w:rPr>
          <w:rFonts w:ascii="Arial" w:hAnsi="Arial" w:cs="Arial"/>
          <w:b/>
          <w:bCs/>
          <w:i/>
          <w:iCs/>
          <w:color w:val="000000"/>
          <w:sz w:val="20"/>
          <w:szCs w:val="20"/>
          <w:u w:val="single"/>
        </w:rPr>
        <w:t>La distinción entre la acción declarativa de nulidad, imprescriptible, y la acción de restitución, sujeta a prescripción</w:t>
      </w:r>
      <w:r w:rsidRPr="00BE758C">
        <w:rPr>
          <w:rFonts w:ascii="Arial" w:hAnsi="Arial" w:cs="Arial"/>
          <w:i/>
          <w:iCs/>
          <w:color w:val="000000"/>
          <w:sz w:val="20"/>
          <w:szCs w:val="20"/>
        </w:rPr>
        <w:t>. Señala así la indicada Sentencia nº 66/2018: “[…] En cambio</w:t>
      </w:r>
      <w:r w:rsidRPr="00BE758C">
        <w:rPr>
          <w:rFonts w:ascii="Arial" w:hAnsi="Arial" w:cs="Arial"/>
          <w:b/>
          <w:bCs/>
          <w:i/>
          <w:iCs/>
          <w:color w:val="000000"/>
          <w:sz w:val="20"/>
          <w:szCs w:val="20"/>
          <w:u w:val="single"/>
        </w:rPr>
        <w:t>, la acción de restitución, que persigue un pronunciamiento de condena, sí está sujeta a plazo para su ejercicio, y la razón fundamental de ello es la necesidad de otorgar certidumbre a las relaciones jurídicas</w:t>
      </w:r>
      <w:r w:rsidRPr="00BE758C">
        <w:rPr>
          <w:rFonts w:ascii="Arial" w:hAnsi="Arial" w:cs="Arial"/>
          <w:i/>
          <w:iCs/>
          <w:color w:val="000000"/>
          <w:sz w:val="20"/>
          <w:szCs w:val="20"/>
        </w:rPr>
        <w:t xml:space="preserve">. </w:t>
      </w:r>
      <w:r w:rsidRPr="00BE758C">
        <w:rPr>
          <w:rFonts w:ascii="Arial" w:hAnsi="Arial" w:cs="Arial"/>
          <w:color w:val="000000"/>
          <w:sz w:val="20"/>
          <w:szCs w:val="20"/>
        </w:rPr>
        <w:t>(…)</w:t>
      </w:r>
    </w:p>
    <w:p w14:paraId="0353BD38" w14:textId="77777777" w:rsidR="00177619" w:rsidRPr="00BE758C" w:rsidRDefault="00177619" w:rsidP="00177619">
      <w:pPr>
        <w:pStyle w:val="Prrafodelista"/>
        <w:spacing w:before="240" w:after="240" w:line="360" w:lineRule="auto"/>
        <w:ind w:left="1134"/>
        <w:contextualSpacing w:val="0"/>
        <w:jc w:val="both"/>
        <w:rPr>
          <w:rFonts w:ascii="Arial" w:hAnsi="Arial" w:cs="Arial"/>
          <w:i/>
          <w:iCs/>
          <w:color w:val="000000"/>
          <w:sz w:val="20"/>
          <w:szCs w:val="20"/>
        </w:rPr>
      </w:pPr>
      <w:r w:rsidRPr="00BE758C">
        <w:rPr>
          <w:rFonts w:ascii="Arial" w:hAnsi="Arial" w:cs="Arial"/>
          <w:color w:val="000000"/>
          <w:sz w:val="20"/>
          <w:szCs w:val="20"/>
        </w:rPr>
        <w:t>(…)</w:t>
      </w:r>
      <w:r w:rsidRPr="00BE758C">
        <w:rPr>
          <w:rFonts w:ascii="Arial" w:hAnsi="Arial" w:cs="Arial"/>
          <w:i/>
          <w:iCs/>
          <w:color w:val="000000"/>
          <w:sz w:val="2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BE758C">
        <w:rPr>
          <w:rFonts w:ascii="Arial" w:hAnsi="Arial" w:cs="Arial"/>
          <w:i/>
          <w:iCs/>
          <w:color w:val="000000"/>
          <w:sz w:val="20"/>
          <w:szCs w:val="20"/>
        </w:rPr>
        <w:t>imprescriptiblidad</w:t>
      </w:r>
      <w:proofErr w:type="spellEnd"/>
      <w:r w:rsidRPr="00BE758C">
        <w:rPr>
          <w:rFonts w:ascii="Arial" w:hAnsi="Arial" w:cs="Arial"/>
          <w:i/>
          <w:iCs/>
          <w:color w:val="000000"/>
          <w:sz w:val="20"/>
          <w:szCs w:val="20"/>
        </w:rPr>
        <w:t xml:space="preserve"> de las acciones; y tres, entre las acciones que el Código declara imprescriptibles en el art. 1265 CC no se encuentra la acción de restitución”.</w:t>
      </w:r>
    </w:p>
    <w:p w14:paraId="3E8EB0B6" w14:textId="480FD0FC" w:rsidR="00177619" w:rsidRDefault="00177619" w:rsidP="00177619">
      <w:pPr>
        <w:spacing w:before="240" w:after="240" w:line="360" w:lineRule="auto"/>
        <w:jc w:val="both"/>
        <w:rPr>
          <w:rFonts w:ascii="Arial" w:hAnsi="Arial" w:cs="Arial"/>
          <w:color w:val="000000"/>
          <w:sz w:val="20"/>
          <w:szCs w:val="20"/>
        </w:rPr>
      </w:pPr>
      <w:r w:rsidRPr="00BE758C">
        <w:rPr>
          <w:rFonts w:ascii="Arial" w:hAnsi="Arial" w:cs="Arial"/>
          <w:sz w:val="20"/>
          <w:szCs w:val="20"/>
        </w:rPr>
        <w:t xml:space="preserve">Por tanto, </w:t>
      </w:r>
      <w:r w:rsidRPr="00BE758C">
        <w:rPr>
          <w:rFonts w:ascii="Arial" w:hAnsi="Arial" w:cs="Arial"/>
          <w:color w:val="000000"/>
          <w:sz w:val="20"/>
          <w:szCs w:val="20"/>
        </w:rPr>
        <w:t xml:space="preserve">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21D12021" w14:textId="77777777" w:rsidR="001309F4" w:rsidRPr="00BE758C" w:rsidRDefault="001309F4" w:rsidP="00177619">
      <w:pPr>
        <w:spacing w:before="240" w:after="240" w:line="360" w:lineRule="auto"/>
        <w:jc w:val="both"/>
        <w:rPr>
          <w:rFonts w:ascii="Arial" w:hAnsi="Arial" w:cs="Arial"/>
          <w:color w:val="000000"/>
          <w:sz w:val="20"/>
          <w:szCs w:val="20"/>
        </w:rPr>
      </w:pPr>
    </w:p>
    <w:p w14:paraId="031E05C6" w14:textId="77777777" w:rsidR="00177619" w:rsidRPr="00BE758C" w:rsidRDefault="00177619" w:rsidP="001618DF">
      <w:pPr>
        <w:pStyle w:val="Prrafodelista"/>
        <w:numPr>
          <w:ilvl w:val="0"/>
          <w:numId w:val="23"/>
        </w:numPr>
        <w:spacing w:before="240" w:after="240" w:line="360" w:lineRule="auto"/>
        <w:ind w:left="567" w:hanging="567"/>
        <w:contextualSpacing w:val="0"/>
        <w:jc w:val="both"/>
        <w:rPr>
          <w:rFonts w:ascii="Arial" w:hAnsi="Arial" w:cs="Arial"/>
          <w:b/>
          <w:color w:val="000000"/>
          <w:sz w:val="20"/>
          <w:szCs w:val="20"/>
        </w:rPr>
      </w:pPr>
      <w:r w:rsidRPr="00BE758C">
        <w:rPr>
          <w:rFonts w:ascii="Arial" w:hAnsi="Arial" w:cs="Arial"/>
          <w:b/>
          <w:color w:val="000000"/>
          <w:sz w:val="20"/>
          <w:szCs w:val="20"/>
        </w:rPr>
        <w:lastRenderedPageBreak/>
        <w:t>Aplicación del régimen de prescripción del artículo 1964 CC a la acción restitutoria. Respeto de los principios de equivalencia y efectividad</w:t>
      </w:r>
    </w:p>
    <w:p w14:paraId="31D02445"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La Directiva 93/13 no establece un plazo de prescripción para la acción restitutoria por lo que deben aplicarse los plazos existentes en Derecho nacional, siempre que dichos plazos respeten los principios de efectividad y de equivalencia</w:t>
      </w:r>
      <w:r w:rsidRPr="00BE758C">
        <w:rPr>
          <w:rStyle w:val="Refdenotaalpie"/>
          <w:rFonts w:eastAsia="Calibri" w:cs="Arial"/>
          <w:sz w:val="20"/>
          <w:szCs w:val="20"/>
        </w:rPr>
        <w:footnoteReference w:id="17"/>
      </w:r>
      <w:r w:rsidRPr="00BE758C">
        <w:rPr>
          <w:rFonts w:ascii="Arial" w:hAnsi="Arial" w:cs="Arial"/>
          <w:color w:val="000000"/>
          <w:sz w:val="20"/>
          <w:szCs w:val="20"/>
        </w:rPr>
        <w:t xml:space="preserve">. </w:t>
      </w:r>
    </w:p>
    <w:p w14:paraId="190C2C69"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A continuación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03106B40" w14:textId="77777777" w:rsidR="00177619" w:rsidRPr="00BE758C" w:rsidRDefault="00177619" w:rsidP="001618DF">
      <w:pPr>
        <w:pStyle w:val="Prrafodelista"/>
        <w:numPr>
          <w:ilvl w:val="0"/>
          <w:numId w:val="25"/>
        </w:numPr>
        <w:spacing w:before="240" w:after="240" w:line="360" w:lineRule="auto"/>
        <w:ind w:left="1134" w:hanging="567"/>
        <w:contextualSpacing w:val="0"/>
        <w:jc w:val="both"/>
        <w:rPr>
          <w:rFonts w:ascii="Arial" w:hAnsi="Arial" w:cs="Arial"/>
          <w:b/>
          <w:color w:val="000000"/>
          <w:sz w:val="20"/>
          <w:szCs w:val="20"/>
        </w:rPr>
      </w:pPr>
      <w:r w:rsidRPr="00BE758C">
        <w:rPr>
          <w:rFonts w:ascii="Arial" w:hAnsi="Arial" w:cs="Arial"/>
          <w:b/>
          <w:color w:val="000000"/>
          <w:sz w:val="20"/>
          <w:szCs w:val="20"/>
        </w:rPr>
        <w:t>Derecho nacional aplicable: 1964 CC</w:t>
      </w:r>
    </w:p>
    <w:p w14:paraId="27EF2515" w14:textId="77777777" w:rsidR="00177619" w:rsidRPr="00BE758C" w:rsidRDefault="00177619" w:rsidP="00177619">
      <w:pPr>
        <w:spacing w:before="240" w:after="240" w:line="360" w:lineRule="auto"/>
        <w:jc w:val="both"/>
        <w:rPr>
          <w:rFonts w:ascii="Arial" w:hAnsi="Arial" w:cs="Arial"/>
          <w:i/>
          <w:color w:val="000000"/>
          <w:sz w:val="20"/>
          <w:szCs w:val="20"/>
        </w:rPr>
      </w:pPr>
      <w:r w:rsidRPr="00BE758C">
        <w:rPr>
          <w:rFonts w:ascii="Arial" w:hAnsi="Arial" w:cs="Arial"/>
          <w:color w:val="000000"/>
          <w:sz w:val="20"/>
          <w:szCs w:val="20"/>
        </w:rPr>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el artículo </w:t>
      </w:r>
      <w:r w:rsidRPr="00BE758C">
        <w:rPr>
          <w:rFonts w:ascii="Arial" w:hAnsi="Arial" w:cs="Arial"/>
          <w:sz w:val="20"/>
          <w:szCs w:val="20"/>
        </w:rPr>
        <w:t>1964.2 CC:</w:t>
      </w:r>
    </w:p>
    <w:p w14:paraId="1C6E5E44" w14:textId="77777777" w:rsidR="00177619" w:rsidRPr="00BE758C" w:rsidRDefault="00177619" w:rsidP="00177619">
      <w:pPr>
        <w:spacing w:before="240" w:after="240" w:line="360" w:lineRule="auto"/>
        <w:ind w:firstLine="567"/>
        <w:jc w:val="both"/>
        <w:rPr>
          <w:rFonts w:ascii="Arial" w:hAnsi="Arial" w:cs="Arial"/>
          <w:iCs/>
          <w:color w:val="000000"/>
          <w:sz w:val="20"/>
          <w:szCs w:val="20"/>
        </w:rPr>
      </w:pPr>
      <w:r w:rsidRPr="00BE758C">
        <w:rPr>
          <w:rFonts w:ascii="Arial" w:hAnsi="Arial" w:cs="Arial"/>
          <w:iCs/>
          <w:color w:val="000000"/>
          <w:sz w:val="20"/>
          <w:szCs w:val="20"/>
        </w:rPr>
        <w:t>“</w:t>
      </w:r>
      <w:r w:rsidRPr="00BE758C">
        <w:rPr>
          <w:rFonts w:ascii="Arial" w:hAnsi="Arial" w:cs="Arial"/>
          <w:i/>
          <w:color w:val="000000"/>
          <w:sz w:val="20"/>
          <w:szCs w:val="20"/>
        </w:rPr>
        <w:t>2. Las acciones personales que no tengan plazo especial prescriben a los cinco años desde que pueda exigirse el cumplimiento de la obligación. En las obligaciones continuadas de hacer o no hacer, el plazo comenzará cada vez que se incumplan.</w:t>
      </w:r>
      <w:r w:rsidRPr="00BE758C">
        <w:rPr>
          <w:rFonts w:ascii="Arial" w:hAnsi="Arial" w:cs="Arial"/>
          <w:iCs/>
          <w:color w:val="000000"/>
          <w:sz w:val="20"/>
          <w:szCs w:val="20"/>
        </w:rPr>
        <w:t>”</w:t>
      </w:r>
    </w:p>
    <w:p w14:paraId="512313B2" w14:textId="77777777" w:rsidR="00177619" w:rsidRPr="00BE758C" w:rsidRDefault="00177619" w:rsidP="00177619">
      <w:pPr>
        <w:spacing w:before="240" w:after="240" w:line="360" w:lineRule="auto"/>
        <w:jc w:val="both"/>
        <w:rPr>
          <w:rFonts w:ascii="Arial" w:hAnsi="Arial" w:cs="Arial"/>
          <w:iCs/>
          <w:color w:val="000000"/>
          <w:sz w:val="20"/>
          <w:szCs w:val="20"/>
        </w:rPr>
      </w:pPr>
      <w:r w:rsidRPr="00BE758C">
        <w:rPr>
          <w:rFonts w:ascii="Arial" w:hAnsi="Arial" w:cs="Arial"/>
          <w:iCs/>
          <w:color w:val="000000"/>
          <w:sz w:val="20"/>
          <w:szCs w:val="20"/>
        </w:rPr>
        <w:t xml:space="preserve">La jurisprudencia ha venido considerando que la acción restitutoria fundada en la normativa de consumidores está sujeta al plazo de prescripción del artículo 1964.2 CC. </w:t>
      </w:r>
      <w:bookmarkStart w:id="25" w:name="_Hlk83301915"/>
      <w:r w:rsidRPr="00BE758C">
        <w:rPr>
          <w:rFonts w:ascii="Arial" w:hAnsi="Arial" w:cs="Arial"/>
          <w:iCs/>
          <w:color w:val="000000"/>
          <w:sz w:val="20"/>
          <w:szCs w:val="20"/>
        </w:rPr>
        <w:t xml:space="preserve">Así lo </w:t>
      </w:r>
      <w:r w:rsidRPr="00BE758C">
        <w:rPr>
          <w:rFonts w:ascii="Arial" w:hAnsi="Arial" w:cs="Arial"/>
          <w:color w:val="000000"/>
          <w:sz w:val="20"/>
          <w:szCs w:val="20"/>
        </w:rPr>
        <w:t>establece de forma definitiva</w:t>
      </w:r>
      <w:r w:rsidRPr="00BE758C">
        <w:rPr>
          <w:rFonts w:ascii="Arial" w:hAnsi="Arial" w:cs="Arial"/>
          <w:sz w:val="20"/>
          <w:szCs w:val="20"/>
        </w:rPr>
        <w:t xml:space="preserve"> el Tribunal Supremo en el Auto Cuestión Prejudicial GH, confirmando lo que ya venían estableciendo las Audiencias Provinciales y el TJUE, esto es, que dicho plazo no es contrario a la Directiva 93/13. Citamos</w:t>
      </w:r>
      <w:r w:rsidRPr="00BE758C">
        <w:rPr>
          <w:rFonts w:ascii="Arial" w:hAnsi="Arial" w:cs="Arial"/>
          <w:iCs/>
          <w:color w:val="000000"/>
          <w:sz w:val="20"/>
          <w:szCs w:val="20"/>
        </w:rPr>
        <w:t xml:space="preserve">, por ejemplo, la ya mencionada </w:t>
      </w:r>
      <w:r w:rsidRPr="00BE758C">
        <w:rPr>
          <w:rFonts w:ascii="Arial" w:hAnsi="Arial" w:cs="Arial"/>
          <w:color w:val="000000"/>
          <w:sz w:val="20"/>
          <w:szCs w:val="20"/>
        </w:rPr>
        <w:t>Sentencia de la Audiencia Provincial de Valencia nº 1332/2020, de 24 de noviembre</w:t>
      </w:r>
      <w:bookmarkEnd w:id="25"/>
      <w:r w:rsidRPr="00BE758C">
        <w:rPr>
          <w:rFonts w:ascii="Arial" w:hAnsi="Arial" w:cs="Arial"/>
          <w:color w:val="000000"/>
          <w:sz w:val="20"/>
          <w:szCs w:val="20"/>
        </w:rPr>
        <w:t>:</w:t>
      </w:r>
    </w:p>
    <w:p w14:paraId="49B767F5" w14:textId="77777777" w:rsidR="00177619" w:rsidRPr="00BE758C" w:rsidRDefault="00177619" w:rsidP="00177619">
      <w:pPr>
        <w:spacing w:before="240" w:after="240" w:line="360" w:lineRule="auto"/>
        <w:ind w:firstLine="708"/>
        <w:jc w:val="both"/>
        <w:rPr>
          <w:rFonts w:ascii="Arial" w:hAnsi="Arial" w:cs="Arial"/>
          <w:i/>
          <w:iCs/>
          <w:color w:val="000000"/>
          <w:sz w:val="20"/>
          <w:szCs w:val="20"/>
        </w:rPr>
      </w:pPr>
      <w:r w:rsidRPr="00BE758C">
        <w:rPr>
          <w:rFonts w:ascii="Arial" w:hAnsi="Arial" w:cs="Arial"/>
          <w:color w:val="000000"/>
          <w:sz w:val="20"/>
          <w:szCs w:val="20"/>
        </w:rPr>
        <w:t>“</w:t>
      </w:r>
      <w:r w:rsidRPr="00BE758C">
        <w:rPr>
          <w:rFonts w:ascii="Arial" w:hAnsi="Arial" w:cs="Arial"/>
          <w:i/>
          <w:iCs/>
          <w:color w:val="000000"/>
          <w:sz w:val="20"/>
          <w:szCs w:val="20"/>
        </w:rPr>
        <w:t xml:space="preserve">2. El plazo de prescripción. </w:t>
      </w:r>
      <w:r w:rsidRPr="00BE758C">
        <w:rPr>
          <w:rFonts w:ascii="Arial" w:hAnsi="Arial" w:cs="Arial"/>
          <w:color w:val="000000"/>
          <w:sz w:val="20"/>
          <w:szCs w:val="20"/>
        </w:rPr>
        <w:t>(…)</w:t>
      </w:r>
      <w:r w:rsidRPr="00BE758C">
        <w:rPr>
          <w:rFonts w:ascii="Arial" w:hAnsi="Arial" w:cs="Arial"/>
          <w:i/>
          <w:iCs/>
          <w:color w:val="000000"/>
          <w:sz w:val="20"/>
          <w:szCs w:val="20"/>
        </w:rPr>
        <w:t xml:space="preserve"> </w:t>
      </w:r>
      <w:r w:rsidRPr="00BE758C">
        <w:rPr>
          <w:rFonts w:ascii="Arial" w:hAnsi="Arial" w:cs="Arial"/>
          <w:i/>
          <w:iCs/>
          <w:color w:val="000000"/>
          <w:sz w:val="20"/>
          <w:szCs w:val="20"/>
          <w:u w:val="single"/>
        </w:rPr>
        <w:t>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CC )</w:t>
      </w:r>
      <w:r w:rsidRPr="00BE758C">
        <w:rPr>
          <w:rFonts w:ascii="Arial" w:hAnsi="Arial" w:cs="Arial"/>
          <w:i/>
          <w:iCs/>
          <w:color w:val="000000"/>
          <w:sz w:val="20"/>
          <w:szCs w:val="20"/>
        </w:rPr>
        <w:t xml:space="preserve"> </w:t>
      </w:r>
    </w:p>
    <w:p w14:paraId="1C1C091C" w14:textId="77777777" w:rsidR="00177619" w:rsidRPr="00BE758C" w:rsidRDefault="00177619" w:rsidP="00177619">
      <w:pPr>
        <w:pStyle w:val="Prrafodelista"/>
        <w:spacing w:before="240" w:after="240" w:line="360" w:lineRule="auto"/>
        <w:ind w:left="1134"/>
        <w:jc w:val="both"/>
        <w:rPr>
          <w:rFonts w:ascii="Arial" w:hAnsi="Arial" w:cs="Arial"/>
          <w:color w:val="000000"/>
          <w:sz w:val="20"/>
          <w:szCs w:val="20"/>
        </w:rPr>
      </w:pPr>
      <w:r w:rsidRPr="00BE758C">
        <w:rPr>
          <w:rFonts w:ascii="Arial" w:hAnsi="Arial" w:cs="Arial"/>
          <w:color w:val="000000"/>
          <w:sz w:val="20"/>
          <w:szCs w:val="20"/>
        </w:rPr>
        <w:t xml:space="preserve">(…) </w:t>
      </w:r>
    </w:p>
    <w:p w14:paraId="7A96283F" w14:textId="77777777" w:rsidR="00177619" w:rsidRPr="00BE758C" w:rsidRDefault="00177619" w:rsidP="00177619">
      <w:pPr>
        <w:pStyle w:val="Prrafodelista"/>
        <w:spacing w:before="240" w:after="240" w:line="360" w:lineRule="auto"/>
        <w:ind w:left="1134"/>
        <w:jc w:val="both"/>
        <w:rPr>
          <w:rFonts w:ascii="Arial" w:hAnsi="Arial" w:cs="Arial"/>
          <w:color w:val="000000"/>
          <w:sz w:val="20"/>
          <w:szCs w:val="20"/>
        </w:rPr>
      </w:pPr>
    </w:p>
    <w:p w14:paraId="6D92F81D" w14:textId="77777777" w:rsidR="00177619" w:rsidRPr="00BE758C" w:rsidRDefault="00177619" w:rsidP="00177619">
      <w:pPr>
        <w:spacing w:before="240" w:after="240" w:line="360" w:lineRule="auto"/>
        <w:jc w:val="both"/>
        <w:rPr>
          <w:rFonts w:ascii="Arial" w:hAnsi="Arial" w:cs="Arial"/>
          <w:b/>
          <w:bCs/>
          <w:color w:val="000000"/>
          <w:sz w:val="20"/>
          <w:szCs w:val="20"/>
        </w:rPr>
      </w:pPr>
      <w:r w:rsidRPr="00BE758C">
        <w:rPr>
          <w:rFonts w:ascii="Arial" w:hAnsi="Arial" w:cs="Arial"/>
          <w:color w:val="000000"/>
          <w:sz w:val="20"/>
          <w:szCs w:val="20"/>
        </w:rPr>
        <w:lastRenderedPageBreak/>
        <w:t xml:space="preserve">(…) </w:t>
      </w:r>
      <w:r w:rsidRPr="00BE758C">
        <w:rPr>
          <w:rFonts w:ascii="Arial" w:hAnsi="Arial" w:cs="Arial"/>
          <w:i/>
          <w:iCs/>
          <w:color w:val="000000"/>
          <w:sz w:val="20"/>
          <w:szCs w:val="20"/>
        </w:rPr>
        <w:t xml:space="preserve">A la luz de lo expuesto, y a efectos del presente caso, </w:t>
      </w:r>
      <w:r w:rsidRPr="00BE758C">
        <w:rPr>
          <w:rFonts w:ascii="Arial" w:hAnsi="Arial" w:cs="Arial"/>
          <w:b/>
          <w:i/>
          <w:iCs/>
          <w:color w:val="000000"/>
          <w:sz w:val="20"/>
          <w:szCs w:val="20"/>
        </w:rPr>
        <w:t xml:space="preserve">el plazo de quince años no es menos favorable que el aplicable a acciones similares de derecho interno (artículo 1964 del Código Civil). </w:t>
      </w:r>
      <w:r w:rsidRPr="00BE758C">
        <w:rPr>
          <w:rFonts w:ascii="Arial" w:hAnsi="Arial" w:cs="Arial"/>
          <w:b/>
          <w:i/>
          <w:iCs/>
          <w:color w:val="000000"/>
          <w:sz w:val="20"/>
          <w:szCs w:val="20"/>
          <w:u w:val="single"/>
        </w:rPr>
        <w:t>Atendiendo a su propia extensión, a su cómputo no desde la celebración del contrato sino desde que se efectúan los concretos pagos</w:t>
      </w:r>
      <w:r w:rsidRPr="00BE758C">
        <w:rPr>
          <w:rFonts w:ascii="Arial" w:hAnsi="Arial" w:cs="Arial"/>
          <w:b/>
          <w:i/>
          <w:iCs/>
          <w:color w:val="000000"/>
          <w:sz w:val="20"/>
          <w:szCs w:val="20"/>
        </w:rPr>
        <w:t xml:space="preserve">, y a la propia posibilidad de interrupción mediante reclamación extrajudicial (artículo 1973 del Código Civil), </w:t>
      </w:r>
      <w:r w:rsidRPr="00BE758C">
        <w:rPr>
          <w:rFonts w:ascii="Arial" w:hAnsi="Arial" w:cs="Arial"/>
          <w:b/>
          <w:i/>
          <w:iCs/>
          <w:color w:val="000000"/>
          <w:sz w:val="20"/>
          <w:szCs w:val="20"/>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BE758C">
        <w:rPr>
          <w:rFonts w:ascii="Arial" w:hAnsi="Arial" w:cs="Arial"/>
          <w:i/>
          <w:iCs/>
          <w:color w:val="000000"/>
          <w:sz w:val="20"/>
          <w:szCs w:val="20"/>
        </w:rPr>
        <w:t>.</w:t>
      </w:r>
      <w:r w:rsidRPr="00BE758C">
        <w:rPr>
          <w:rFonts w:ascii="Arial" w:hAnsi="Arial" w:cs="Arial"/>
          <w:color w:val="000000"/>
          <w:sz w:val="20"/>
          <w:szCs w:val="20"/>
        </w:rPr>
        <w:t>”</w:t>
      </w:r>
    </w:p>
    <w:p w14:paraId="3A455ADC" w14:textId="77777777" w:rsidR="00177619" w:rsidRPr="00BE758C" w:rsidRDefault="00177619" w:rsidP="00177619">
      <w:pPr>
        <w:spacing w:before="240" w:after="240" w:line="360" w:lineRule="auto"/>
        <w:jc w:val="both"/>
        <w:rPr>
          <w:rFonts w:ascii="Arial" w:hAnsi="Arial" w:cs="Arial"/>
          <w:bCs/>
          <w:color w:val="000000"/>
          <w:sz w:val="20"/>
          <w:szCs w:val="20"/>
        </w:rPr>
      </w:pPr>
      <w:r w:rsidRPr="00BE758C">
        <w:rPr>
          <w:rFonts w:ascii="Arial" w:hAnsi="Arial" w:cs="Arial"/>
          <w:iCs/>
          <w:color w:val="000000"/>
          <w:sz w:val="20"/>
          <w:szCs w:val="20"/>
        </w:rPr>
        <w:t>En idéntico sentido se pronuncia la Sentencia de la Audiencia Provincial de A Coruña nº 447/2020, de 19 de noviembre, al indicar que “</w:t>
      </w:r>
      <w:r w:rsidRPr="00BE758C">
        <w:rPr>
          <w:rFonts w:ascii="Arial" w:hAnsi="Arial" w:cs="Arial"/>
          <w:i/>
          <w:iCs/>
          <w:color w:val="000000"/>
          <w:sz w:val="20"/>
          <w:szCs w:val="20"/>
        </w:rPr>
        <w:t>mantenemos que la acción de remoción o reembolso del consumidor está sometida al plazo prescriptivo del artículo 1964 del Código civil, previsto para las acciones personales que no tengan señalado término especial de prescripción</w:t>
      </w:r>
      <w:r w:rsidRPr="00BE758C">
        <w:rPr>
          <w:rFonts w:ascii="Arial" w:hAnsi="Arial" w:cs="Arial"/>
          <w:color w:val="000000"/>
          <w:sz w:val="20"/>
          <w:szCs w:val="20"/>
        </w:rPr>
        <w:t>”; la Sentencia de la Audiencia Provincial de Murcia nº 721/2020, de 3 de septiembre; la Sentencia de la Audiencia Provincial de Palencia nº 207/2020, de 2 de julio, que indica que “</w:t>
      </w:r>
      <w:r w:rsidRPr="00BE758C">
        <w:rPr>
          <w:rFonts w:ascii="Arial" w:hAnsi="Arial" w:cs="Arial"/>
          <w:bCs/>
          <w:i/>
          <w:color w:val="000000"/>
          <w:sz w:val="20"/>
          <w:szCs w:val="20"/>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BE758C">
        <w:rPr>
          <w:rFonts w:ascii="Arial" w:hAnsi="Arial" w:cs="Arial"/>
          <w:bCs/>
          <w:iCs/>
          <w:color w:val="000000"/>
          <w:sz w:val="20"/>
          <w:szCs w:val="20"/>
        </w:rPr>
        <w:t>”; o la Sentencia de 26 de junio de 2020 de la Audiencia Provincial de Palma de Mallorca (Secc. 5ª).</w:t>
      </w:r>
    </w:p>
    <w:p w14:paraId="11BB7A2C" w14:textId="77777777" w:rsidR="00177619" w:rsidRPr="00BE758C" w:rsidRDefault="00177619" w:rsidP="00177619">
      <w:pPr>
        <w:spacing w:before="240" w:after="240" w:line="360" w:lineRule="auto"/>
        <w:jc w:val="both"/>
        <w:rPr>
          <w:rFonts w:ascii="Arial" w:hAnsi="Arial" w:cs="Arial"/>
          <w:iCs/>
          <w:color w:val="000000"/>
          <w:sz w:val="20"/>
          <w:szCs w:val="20"/>
        </w:rPr>
      </w:pPr>
      <w:r w:rsidRPr="00BE758C">
        <w:rPr>
          <w:rFonts w:ascii="Arial" w:hAnsi="Arial" w:cs="Arial"/>
          <w:iCs/>
          <w:color w:val="000000"/>
          <w:sz w:val="20"/>
          <w:szCs w:val="20"/>
        </w:rPr>
        <w:t xml:space="preserve">Por su parte, el TJUE en la Sentencia en el asunto </w:t>
      </w:r>
      <w:proofErr w:type="spellStart"/>
      <w:r w:rsidRPr="00BE758C">
        <w:rPr>
          <w:rFonts w:ascii="Arial" w:hAnsi="Arial" w:cs="Arial"/>
          <w:i/>
          <w:color w:val="000000"/>
          <w:sz w:val="20"/>
          <w:szCs w:val="20"/>
        </w:rPr>
        <w:t>Caixabank</w:t>
      </w:r>
      <w:proofErr w:type="spellEnd"/>
      <w:r w:rsidRPr="00BE758C">
        <w:rPr>
          <w:rFonts w:ascii="Arial" w:hAnsi="Arial" w:cs="Arial"/>
          <w:i/>
          <w:color w:val="000000"/>
          <w:sz w:val="20"/>
          <w:szCs w:val="20"/>
        </w:rPr>
        <w:t xml:space="preserve"> </w:t>
      </w:r>
      <w:r w:rsidRPr="00BE758C">
        <w:rPr>
          <w:rFonts w:ascii="Arial" w:hAnsi="Arial" w:cs="Arial"/>
          <w:iCs/>
          <w:color w:val="000000"/>
          <w:sz w:val="20"/>
          <w:szCs w:val="20"/>
        </w:rPr>
        <w:t xml:space="preserve">ha declarado </w:t>
      </w:r>
      <w:r w:rsidRPr="00BE758C">
        <w:rPr>
          <w:rFonts w:ascii="Arial" w:hAnsi="Arial" w:cs="Arial"/>
          <w:color w:val="000000"/>
          <w:sz w:val="20"/>
          <w:szCs w:val="20"/>
        </w:rPr>
        <w:t xml:space="preserve">adecuada la aplicación del plazo previsto en el artículo 1964 CC a los efectos restitutorios derivados de una declaración de nulidad por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siempre y cuando el cómputo de ese plazo cumpla determinadas características que, como veremos a continuación, concurren en este caso</w:t>
      </w:r>
      <w:r w:rsidRPr="00BE758C">
        <w:rPr>
          <w:rStyle w:val="Refdenotaalpie"/>
          <w:rFonts w:cs="Arial"/>
          <w:sz w:val="20"/>
          <w:szCs w:val="20"/>
        </w:rPr>
        <w:footnoteReference w:id="18"/>
      </w:r>
      <w:r w:rsidRPr="00BE758C">
        <w:rPr>
          <w:rFonts w:ascii="Arial" w:hAnsi="Arial" w:cs="Arial"/>
          <w:sz w:val="20"/>
          <w:szCs w:val="20"/>
        </w:rPr>
        <w:t>.</w:t>
      </w:r>
    </w:p>
    <w:p w14:paraId="604AB210" w14:textId="77777777" w:rsidR="00177619" w:rsidRPr="00BE758C" w:rsidRDefault="00177619" w:rsidP="00177619">
      <w:pPr>
        <w:spacing w:before="240" w:after="240" w:line="360" w:lineRule="auto"/>
        <w:jc w:val="both"/>
        <w:rPr>
          <w:rFonts w:ascii="Arial" w:hAnsi="Arial" w:cs="Arial"/>
          <w:i/>
          <w:color w:val="000000"/>
          <w:sz w:val="20"/>
          <w:szCs w:val="20"/>
        </w:rPr>
      </w:pPr>
      <w:r w:rsidRPr="00BE758C">
        <w:rPr>
          <w:rFonts w:ascii="Arial" w:hAnsi="Arial" w:cs="Arial"/>
          <w:sz w:val="20"/>
          <w:szCs w:val="20"/>
        </w:rPr>
        <w:t xml:space="preserve">De hecho, </w:t>
      </w:r>
      <w:r w:rsidRPr="00BE758C">
        <w:rPr>
          <w:rFonts w:ascii="Arial" w:hAnsi="Arial" w:cs="Arial"/>
          <w:color w:val="000000"/>
          <w:sz w:val="20"/>
          <w:szCs w:val="20"/>
        </w:rPr>
        <w:t>el Ministerio de Consumo en su “</w:t>
      </w:r>
      <w:r w:rsidRPr="00BE758C">
        <w:rPr>
          <w:rFonts w:ascii="Arial" w:hAnsi="Arial" w:cs="Arial"/>
          <w:i/>
          <w:iCs/>
          <w:color w:val="000000"/>
          <w:sz w:val="20"/>
          <w:szCs w:val="20"/>
        </w:rPr>
        <w:t>Nota informativa sobre los derechos que asisten a las personas consumidoras en relación con gastos derivados de las hipotecas y otras cuestiones de ámbito financiero</w:t>
      </w:r>
      <w:r w:rsidRPr="00BE758C">
        <w:rPr>
          <w:rFonts w:ascii="Arial" w:hAnsi="Arial" w:cs="Arial"/>
          <w:color w:val="000000"/>
          <w:sz w:val="20"/>
          <w:szCs w:val="20"/>
        </w:rPr>
        <w:t>”, cuya primera versión se emitió en enero de 2021 y la segunda el 4 de marzo de 2021, confirmó que el “</w:t>
      </w:r>
      <w:r w:rsidRPr="00BE758C">
        <w:rPr>
          <w:rFonts w:ascii="Arial" w:hAnsi="Arial" w:cs="Arial"/>
          <w:i/>
          <w:iCs/>
          <w:color w:val="000000"/>
          <w:sz w:val="20"/>
          <w:szCs w:val="20"/>
        </w:rPr>
        <w:t>plazo para solicitar la devolución de gastos</w:t>
      </w:r>
      <w:r w:rsidRPr="00BE758C">
        <w:rPr>
          <w:rFonts w:ascii="Arial" w:hAnsi="Arial" w:cs="Arial"/>
          <w:i/>
          <w:color w:val="000000"/>
          <w:sz w:val="20"/>
          <w:szCs w:val="20"/>
        </w:rPr>
        <w:t xml:space="preserve"> derivados de una cláusula declarada abusiva es de cinco años</w:t>
      </w:r>
      <w:r w:rsidRPr="00BE758C">
        <w:rPr>
          <w:rFonts w:ascii="Arial" w:hAnsi="Arial" w:cs="Arial"/>
          <w:iCs/>
          <w:color w:val="000000"/>
          <w:sz w:val="20"/>
          <w:szCs w:val="20"/>
        </w:rPr>
        <w:t>”.</w:t>
      </w:r>
    </w:p>
    <w:p w14:paraId="2C9E05FA"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de las cláusulas del préstamo </w:t>
      </w:r>
      <w:proofErr w:type="spellStart"/>
      <w:r w:rsidRPr="00BE758C">
        <w:rPr>
          <w:rFonts w:ascii="Arial" w:hAnsi="Arial" w:cs="Arial"/>
          <w:color w:val="000000"/>
          <w:sz w:val="20"/>
          <w:szCs w:val="20"/>
        </w:rPr>
        <w:t>multidivisa</w:t>
      </w:r>
      <w:proofErr w:type="spellEnd"/>
      <w:r w:rsidRPr="00BE758C">
        <w:rPr>
          <w:rFonts w:ascii="Arial" w:hAnsi="Arial" w:cs="Arial"/>
          <w:color w:val="000000"/>
          <w:sz w:val="20"/>
          <w:szCs w:val="20"/>
        </w:rPr>
        <w:t xml:space="preserve"> impugnadas de contrario.</w:t>
      </w:r>
    </w:p>
    <w:p w14:paraId="45580C74" w14:textId="77777777" w:rsidR="00177619" w:rsidRPr="00BE758C" w:rsidRDefault="00177619" w:rsidP="001618DF">
      <w:pPr>
        <w:pStyle w:val="Prrafodelista"/>
        <w:numPr>
          <w:ilvl w:val="0"/>
          <w:numId w:val="25"/>
        </w:numPr>
        <w:spacing w:before="240" w:after="240" w:line="360" w:lineRule="auto"/>
        <w:ind w:left="1134" w:hanging="567"/>
        <w:contextualSpacing w:val="0"/>
        <w:jc w:val="both"/>
        <w:rPr>
          <w:rFonts w:ascii="Arial" w:hAnsi="Arial" w:cs="Arial"/>
          <w:b/>
          <w:color w:val="000000"/>
          <w:sz w:val="20"/>
          <w:szCs w:val="20"/>
        </w:rPr>
      </w:pPr>
      <w:r w:rsidRPr="00BE758C">
        <w:rPr>
          <w:rFonts w:ascii="Arial" w:hAnsi="Arial" w:cs="Arial"/>
          <w:b/>
          <w:color w:val="000000"/>
          <w:sz w:val="20"/>
          <w:szCs w:val="20"/>
        </w:rPr>
        <w:t>La aplicación del artículo 1964 respeta los principios de equivalencia y efectividad</w:t>
      </w:r>
    </w:p>
    <w:p w14:paraId="5DE2A6AA"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lastRenderedPageBreak/>
        <w:t xml:space="preserve">En el apartado </w:t>
      </w:r>
      <w:r w:rsidRPr="00BE758C">
        <w:rPr>
          <w:rFonts w:ascii="Arial" w:hAnsi="Arial" w:cs="Arial"/>
          <w:color w:val="000000"/>
          <w:sz w:val="20"/>
          <w:szCs w:val="20"/>
        </w:rPr>
        <w:fldChar w:fldCharType="begin"/>
      </w:r>
      <w:r w:rsidRPr="00BE758C">
        <w:rPr>
          <w:rFonts w:ascii="Arial" w:hAnsi="Arial" w:cs="Arial"/>
          <w:color w:val="000000"/>
          <w:sz w:val="20"/>
          <w:szCs w:val="20"/>
        </w:rPr>
        <w:instrText xml:space="preserve"> REF _Ref74758751 \r \h  \* MERGEFORMAT </w:instrText>
      </w:r>
      <w:r w:rsidRPr="00BE758C">
        <w:rPr>
          <w:rFonts w:ascii="Arial" w:hAnsi="Arial" w:cs="Arial"/>
          <w:color w:val="000000"/>
          <w:sz w:val="20"/>
          <w:szCs w:val="20"/>
        </w:rPr>
      </w:r>
      <w:r w:rsidRPr="00BE758C">
        <w:rPr>
          <w:rFonts w:ascii="Arial" w:hAnsi="Arial" w:cs="Arial"/>
          <w:color w:val="000000"/>
          <w:sz w:val="20"/>
          <w:szCs w:val="20"/>
        </w:rPr>
        <w:fldChar w:fldCharType="separate"/>
      </w:r>
      <w:r w:rsidRPr="00BE758C">
        <w:rPr>
          <w:rFonts w:ascii="Arial" w:hAnsi="Arial" w:cs="Arial"/>
          <w:color w:val="000000"/>
          <w:sz w:val="20"/>
          <w:szCs w:val="20"/>
        </w:rPr>
        <w:t>17</w:t>
      </w:r>
      <w:r w:rsidRPr="00BE758C">
        <w:rPr>
          <w:rFonts w:ascii="Arial" w:hAnsi="Arial" w:cs="Arial"/>
          <w:color w:val="000000"/>
          <w:sz w:val="20"/>
          <w:szCs w:val="20"/>
        </w:rPr>
        <w:fldChar w:fldCharType="end"/>
      </w:r>
      <w:r w:rsidRPr="00BE758C">
        <w:rPr>
          <w:rFonts w:ascii="Arial" w:hAnsi="Arial" w:cs="Arial"/>
          <w:color w:val="000000"/>
          <w:sz w:val="20"/>
          <w:szCs w:val="20"/>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5B20B082" w14:textId="77777777" w:rsidR="00177619" w:rsidRPr="00BE758C" w:rsidRDefault="00177619" w:rsidP="00177619">
      <w:pPr>
        <w:spacing w:before="240" w:after="240" w:line="360" w:lineRule="auto"/>
        <w:jc w:val="both"/>
        <w:rPr>
          <w:rFonts w:ascii="Arial" w:hAnsi="Arial" w:cs="Arial"/>
          <w:color w:val="000000"/>
          <w:sz w:val="20"/>
          <w:szCs w:val="20"/>
        </w:rPr>
      </w:pPr>
      <w:bookmarkStart w:id="26" w:name="_Hlk83302071"/>
      <w:r w:rsidRPr="00BE758C">
        <w:rPr>
          <w:rFonts w:ascii="Arial" w:hAnsi="Arial" w:cs="Arial"/>
          <w:color w:val="000000"/>
          <w:sz w:val="20"/>
          <w:szCs w:val="20"/>
        </w:rPr>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10204285"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BE758C">
        <w:rPr>
          <w:rFonts w:ascii="Arial" w:hAnsi="Arial" w:cs="Arial"/>
          <w:i/>
          <w:color w:val="000000"/>
          <w:sz w:val="20"/>
          <w:szCs w:val="20"/>
        </w:rPr>
        <w:t>persigue reequilibrar la economía del consumidor tras el daño patrimonial sufrido por causa del incumplimiento del deber de información</w:t>
      </w:r>
      <w:r w:rsidRPr="00BE758C">
        <w:rPr>
          <w:rFonts w:ascii="Arial" w:hAnsi="Arial" w:cs="Arial"/>
          <w:color w:val="000000"/>
          <w:sz w:val="20"/>
          <w:szCs w:val="20"/>
        </w:rPr>
        <w:t>”</w:t>
      </w:r>
      <w:r w:rsidRPr="00BE758C">
        <w:rPr>
          <w:rStyle w:val="Refdenotaalpie"/>
          <w:rFonts w:cs="Arial"/>
          <w:color w:val="000000"/>
          <w:sz w:val="20"/>
          <w:szCs w:val="20"/>
        </w:rPr>
        <w:t xml:space="preserve"> </w:t>
      </w:r>
      <w:r w:rsidRPr="00BE758C">
        <w:rPr>
          <w:rStyle w:val="Refdenotaalpie"/>
          <w:rFonts w:cs="Arial"/>
          <w:color w:val="000000"/>
          <w:sz w:val="20"/>
          <w:szCs w:val="20"/>
        </w:rPr>
        <w:footnoteReference w:id="19"/>
      </w:r>
      <w:r w:rsidRPr="00BE758C">
        <w:rPr>
          <w:rFonts w:ascii="Arial" w:hAnsi="Arial" w:cs="Arial"/>
          <w:color w:val="000000"/>
          <w:sz w:val="20"/>
          <w:szCs w:val="20"/>
        </w:rPr>
        <w:t>, quedando el contrato en vigor.</w:t>
      </w:r>
    </w:p>
    <w:p w14:paraId="40A4B33F"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 xml:space="preserve">Con carácter general, las obligaciones personales de todo tipo que no tengan un plazo de prescripción específico fijado legalmente están también sujetas al plazo de 5 años del artículo 1964.2 CC. </w:t>
      </w:r>
    </w:p>
    <w:p w14:paraId="097D43F1"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BE758C">
        <w:rPr>
          <w:rFonts w:ascii="Arial" w:hAnsi="Arial" w:cs="Arial"/>
          <w:color w:val="000000"/>
          <w:sz w:val="20"/>
          <w:szCs w:val="20"/>
        </w:rPr>
        <w:t>De igual modo, la acción de indemnización derivada de la responsabilidad extracontractual (artículo 1902 CC) está sujeta también a un plazo de prescripción, más restrictivo si cabe, ya que el artículo 1968 CC prevé un plazo de un año.</w:t>
      </w:r>
    </w:p>
    <w:p w14:paraId="25A4360A"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color w:val="000000"/>
          <w:sz w:val="20"/>
          <w:szCs w:val="20"/>
          <w:lang w:val="es-ES_tradnl"/>
        </w:rPr>
      </w:pPr>
      <w:r w:rsidRPr="00BE758C">
        <w:rPr>
          <w:rFonts w:ascii="Arial" w:hAnsi="Arial" w:cs="Arial"/>
          <w:color w:val="000000"/>
          <w:sz w:val="20"/>
          <w:szCs w:val="20"/>
          <w:lang w:val="es-ES_tradnl"/>
        </w:rPr>
        <w:t xml:space="preserve">Por último resulta altamente ilustrativo atender a los plazos para ejercitar acciones que buscan dejar sin efecto contratos en su integridad, por ser un supuesto si cabe más grave que el perseguido por la declaración de </w:t>
      </w:r>
      <w:proofErr w:type="spellStart"/>
      <w:r w:rsidRPr="00BE758C">
        <w:rPr>
          <w:rFonts w:ascii="Arial" w:hAnsi="Arial" w:cs="Arial"/>
          <w:color w:val="000000"/>
          <w:sz w:val="20"/>
          <w:szCs w:val="20"/>
          <w:lang w:val="es-ES_tradnl"/>
        </w:rPr>
        <w:t>abusividad</w:t>
      </w:r>
      <w:proofErr w:type="spellEnd"/>
      <w:r w:rsidRPr="00BE758C">
        <w:rPr>
          <w:rFonts w:ascii="Arial" w:hAnsi="Arial" w:cs="Arial"/>
          <w:color w:val="000000"/>
          <w:sz w:val="2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BE758C">
        <w:rPr>
          <w:rFonts w:ascii="Arial" w:hAnsi="Arial" w:cs="Arial"/>
          <w:color w:val="000000"/>
          <w:sz w:val="20"/>
          <w:szCs w:val="20"/>
          <w:lang w:val="es-ES_tradnl"/>
        </w:rPr>
        <w:t>abusividad</w:t>
      </w:r>
      <w:proofErr w:type="spellEnd"/>
      <w:r w:rsidRPr="00BE758C">
        <w:rPr>
          <w:rFonts w:ascii="Arial" w:hAnsi="Arial" w:cs="Arial"/>
          <w:color w:val="000000"/>
          <w:sz w:val="20"/>
          <w:szCs w:val="20"/>
          <w:lang w:val="es-ES_tradnl"/>
        </w:rPr>
        <w:t xml:space="preserve"> donde dicha remoción no es automática y necesita el ejercicio de una acción separada), están sujetas a plazos mucho más estrictos que los que analizamos en este caso.</w:t>
      </w:r>
    </w:p>
    <w:p w14:paraId="27B9EE08" w14:textId="77777777" w:rsidR="00177619" w:rsidRPr="00BE758C" w:rsidRDefault="00177619" w:rsidP="00177619">
      <w:pPr>
        <w:pStyle w:val="Prrafodelista"/>
        <w:spacing w:before="240" w:after="240" w:line="360" w:lineRule="auto"/>
        <w:ind w:left="1134"/>
        <w:contextualSpacing w:val="0"/>
        <w:jc w:val="both"/>
        <w:rPr>
          <w:rFonts w:ascii="Arial" w:hAnsi="Arial" w:cs="Arial"/>
          <w:color w:val="000000"/>
          <w:sz w:val="20"/>
          <w:szCs w:val="20"/>
          <w:lang w:val="es-ES_tradnl"/>
        </w:rPr>
      </w:pPr>
      <w:r w:rsidRPr="00BE758C">
        <w:rPr>
          <w:rFonts w:ascii="Arial" w:hAnsi="Arial" w:cs="Arial"/>
          <w:color w:val="000000"/>
          <w:sz w:val="20"/>
          <w:szCs w:val="20"/>
          <w:lang w:val="es-ES_tradnl"/>
        </w:rPr>
        <w:t xml:space="preserve">Por ejemplo, la acción pauliana </w:t>
      </w:r>
      <w:r w:rsidRPr="00BE758C">
        <w:rPr>
          <w:rFonts w:ascii="Arial" w:hAnsi="Arial" w:cs="Arial"/>
          <w:i/>
          <w:iCs/>
          <w:color w:val="000000"/>
          <w:sz w:val="20"/>
          <w:szCs w:val="20"/>
          <w:lang w:val="es-ES_tradnl"/>
        </w:rPr>
        <w:t xml:space="preserve">ex </w:t>
      </w:r>
      <w:r w:rsidRPr="00BE758C">
        <w:rPr>
          <w:rFonts w:ascii="Arial" w:hAnsi="Arial" w:cs="Arial"/>
          <w:color w:val="000000"/>
          <w:sz w:val="2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w:t>
      </w:r>
      <w:r w:rsidRPr="00BE758C">
        <w:rPr>
          <w:rFonts w:ascii="Arial" w:hAnsi="Arial" w:cs="Arial"/>
          <w:color w:val="000000"/>
          <w:sz w:val="20"/>
          <w:szCs w:val="20"/>
          <w:lang w:val="es-ES_tradnl"/>
        </w:rPr>
        <w:lastRenderedPageBreak/>
        <w:t xml:space="preserve">el artículo 1299 CC. Dichas acciones rescisorias, de conformidad con el artículo 1295 CC, llevan aparejada la remoción de efectos </w:t>
      </w:r>
      <w:r w:rsidRPr="00BE758C">
        <w:rPr>
          <w:rFonts w:ascii="Arial" w:hAnsi="Arial" w:cs="Arial"/>
          <w:color w:val="000000"/>
          <w:sz w:val="20"/>
          <w:szCs w:val="20"/>
        </w:rPr>
        <w:t xml:space="preserve">(sin necesidad de ejercitar una acción separada como sí ocurre en la nulidad por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w:t>
      </w:r>
      <w:r w:rsidRPr="00BE758C">
        <w:rPr>
          <w:rFonts w:ascii="Arial" w:hAnsi="Arial" w:cs="Arial"/>
          <w:color w:val="000000"/>
          <w:sz w:val="20"/>
          <w:szCs w:val="20"/>
          <w:lang w:val="es-ES_tradnl"/>
        </w:rPr>
        <w:t>por lo que dicha restitución queda subsumida en el referido plazo de caducidad.</w:t>
      </w:r>
    </w:p>
    <w:p w14:paraId="22ED7EED" w14:textId="77777777" w:rsidR="00177619" w:rsidRPr="00BE758C" w:rsidRDefault="00177619" w:rsidP="00177619">
      <w:pPr>
        <w:pStyle w:val="Prrafodelista"/>
        <w:spacing w:before="240" w:after="240" w:line="360" w:lineRule="auto"/>
        <w:ind w:left="1134"/>
        <w:contextualSpacing w:val="0"/>
        <w:jc w:val="both"/>
        <w:rPr>
          <w:rFonts w:ascii="Arial" w:hAnsi="Arial" w:cs="Arial"/>
          <w:color w:val="000000"/>
          <w:sz w:val="20"/>
          <w:szCs w:val="20"/>
        </w:rPr>
      </w:pPr>
      <w:r w:rsidRPr="00BE758C">
        <w:rPr>
          <w:rFonts w:ascii="Arial" w:hAnsi="Arial" w:cs="Arial"/>
          <w:color w:val="000000"/>
          <w:sz w:val="20"/>
          <w:szCs w:val="20"/>
        </w:rPr>
        <w:t xml:space="preserve">Al mismo plazo de caducidad de 4 años se sujeta la acción de nulidad de los contratos por intimidación, violencia, error, dolo o falsedad en la causa </w:t>
      </w:r>
      <w:r w:rsidRPr="00BE758C">
        <w:rPr>
          <w:rFonts w:ascii="Arial" w:hAnsi="Arial" w:cs="Arial"/>
          <w:i/>
          <w:iCs/>
          <w:color w:val="000000"/>
          <w:sz w:val="20"/>
          <w:szCs w:val="20"/>
        </w:rPr>
        <w:t xml:space="preserve">ex </w:t>
      </w:r>
      <w:r w:rsidRPr="00BE758C">
        <w:rPr>
          <w:rFonts w:ascii="Arial" w:hAnsi="Arial" w:cs="Arial"/>
          <w:color w:val="000000"/>
          <w:sz w:val="2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0C2B11A8" w14:textId="77777777" w:rsidR="00177619" w:rsidRPr="00BE758C" w:rsidRDefault="00177619" w:rsidP="00177619">
      <w:pPr>
        <w:pStyle w:val="Prrafodelista"/>
        <w:spacing w:before="240" w:after="240" w:line="360" w:lineRule="auto"/>
        <w:ind w:left="1134"/>
        <w:contextualSpacing w:val="0"/>
        <w:jc w:val="both"/>
        <w:rPr>
          <w:rFonts w:ascii="Arial" w:hAnsi="Arial" w:cs="Arial"/>
          <w:color w:val="000000"/>
          <w:sz w:val="20"/>
          <w:szCs w:val="20"/>
        </w:rPr>
      </w:pPr>
      <w:r w:rsidRPr="00BE758C">
        <w:rPr>
          <w:rFonts w:ascii="Arial" w:hAnsi="Arial" w:cs="Arial"/>
          <w:color w:val="000000"/>
          <w:sz w:val="20"/>
          <w:szCs w:val="20"/>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6B511F6A"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 xml:space="preserve">Las anteriores acciones protegen los mismos derechos que la acción restitutoria derivada de la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BE758C">
        <w:rPr>
          <w:rFonts w:ascii="Arial" w:hAnsi="Arial" w:cs="Arial"/>
          <w:color w:val="000000"/>
          <w:sz w:val="20"/>
          <w:szCs w:val="20"/>
        </w:rPr>
        <w:t>abusividad</w:t>
      </w:r>
      <w:proofErr w:type="spellEnd"/>
      <w:r w:rsidRPr="00BE758C">
        <w:rPr>
          <w:rFonts w:ascii="Arial" w:hAnsi="Arial" w:cs="Arial"/>
          <w:color w:val="000000"/>
          <w:sz w:val="20"/>
          <w:szCs w:val="20"/>
        </w:rPr>
        <w:t xml:space="preserve">, cuando se ejercita con base en la Directiva 93/13, no puede estar sujeta a un tratamiento no equivalente y debe estar también sometida a plazo. </w:t>
      </w:r>
    </w:p>
    <w:bookmarkEnd w:id="26"/>
    <w:p w14:paraId="222F06FE" w14:textId="77777777" w:rsidR="00177619" w:rsidRPr="00BE758C" w:rsidRDefault="00177619" w:rsidP="00177619">
      <w:pPr>
        <w:spacing w:before="240" w:after="240" w:line="360" w:lineRule="auto"/>
        <w:jc w:val="both"/>
        <w:rPr>
          <w:rFonts w:ascii="Arial" w:hAnsi="Arial" w:cs="Arial"/>
          <w:i/>
          <w:color w:val="000000"/>
          <w:sz w:val="20"/>
          <w:szCs w:val="20"/>
        </w:rPr>
      </w:pPr>
      <w:r w:rsidRPr="00BE758C">
        <w:rPr>
          <w:rFonts w:ascii="Arial" w:hAnsi="Arial" w:cs="Arial"/>
          <w:color w:val="000000"/>
          <w:sz w:val="20"/>
          <w:szCs w:val="20"/>
        </w:rPr>
        <w:t>Al respecto, la ya mencionada Sentencia nº 447/2020 de la Audiencia Provincial de A Coruña (Secc. 4ª) , de 19 de noviembre, considera que la aplicación del artículo 1964 CC respeta el principio de equivalencia ya que “</w:t>
      </w:r>
      <w:r w:rsidRPr="00BE758C">
        <w:rPr>
          <w:rFonts w:ascii="Arial" w:hAnsi="Arial" w:cs="Arial"/>
          <w:i/>
          <w:color w:val="000000"/>
          <w:sz w:val="20"/>
          <w:szCs w:val="20"/>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BE758C">
        <w:rPr>
          <w:rFonts w:ascii="Arial" w:hAnsi="Arial" w:cs="Arial"/>
          <w:iCs/>
          <w:color w:val="000000"/>
          <w:sz w:val="20"/>
          <w:szCs w:val="20"/>
        </w:rPr>
        <w:t xml:space="preserve">”. </w:t>
      </w:r>
    </w:p>
    <w:p w14:paraId="012BFDE4"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nº 2473/2020 de la Audiencia Provincial de Madrid (Secc. 28ª Refuerzo), de 23 de noviembre, también considera que el principio de efectividad no se ve afectado por la aplicación de dicho precepto ya que “</w:t>
      </w:r>
      <w:r w:rsidRPr="00BE758C">
        <w:rPr>
          <w:rFonts w:ascii="Arial" w:hAnsi="Arial" w:cs="Arial"/>
          <w:i/>
          <w:iCs/>
          <w:color w:val="000000"/>
          <w:sz w:val="20"/>
          <w:szCs w:val="20"/>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BE758C">
        <w:rPr>
          <w:rFonts w:ascii="Arial" w:hAnsi="Arial" w:cs="Arial"/>
          <w:color w:val="000000"/>
          <w:sz w:val="20"/>
          <w:szCs w:val="20"/>
        </w:rPr>
        <w:t>”.</w:t>
      </w:r>
    </w:p>
    <w:p w14:paraId="0FB7CF79" w14:textId="77777777" w:rsidR="00177619" w:rsidRPr="00BE758C" w:rsidRDefault="00177619" w:rsidP="00177619">
      <w:pPr>
        <w:spacing w:before="240" w:after="240" w:line="360" w:lineRule="auto"/>
        <w:jc w:val="both"/>
        <w:rPr>
          <w:rFonts w:ascii="Arial" w:hAnsi="Arial" w:cs="Arial"/>
          <w:color w:val="000000"/>
          <w:sz w:val="20"/>
          <w:szCs w:val="20"/>
        </w:rPr>
      </w:pPr>
      <w:r w:rsidRPr="00BE758C">
        <w:rPr>
          <w:rFonts w:ascii="Arial" w:hAnsi="Arial" w:cs="Arial"/>
          <w:color w:val="000000"/>
          <w:sz w:val="20"/>
          <w:szCs w:val="20"/>
        </w:rPr>
        <w:t>Efectivamente, el TJUE considera que la clave para entender que el principio de efectividad se respeta es garantizar que el plazo de prescripción aplicado “</w:t>
      </w:r>
      <w:r w:rsidRPr="00BE758C">
        <w:rPr>
          <w:rFonts w:ascii="Arial" w:hAnsi="Arial" w:cs="Arial"/>
          <w:i/>
          <w:iCs/>
          <w:color w:val="000000"/>
          <w:sz w:val="20"/>
          <w:szCs w:val="20"/>
        </w:rPr>
        <w:t xml:space="preserve">no haga imposible en la práctica o </w:t>
      </w:r>
      <w:r w:rsidRPr="00BE758C">
        <w:rPr>
          <w:rFonts w:ascii="Arial" w:hAnsi="Arial" w:cs="Arial"/>
          <w:i/>
          <w:iCs/>
          <w:color w:val="000000"/>
          <w:sz w:val="20"/>
          <w:szCs w:val="20"/>
        </w:rPr>
        <w:lastRenderedPageBreak/>
        <w:t>excesivamente difícil el ejercicio de los derechos conferidos en dicha Directiva</w:t>
      </w:r>
      <w:r w:rsidRPr="00BE758C">
        <w:rPr>
          <w:rFonts w:ascii="Arial" w:hAnsi="Arial" w:cs="Arial"/>
          <w:color w:val="000000"/>
          <w:sz w:val="20"/>
          <w:szCs w:val="20"/>
        </w:rPr>
        <w:t>”</w:t>
      </w:r>
      <w:r w:rsidRPr="00BE758C">
        <w:rPr>
          <w:rStyle w:val="Refdenotaalpie"/>
          <w:rFonts w:cs="Arial"/>
          <w:color w:val="000000"/>
          <w:sz w:val="20"/>
          <w:szCs w:val="20"/>
        </w:rPr>
        <w:footnoteReference w:id="20"/>
      </w:r>
      <w:r w:rsidRPr="00BE758C">
        <w:rPr>
          <w:rFonts w:ascii="Arial" w:hAnsi="Arial" w:cs="Arial"/>
          <w:color w:val="000000"/>
          <w:sz w:val="20"/>
          <w:szCs w:val="20"/>
        </w:rPr>
        <w:t xml:space="preserve">. Y, precisamente, el TJUE ha tenido la oportunidad de analizar el plazo de 5 años </w:t>
      </w:r>
      <w:r w:rsidRPr="00BE758C">
        <w:rPr>
          <w:rFonts w:ascii="Arial" w:hAnsi="Arial" w:cs="Arial"/>
          <w:i/>
          <w:sz w:val="20"/>
          <w:szCs w:val="20"/>
        </w:rPr>
        <w:t>ex</w:t>
      </w:r>
      <w:r w:rsidRPr="00BE758C">
        <w:rPr>
          <w:rFonts w:ascii="Arial" w:hAnsi="Arial" w:cs="Arial"/>
          <w:sz w:val="20"/>
          <w:szCs w:val="20"/>
        </w:rPr>
        <w:t xml:space="preserve"> artículo 1964 CC y ha determinado que su duración respeta el principio de efectividad. Lo ha hecho en la sentencia dictada en el asunto </w:t>
      </w:r>
      <w:proofErr w:type="spellStart"/>
      <w:r w:rsidRPr="00BE758C">
        <w:rPr>
          <w:rFonts w:ascii="Arial" w:hAnsi="Arial" w:cs="Arial"/>
          <w:i/>
          <w:sz w:val="20"/>
          <w:szCs w:val="20"/>
        </w:rPr>
        <w:t>Caixabank</w:t>
      </w:r>
      <w:proofErr w:type="spellEnd"/>
      <w:r w:rsidRPr="00BE758C">
        <w:rPr>
          <w:rFonts w:ascii="Arial" w:hAnsi="Arial" w:cs="Arial"/>
          <w:sz w:val="20"/>
          <w:szCs w:val="20"/>
        </w:rPr>
        <w:t>, recordando que en otros asuntos ya se habían declarado conformes plazos de prescripción de tres y dos años</w:t>
      </w:r>
      <w:r w:rsidRPr="00BE758C">
        <w:rPr>
          <w:rStyle w:val="Refdenotaalpie"/>
          <w:rFonts w:cs="Arial"/>
          <w:sz w:val="20"/>
          <w:szCs w:val="20"/>
        </w:rPr>
        <w:footnoteReference w:id="21"/>
      </w:r>
      <w:r w:rsidRPr="00BE758C">
        <w:rPr>
          <w:rFonts w:ascii="Arial" w:hAnsi="Arial" w:cs="Arial"/>
          <w:sz w:val="20"/>
          <w:szCs w:val="20"/>
        </w:rPr>
        <w:t xml:space="preserve">. De igual forma el reciente en el Auto Cuestión Prejudicial GH, el TS también confirma que el plazo de 5 años del artículo 1964 CC es el aplicable a la acción restitutoria vinculada a la reclamación de reembolso de gastos de constitución de hipoteca derivada de una declaración de </w:t>
      </w:r>
      <w:proofErr w:type="spellStart"/>
      <w:r w:rsidRPr="00BE758C">
        <w:rPr>
          <w:rFonts w:ascii="Arial" w:hAnsi="Arial" w:cs="Arial"/>
          <w:sz w:val="20"/>
          <w:szCs w:val="20"/>
        </w:rPr>
        <w:t>abusividad</w:t>
      </w:r>
      <w:proofErr w:type="spellEnd"/>
      <w:r w:rsidRPr="00BE758C">
        <w:rPr>
          <w:rFonts w:ascii="Arial" w:hAnsi="Arial" w:cs="Arial"/>
          <w:sz w:val="20"/>
          <w:szCs w:val="20"/>
        </w:rPr>
        <w:t>.</w:t>
      </w:r>
    </w:p>
    <w:p w14:paraId="199F1EEA" w14:textId="77777777" w:rsidR="00177619" w:rsidRPr="00BE758C" w:rsidRDefault="00177619" w:rsidP="00177619">
      <w:pPr>
        <w:spacing w:before="240" w:after="240" w:line="360" w:lineRule="auto"/>
        <w:jc w:val="both"/>
        <w:rPr>
          <w:rFonts w:ascii="Arial" w:hAnsi="Arial" w:cs="Arial"/>
          <w:color w:val="000000"/>
          <w:sz w:val="20"/>
          <w:szCs w:val="20"/>
          <w:lang w:val="es-ES_tradnl"/>
        </w:rPr>
      </w:pPr>
      <w:r w:rsidRPr="00BE758C">
        <w:rPr>
          <w:rFonts w:ascii="Arial" w:hAnsi="Arial" w:cs="Arial"/>
          <w:sz w:val="20"/>
          <w:szCs w:val="20"/>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0871C0B4" w14:textId="77777777" w:rsidR="00177619" w:rsidRPr="00BE758C" w:rsidRDefault="00177619" w:rsidP="001618DF">
      <w:pPr>
        <w:pStyle w:val="Prrafodelista"/>
        <w:numPr>
          <w:ilvl w:val="0"/>
          <w:numId w:val="23"/>
        </w:numPr>
        <w:spacing w:before="240" w:after="240" w:line="360" w:lineRule="auto"/>
        <w:ind w:left="567" w:hanging="578"/>
        <w:contextualSpacing w:val="0"/>
        <w:jc w:val="both"/>
        <w:rPr>
          <w:rFonts w:ascii="Arial" w:hAnsi="Arial" w:cs="Arial"/>
          <w:b/>
          <w:color w:val="000000"/>
          <w:sz w:val="20"/>
          <w:szCs w:val="20"/>
        </w:rPr>
      </w:pPr>
      <w:r w:rsidRPr="00BE758C">
        <w:rPr>
          <w:rFonts w:ascii="Arial" w:hAnsi="Arial" w:cs="Arial"/>
          <w:b/>
          <w:color w:val="000000"/>
          <w:sz w:val="20"/>
          <w:szCs w:val="20"/>
        </w:rPr>
        <w:t>Cómputo del plazo aplicable</w:t>
      </w:r>
    </w:p>
    <w:p w14:paraId="0EFA7260" w14:textId="7E3FB80F" w:rsidR="00177619" w:rsidRPr="00BE758C" w:rsidRDefault="00177619" w:rsidP="00177619">
      <w:pPr>
        <w:spacing w:before="240" w:after="240" w:line="360" w:lineRule="auto"/>
        <w:ind w:left="-11"/>
        <w:jc w:val="both"/>
        <w:rPr>
          <w:rFonts w:ascii="Arial" w:hAnsi="Arial" w:cs="Arial"/>
          <w:bCs/>
          <w:color w:val="000000"/>
          <w:sz w:val="20"/>
          <w:szCs w:val="20"/>
        </w:rPr>
      </w:pPr>
      <w:r w:rsidRPr="00BE758C">
        <w:rPr>
          <w:rFonts w:ascii="Arial" w:hAnsi="Arial" w:cs="Arial"/>
          <w:bCs/>
          <w:color w:val="000000"/>
          <w:sz w:val="20"/>
          <w:szCs w:val="20"/>
        </w:rPr>
        <w:t xml:space="preserve">De cara a la correcta aplicación del artículo 1964.2 CC es necesario abordar los criterios para fijar el </w:t>
      </w:r>
      <w:proofErr w:type="spellStart"/>
      <w:r w:rsidRPr="00BE758C">
        <w:rPr>
          <w:rFonts w:ascii="Arial" w:hAnsi="Arial" w:cs="Arial"/>
          <w:bCs/>
          <w:i/>
          <w:iCs/>
          <w:color w:val="000000"/>
          <w:sz w:val="20"/>
          <w:szCs w:val="20"/>
        </w:rPr>
        <w:t>dies</w:t>
      </w:r>
      <w:proofErr w:type="spellEnd"/>
      <w:r w:rsidRPr="00BE758C">
        <w:rPr>
          <w:rFonts w:ascii="Arial" w:hAnsi="Arial" w:cs="Arial"/>
          <w:bCs/>
          <w:i/>
          <w:iCs/>
          <w:color w:val="000000"/>
          <w:sz w:val="20"/>
          <w:szCs w:val="20"/>
        </w:rPr>
        <w:t xml:space="preserve"> a </w:t>
      </w:r>
      <w:bookmarkStart w:id="27" w:name="_Hlk80787654"/>
      <w:r w:rsidRPr="00BE758C">
        <w:rPr>
          <w:rFonts w:ascii="Arial" w:hAnsi="Arial" w:cs="Arial"/>
          <w:bCs/>
          <w:i/>
          <w:iCs/>
          <w:color w:val="000000"/>
          <w:sz w:val="20"/>
          <w:szCs w:val="20"/>
        </w:rPr>
        <w:t>quo</w:t>
      </w:r>
      <w:r w:rsidRPr="00BE758C">
        <w:rPr>
          <w:rFonts w:ascii="Arial" w:hAnsi="Arial" w:cs="Arial"/>
          <w:bCs/>
          <w:color w:val="000000"/>
          <w:sz w:val="20"/>
          <w:szCs w:val="20"/>
        </w:rPr>
        <w:t>.</w:t>
      </w:r>
    </w:p>
    <w:p w14:paraId="3022CE96" w14:textId="77777777" w:rsidR="00177619" w:rsidRPr="00BE758C" w:rsidRDefault="00177619" w:rsidP="001618DF">
      <w:pPr>
        <w:pStyle w:val="Prrafodelista"/>
        <w:numPr>
          <w:ilvl w:val="0"/>
          <w:numId w:val="26"/>
        </w:numPr>
        <w:spacing w:before="240" w:after="240" w:line="360" w:lineRule="auto"/>
        <w:ind w:left="1134" w:hanging="567"/>
        <w:contextualSpacing w:val="0"/>
        <w:jc w:val="both"/>
        <w:rPr>
          <w:rFonts w:ascii="Arial" w:hAnsi="Arial" w:cs="Arial"/>
          <w:b/>
          <w:color w:val="000000"/>
          <w:sz w:val="20"/>
          <w:szCs w:val="20"/>
        </w:rPr>
      </w:pPr>
      <w:bookmarkStart w:id="28" w:name="_Hlk80787690"/>
      <w:bookmarkStart w:id="29" w:name="_Hlk80787774"/>
      <w:bookmarkEnd w:id="27"/>
      <w:r w:rsidRPr="00BE758C">
        <w:rPr>
          <w:rFonts w:ascii="Arial" w:hAnsi="Arial" w:cs="Arial"/>
          <w:b/>
          <w:color w:val="000000"/>
          <w:sz w:val="20"/>
          <w:szCs w:val="20"/>
        </w:rPr>
        <w:t xml:space="preserve">Fijación del </w:t>
      </w:r>
      <w:proofErr w:type="spellStart"/>
      <w:r w:rsidRPr="00BE758C">
        <w:rPr>
          <w:rFonts w:ascii="Arial" w:hAnsi="Arial" w:cs="Arial"/>
          <w:b/>
          <w:i/>
          <w:iCs/>
          <w:color w:val="000000"/>
          <w:sz w:val="20"/>
          <w:szCs w:val="20"/>
        </w:rPr>
        <w:t>dies</w:t>
      </w:r>
      <w:proofErr w:type="spellEnd"/>
      <w:r w:rsidRPr="00BE758C">
        <w:rPr>
          <w:rFonts w:ascii="Arial" w:hAnsi="Arial" w:cs="Arial"/>
          <w:b/>
          <w:i/>
          <w:iCs/>
          <w:color w:val="000000"/>
          <w:sz w:val="20"/>
          <w:szCs w:val="20"/>
        </w:rPr>
        <w:t xml:space="preserve"> a quo </w:t>
      </w:r>
      <w:r w:rsidRPr="00BE758C">
        <w:rPr>
          <w:rFonts w:ascii="Arial" w:hAnsi="Arial" w:cs="Arial"/>
          <w:b/>
          <w:color w:val="000000"/>
          <w:sz w:val="20"/>
          <w:szCs w:val="20"/>
        </w:rPr>
        <w:t>o momento de inicio de la prescripción</w:t>
      </w:r>
    </w:p>
    <w:p w14:paraId="425C15F3" w14:textId="70B55064" w:rsidR="00177619" w:rsidRPr="00BE758C" w:rsidRDefault="00C47D8A" w:rsidP="00177619">
      <w:pPr>
        <w:spacing w:before="240" w:after="240" w:line="360" w:lineRule="auto"/>
        <w:jc w:val="both"/>
        <w:rPr>
          <w:rFonts w:ascii="Arial" w:hAnsi="Arial" w:cs="Arial"/>
          <w:sz w:val="20"/>
          <w:szCs w:val="20"/>
        </w:rPr>
      </w:pPr>
      <w:bookmarkStart w:id="30" w:name="_Ref82445566"/>
      <w:bookmarkEnd w:id="28"/>
      <w:r>
        <w:rPr>
          <w:rFonts w:ascii="Arial" w:hAnsi="Arial" w:cs="Arial"/>
          <w:sz w:val="20"/>
          <w:szCs w:val="20"/>
        </w:rPr>
        <w:t>Debemos</w:t>
      </w:r>
      <w:r w:rsidR="00177619" w:rsidRPr="00BE758C">
        <w:rPr>
          <w:rFonts w:ascii="Arial" w:hAnsi="Arial" w:cs="Arial"/>
          <w:sz w:val="20"/>
          <w:szCs w:val="20"/>
        </w:rPr>
        <w:t xml:space="preserve"> pasar a analizar cómo se fija el momento de inicio del cómputo de la prescripción, esto es, el </w:t>
      </w:r>
      <w:proofErr w:type="spellStart"/>
      <w:r w:rsidR="00177619" w:rsidRPr="00BE758C">
        <w:rPr>
          <w:rFonts w:ascii="Arial" w:hAnsi="Arial" w:cs="Arial"/>
          <w:i/>
          <w:iCs/>
          <w:sz w:val="20"/>
          <w:szCs w:val="20"/>
        </w:rPr>
        <w:t>dies</w:t>
      </w:r>
      <w:proofErr w:type="spellEnd"/>
      <w:r w:rsidR="00177619" w:rsidRPr="00BE758C">
        <w:rPr>
          <w:rFonts w:ascii="Arial" w:hAnsi="Arial" w:cs="Arial"/>
          <w:i/>
          <w:iCs/>
          <w:sz w:val="20"/>
          <w:szCs w:val="20"/>
        </w:rPr>
        <w:t xml:space="preserve"> a quo.</w:t>
      </w:r>
      <w:r w:rsidR="00177619" w:rsidRPr="00BE758C">
        <w:rPr>
          <w:rFonts w:ascii="Arial" w:hAnsi="Arial" w:cs="Arial"/>
          <w:sz w:val="20"/>
          <w:szCs w:val="20"/>
        </w:rPr>
        <w:t xml:space="preserve"> </w:t>
      </w:r>
      <w:bookmarkStart w:id="31" w:name="_Hlk83302183"/>
      <w:r w:rsidR="00177619" w:rsidRPr="00BE758C">
        <w:rPr>
          <w:rFonts w:ascii="Arial" w:hAnsi="Arial" w:cs="Arial"/>
          <w:sz w:val="20"/>
          <w:szCs w:val="20"/>
        </w:rPr>
        <w:t>Al respecto, el TJUE ha declarado que lo relevante es el momento en el que el consumidor “</w:t>
      </w:r>
      <w:r w:rsidR="00177619" w:rsidRPr="00BE758C">
        <w:rPr>
          <w:rFonts w:ascii="Arial" w:hAnsi="Arial" w:cs="Arial"/>
          <w:i/>
          <w:sz w:val="20"/>
          <w:szCs w:val="20"/>
          <w:u w:val="single"/>
        </w:rPr>
        <w:t>tenía o podía razonablemente tener conocimiento del carácter abusivo de esta cláusula</w:t>
      </w:r>
      <w:r w:rsidR="00177619" w:rsidRPr="00BE758C">
        <w:rPr>
          <w:rFonts w:ascii="Arial" w:hAnsi="Arial" w:cs="Arial"/>
          <w:sz w:val="20"/>
          <w:szCs w:val="20"/>
        </w:rPr>
        <w:t>” y estaba en condiciones de ejercitar la acción (que no se haga “</w:t>
      </w:r>
      <w:r w:rsidR="00177619" w:rsidRPr="00BE758C">
        <w:rPr>
          <w:rFonts w:ascii="Arial" w:hAnsi="Arial" w:cs="Arial"/>
          <w:i/>
          <w:color w:val="000000"/>
          <w:sz w:val="20"/>
          <w:szCs w:val="20"/>
        </w:rPr>
        <w:t>imposible en la práctica o excesivamente difícil el ejercicio del derecho del consumidor a solicitar tal restitución</w:t>
      </w:r>
      <w:r w:rsidR="00177619" w:rsidRPr="00BE758C">
        <w:rPr>
          <w:rFonts w:ascii="Arial" w:hAnsi="Arial" w:cs="Arial"/>
          <w:iCs/>
          <w:color w:val="000000"/>
          <w:sz w:val="20"/>
          <w:szCs w:val="20"/>
        </w:rPr>
        <w:t>”)</w:t>
      </w:r>
      <w:r w:rsidR="00177619" w:rsidRPr="00BE758C">
        <w:rPr>
          <w:rStyle w:val="Refdenotaalpie"/>
          <w:rFonts w:eastAsia="Calibri" w:cs="Arial"/>
          <w:sz w:val="20"/>
          <w:szCs w:val="20"/>
        </w:rPr>
        <w:footnoteReference w:id="22"/>
      </w:r>
      <w:r w:rsidR="00177619" w:rsidRPr="00BE758C">
        <w:rPr>
          <w:rFonts w:ascii="Arial" w:hAnsi="Arial" w:cs="Arial"/>
          <w:sz w:val="20"/>
          <w:szCs w:val="20"/>
        </w:rPr>
        <w:t>. Precisamente este es el criterio que opera en la normativa nacional aplicable, tal y como ha sido interpretada por el Tribunal Supremo.</w:t>
      </w:r>
      <w:bookmarkEnd w:id="30"/>
    </w:p>
    <w:bookmarkEnd w:id="31"/>
    <w:p w14:paraId="61C2F3BA" w14:textId="77777777" w:rsidR="00177619" w:rsidRPr="00BE758C" w:rsidRDefault="00177619" w:rsidP="00177619">
      <w:pPr>
        <w:spacing w:before="240" w:after="240" w:line="360" w:lineRule="auto"/>
        <w:jc w:val="both"/>
        <w:rPr>
          <w:rFonts w:ascii="Arial" w:hAnsi="Arial" w:cs="Arial"/>
          <w:bCs/>
          <w:color w:val="000000"/>
          <w:sz w:val="20"/>
          <w:szCs w:val="20"/>
        </w:rPr>
      </w:pPr>
      <w:r w:rsidRPr="00BE758C">
        <w:rPr>
          <w:rFonts w:ascii="Arial" w:hAnsi="Arial" w:cs="Arial"/>
          <w:bCs/>
          <w:color w:val="000000"/>
          <w:sz w:val="20"/>
          <w:szCs w:val="20"/>
        </w:rPr>
        <w:t>El artículo 1964.2 CC establece que las acciones personales que no tengan plazo especial prescriben a los 5 años “</w:t>
      </w:r>
      <w:r w:rsidRPr="00BE758C">
        <w:rPr>
          <w:rFonts w:ascii="Arial" w:hAnsi="Arial" w:cs="Arial"/>
          <w:bCs/>
          <w:i/>
          <w:iCs/>
          <w:color w:val="000000"/>
          <w:sz w:val="20"/>
          <w:szCs w:val="20"/>
        </w:rPr>
        <w:t>desde que pueda exigirse el cumplimiento de la obligación</w:t>
      </w:r>
      <w:r w:rsidRPr="00BE758C">
        <w:rPr>
          <w:rFonts w:ascii="Arial" w:hAnsi="Arial" w:cs="Arial"/>
          <w:bCs/>
          <w:color w:val="000000"/>
          <w:sz w:val="20"/>
          <w:szCs w:val="20"/>
        </w:rPr>
        <w:t>”. Por su parte, el artículo 1969 CC establece que “</w:t>
      </w:r>
      <w:r w:rsidRPr="00BE758C">
        <w:rPr>
          <w:rFonts w:ascii="Arial" w:hAnsi="Arial" w:cs="Arial"/>
          <w:bCs/>
          <w:i/>
          <w:iCs/>
          <w:color w:val="000000"/>
          <w:sz w:val="20"/>
          <w:szCs w:val="20"/>
        </w:rPr>
        <w:t>el tiempo para la prescripción de toda clase de acciones, cuando no haya disposición especial que otra cosa determine, se contará desde el día en que pudieron ejercitarse</w:t>
      </w:r>
      <w:r w:rsidRPr="00BE758C">
        <w:rPr>
          <w:rFonts w:ascii="Arial" w:hAnsi="Arial" w:cs="Arial"/>
          <w:bCs/>
          <w:color w:val="000000"/>
          <w:sz w:val="20"/>
          <w:szCs w:val="20"/>
        </w:rPr>
        <w:t>”.</w:t>
      </w:r>
    </w:p>
    <w:p w14:paraId="0F0D085B" w14:textId="77777777" w:rsidR="00177619" w:rsidRPr="00BE758C" w:rsidRDefault="00177619" w:rsidP="00177619">
      <w:pPr>
        <w:spacing w:before="240" w:after="240" w:line="360" w:lineRule="auto"/>
        <w:jc w:val="both"/>
        <w:rPr>
          <w:rFonts w:ascii="Arial" w:hAnsi="Arial" w:cs="Arial"/>
          <w:sz w:val="20"/>
          <w:szCs w:val="20"/>
        </w:rPr>
      </w:pPr>
      <w:r w:rsidRPr="00BE758C">
        <w:rPr>
          <w:rFonts w:ascii="Arial" w:hAnsi="Arial" w:cs="Arial"/>
          <w:sz w:val="20"/>
          <w:szCs w:val="20"/>
        </w:rPr>
        <w:t xml:space="preserve">Los anteriores preceptos acuden a la regla de la </w:t>
      </w:r>
      <w:proofErr w:type="spellStart"/>
      <w:r w:rsidRPr="00BE758C">
        <w:rPr>
          <w:rFonts w:ascii="Arial" w:hAnsi="Arial" w:cs="Arial"/>
          <w:i/>
          <w:sz w:val="20"/>
          <w:szCs w:val="20"/>
        </w:rPr>
        <w:t>actio</w:t>
      </w:r>
      <w:proofErr w:type="spellEnd"/>
      <w:r w:rsidRPr="00BE758C">
        <w:rPr>
          <w:rFonts w:ascii="Arial" w:hAnsi="Arial" w:cs="Arial"/>
          <w:i/>
          <w:sz w:val="20"/>
          <w:szCs w:val="20"/>
        </w:rPr>
        <w:t xml:space="preserve"> nata</w:t>
      </w:r>
      <w:r w:rsidRPr="00BE758C">
        <w:rPr>
          <w:rFonts w:ascii="Arial" w:hAnsi="Arial" w:cs="Arial"/>
          <w:sz w:val="20"/>
          <w:szCs w:val="20"/>
        </w:rPr>
        <w:t xml:space="preserve">,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w:t>
      </w:r>
      <w:r w:rsidRPr="00BE758C">
        <w:rPr>
          <w:rFonts w:ascii="Arial" w:hAnsi="Arial" w:cs="Arial"/>
          <w:sz w:val="20"/>
          <w:szCs w:val="20"/>
        </w:rPr>
        <w:lastRenderedPageBreak/>
        <w:t>conocimiento por el acreedor de la lesión de su derecho</w:t>
      </w:r>
      <w:r w:rsidRPr="00BE758C">
        <w:rPr>
          <w:rStyle w:val="Refdenotaalpie"/>
          <w:rFonts w:cs="Arial"/>
          <w:sz w:val="20"/>
          <w:szCs w:val="20"/>
        </w:rPr>
        <w:footnoteReference w:id="23"/>
      </w:r>
      <w:r w:rsidRPr="00BE758C">
        <w:rPr>
          <w:rFonts w:ascii="Arial" w:hAnsi="Arial" w:cs="Arial"/>
          <w:sz w:val="20"/>
          <w:szCs w:val="20"/>
        </w:rPr>
        <w:t xml:space="preserve">. Ese elemento subjetivo exige, por tanto, analizar las circunstancias del caso concreto y las particularidades de la situación de cada consumidor para determinar en qué momento tuvo conciencia de la posible </w:t>
      </w:r>
      <w:proofErr w:type="spellStart"/>
      <w:r w:rsidRPr="00BE758C">
        <w:rPr>
          <w:rFonts w:ascii="Arial" w:hAnsi="Arial" w:cs="Arial"/>
          <w:sz w:val="20"/>
          <w:szCs w:val="20"/>
        </w:rPr>
        <w:t>abusividad</w:t>
      </w:r>
      <w:proofErr w:type="spellEnd"/>
      <w:r w:rsidRPr="00BE758C">
        <w:rPr>
          <w:rFonts w:ascii="Arial" w:hAnsi="Arial" w:cs="Arial"/>
          <w:sz w:val="20"/>
          <w:szCs w:val="20"/>
        </w:rPr>
        <w:t xml:space="preserve"> de la cláusula y pudo haberse planteado el ejercicio de la acción.</w:t>
      </w:r>
    </w:p>
    <w:p w14:paraId="251E767C" w14:textId="32C4E40B" w:rsidR="00C468FD" w:rsidRDefault="00177619" w:rsidP="00177619">
      <w:pPr>
        <w:spacing w:before="240" w:after="240" w:line="360" w:lineRule="auto"/>
        <w:jc w:val="both"/>
        <w:rPr>
          <w:rFonts w:ascii="Arial" w:hAnsi="Arial" w:cs="Arial"/>
          <w:sz w:val="20"/>
          <w:szCs w:val="20"/>
        </w:rPr>
      </w:pPr>
      <w:r w:rsidRPr="00D94AA2">
        <w:rPr>
          <w:rFonts w:ascii="Arial" w:hAnsi="Arial" w:cs="Arial"/>
          <w:sz w:val="20"/>
          <w:szCs w:val="20"/>
        </w:rPr>
        <w:t xml:space="preserve">Sentado lo anterior y teniendo en cuenta la jurisprudencia del TJUE, muchas de nuestras Audiencias Provinciales entienden que dicho conocimiento razonable de la posibilidad de que la cláusula fuera abusiva, y por tanto, de la posibilidad de ejercitar la acción, fue adquirida </w:t>
      </w:r>
      <w:r w:rsidR="00C468FD">
        <w:rPr>
          <w:rFonts w:ascii="Arial" w:hAnsi="Arial" w:cs="Arial"/>
          <w:sz w:val="20"/>
          <w:szCs w:val="20"/>
        </w:rPr>
        <w:t xml:space="preserve">en el momento de la </w:t>
      </w:r>
      <w:r w:rsidR="00C468FD" w:rsidRPr="00C468FD">
        <w:rPr>
          <w:rFonts w:ascii="Arial" w:hAnsi="Arial" w:cs="Arial"/>
          <w:b/>
          <w:sz w:val="20"/>
          <w:szCs w:val="20"/>
        </w:rPr>
        <w:t>fecha de publicación de la Sentencia del Tribunal Supremo de 23 de diciembre de 2015</w:t>
      </w:r>
      <w:r w:rsidR="00C468FD">
        <w:rPr>
          <w:rFonts w:ascii="Arial" w:hAnsi="Arial" w:cs="Arial"/>
          <w:sz w:val="20"/>
          <w:szCs w:val="20"/>
        </w:rPr>
        <w:t xml:space="preserve"> en virtud de la cual, se declaró la nulidad de la cláusula de gastos. </w:t>
      </w:r>
    </w:p>
    <w:p w14:paraId="46DA9E97" w14:textId="74A03EBD" w:rsidR="00177619" w:rsidRDefault="00C47D8A" w:rsidP="00C57DB9">
      <w:pPr>
        <w:spacing w:before="240" w:after="240" w:line="360" w:lineRule="auto"/>
        <w:jc w:val="both"/>
        <w:rPr>
          <w:rFonts w:ascii="Arial" w:hAnsi="Arial" w:cs="Arial"/>
          <w:sz w:val="20"/>
          <w:szCs w:val="20"/>
          <w:lang w:val="es-ES_tradnl"/>
        </w:rPr>
      </w:pPr>
      <w:r w:rsidRPr="00C47D8A">
        <w:rPr>
          <w:rFonts w:ascii="Arial" w:hAnsi="Arial" w:cs="Arial"/>
          <w:sz w:val="20"/>
          <w:szCs w:val="20"/>
          <w:lang w:val="es-ES_tradnl"/>
        </w:rPr>
        <w:t xml:space="preserve">Sentado lo anterior y teniendo en cuenta la jurisprudencia del TJUE, muchas de nuestras Audiencias Provinciales, incluyen en su análisis otro elemento relevante tenido en cuenta por los diferentes Tribunales para valorar el </w:t>
      </w:r>
      <w:proofErr w:type="spellStart"/>
      <w:r w:rsidRPr="00C47D8A">
        <w:rPr>
          <w:rFonts w:ascii="Arial" w:hAnsi="Arial" w:cs="Arial"/>
          <w:sz w:val="20"/>
          <w:szCs w:val="20"/>
          <w:lang w:val="es-ES_tradnl"/>
        </w:rPr>
        <w:t>dies</w:t>
      </w:r>
      <w:proofErr w:type="spellEnd"/>
      <w:r w:rsidRPr="00C47D8A">
        <w:rPr>
          <w:rFonts w:ascii="Arial" w:hAnsi="Arial" w:cs="Arial"/>
          <w:sz w:val="20"/>
          <w:szCs w:val="20"/>
          <w:lang w:val="es-ES_tradnl"/>
        </w:rPr>
        <w:t xml:space="preserve"> a quo que no es otro que el conocimiento generalizado de la potencial </w:t>
      </w:r>
      <w:proofErr w:type="spellStart"/>
      <w:r w:rsidRPr="00C47D8A">
        <w:rPr>
          <w:rFonts w:ascii="Arial" w:hAnsi="Arial" w:cs="Arial"/>
          <w:sz w:val="20"/>
          <w:szCs w:val="20"/>
          <w:lang w:val="es-ES_tradnl"/>
        </w:rPr>
        <w:t>abusividad</w:t>
      </w:r>
      <w:proofErr w:type="spellEnd"/>
      <w:r w:rsidRPr="00C47D8A">
        <w:rPr>
          <w:rFonts w:ascii="Arial" w:hAnsi="Arial" w:cs="Arial"/>
          <w:sz w:val="20"/>
          <w:szCs w:val="20"/>
          <w:lang w:val="es-ES_tradnl"/>
        </w:rPr>
        <w:t xml:space="preserve"> de la cláusula. Muchos Tribunales, con carácter general, han venido </w:t>
      </w:r>
      <w:r w:rsidRPr="00C47D8A">
        <w:rPr>
          <w:rFonts w:ascii="Arial" w:hAnsi="Arial" w:cs="Arial"/>
          <w:b/>
          <w:sz w:val="20"/>
          <w:szCs w:val="20"/>
          <w:lang w:val="es-ES_tradnl"/>
        </w:rPr>
        <w:t>fijando ese momento en la Sentencia del Tribunal Supremo de 23 de diciembre de 2015</w:t>
      </w:r>
      <w:bookmarkStart w:id="32" w:name="_Ref75164769"/>
      <w:r w:rsidR="00C57DB9">
        <w:rPr>
          <w:rFonts w:ascii="Arial" w:hAnsi="Arial" w:cs="Arial"/>
          <w:sz w:val="20"/>
          <w:szCs w:val="20"/>
          <w:lang w:val="es-ES_tradnl"/>
        </w:rPr>
        <w:t>:</w:t>
      </w:r>
    </w:p>
    <w:p w14:paraId="4293DC02" w14:textId="5AA9A9BE" w:rsidR="00C57DB9" w:rsidRDefault="00C57DB9"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Sentencia Núm. 734/2022 de la Sección Primera, de lo Civil, de la Audiencia Provincial de Córdoba</w:t>
      </w:r>
      <w:r w:rsidR="003B32FE">
        <w:rPr>
          <w:rFonts w:ascii="Arial" w:hAnsi="Arial" w:cs="Arial"/>
          <w:sz w:val="20"/>
          <w:szCs w:val="20"/>
          <w:lang w:val="es-ES_tradnl"/>
        </w:rPr>
        <w:t xml:space="preserve">, de 19 de julio de 2022. </w:t>
      </w:r>
    </w:p>
    <w:p w14:paraId="537BA45D" w14:textId="62BA8ED1" w:rsidR="00C57DB9" w:rsidRDefault="00C57DB9"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Núm. 100/2022 de la Sección Primera, de lo Civil, de la </w:t>
      </w:r>
      <w:r w:rsidR="003B32FE">
        <w:rPr>
          <w:rFonts w:ascii="Arial" w:hAnsi="Arial" w:cs="Arial"/>
          <w:sz w:val="20"/>
          <w:szCs w:val="20"/>
          <w:lang w:val="es-ES_tradnl"/>
        </w:rPr>
        <w:t xml:space="preserve">Audiencia Provincial de Girona, de 9 de febrero de 2022. </w:t>
      </w:r>
    </w:p>
    <w:p w14:paraId="7440E5FD" w14:textId="52B1F723" w:rsidR="00C57DB9" w:rsidRDefault="00C57DB9"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Sentencia N</w:t>
      </w:r>
      <w:r w:rsidR="003B32FE">
        <w:rPr>
          <w:rFonts w:ascii="Arial" w:hAnsi="Arial" w:cs="Arial"/>
          <w:sz w:val="20"/>
          <w:szCs w:val="20"/>
          <w:lang w:val="es-ES_tradnl"/>
        </w:rPr>
        <w:t>úm. 138/2022 de</w:t>
      </w:r>
      <w:r>
        <w:rPr>
          <w:rFonts w:ascii="Arial" w:hAnsi="Arial" w:cs="Arial"/>
          <w:sz w:val="20"/>
          <w:szCs w:val="20"/>
          <w:lang w:val="es-ES_tradnl"/>
        </w:rPr>
        <w:t xml:space="preserve"> la Sección Tercera, de lo Civil, de la </w:t>
      </w:r>
      <w:r w:rsidR="003B32FE">
        <w:rPr>
          <w:rFonts w:ascii="Arial" w:hAnsi="Arial" w:cs="Arial"/>
          <w:sz w:val="20"/>
          <w:szCs w:val="20"/>
          <w:lang w:val="es-ES_tradnl"/>
        </w:rPr>
        <w:t xml:space="preserve">Audiencia Provincial de Burgos, de 29 de abril de 2022. </w:t>
      </w:r>
    </w:p>
    <w:p w14:paraId="15515B9D" w14:textId="39CA1779" w:rsidR="003B32FE" w:rsidRDefault="003B32FE"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Núm. 4 de la Sección Tercera, de lo Civil, de la Audiencia Provincial de Burgos, de 12 de enero de 2023. </w:t>
      </w:r>
    </w:p>
    <w:p w14:paraId="60853349" w14:textId="34FDFA4C" w:rsidR="00C57DB9" w:rsidRDefault="003B32FE"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Núm. 648/2022 de la Sección Sexta, de lo Civil, de la Audiencia Provincial de Málaga, de 6 de abril de 2022. </w:t>
      </w:r>
    </w:p>
    <w:p w14:paraId="154DE66C" w14:textId="05D8F81F" w:rsidR="003B32FE" w:rsidRDefault="003B32FE" w:rsidP="00C57DB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Núm. 58/2023 de la Sección Primera, de lo Civil, de la Audiencia Provincial de Valladolid, de 3 de marzo de 2023. </w:t>
      </w:r>
    </w:p>
    <w:p w14:paraId="404CFE6C" w14:textId="7B5065EB" w:rsidR="00C57DB9" w:rsidRDefault="003B32FE" w:rsidP="00177619">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Núm. 531 de la Sección Primera, de lo Civil, de la Audiencia Provincial de Toledo, de 22 de abril de 2022. </w:t>
      </w:r>
    </w:p>
    <w:p w14:paraId="214243DE" w14:textId="77777777" w:rsidR="00441ECA" w:rsidRDefault="00441ECA" w:rsidP="00441ECA">
      <w:pPr>
        <w:pStyle w:val="Prrafodelista"/>
        <w:numPr>
          <w:ilvl w:val="0"/>
          <w:numId w:val="29"/>
        </w:numPr>
        <w:spacing w:before="240" w:after="240" w:line="360" w:lineRule="auto"/>
        <w:jc w:val="both"/>
        <w:rPr>
          <w:rFonts w:ascii="Arial" w:hAnsi="Arial" w:cs="Arial"/>
          <w:sz w:val="20"/>
          <w:szCs w:val="20"/>
          <w:lang w:val="es-ES_tradnl"/>
        </w:rPr>
      </w:pPr>
      <w:r>
        <w:rPr>
          <w:rFonts w:ascii="Arial" w:hAnsi="Arial" w:cs="Arial"/>
          <w:sz w:val="20"/>
          <w:szCs w:val="20"/>
          <w:lang w:val="es-ES_tradnl"/>
        </w:rPr>
        <w:t xml:space="preserve">Sentencia 577/2022 del Juzgado de Primera Instancia Núm. 50 bis de Barcelona, de 21 de enero de 2022: </w:t>
      </w:r>
    </w:p>
    <w:p w14:paraId="4D338F8F" w14:textId="69F93F0C" w:rsidR="00441ECA" w:rsidRPr="00441ECA" w:rsidRDefault="00441ECA" w:rsidP="00441ECA">
      <w:pPr>
        <w:pStyle w:val="Prrafodelista"/>
        <w:spacing w:before="240" w:after="240" w:line="360" w:lineRule="auto"/>
        <w:jc w:val="both"/>
        <w:rPr>
          <w:rFonts w:ascii="DejaVuSans" w:hAnsi="DejaVuSans" w:cs="DejaVuSans"/>
          <w:i/>
          <w:sz w:val="21"/>
          <w:szCs w:val="21"/>
        </w:rPr>
      </w:pPr>
      <w:r>
        <w:rPr>
          <w:rFonts w:ascii="DejaVuSans" w:hAnsi="DejaVuSans" w:cs="DejaVuSans"/>
          <w:sz w:val="21"/>
          <w:szCs w:val="21"/>
        </w:rPr>
        <w:t>“</w:t>
      </w:r>
      <w:r w:rsidRPr="00441ECA">
        <w:rPr>
          <w:rFonts w:ascii="DejaVuSans" w:hAnsi="DejaVuSans" w:cs="DejaVuSans"/>
          <w:i/>
          <w:sz w:val="21"/>
          <w:szCs w:val="21"/>
        </w:rPr>
        <w:t>En consecuencia, aplicando el derecho y la jurisprudencia citados al</w:t>
      </w:r>
    </w:p>
    <w:p w14:paraId="71354D55" w14:textId="06012E0F" w:rsidR="00441ECA" w:rsidRPr="00441ECA" w:rsidRDefault="00441ECA" w:rsidP="00441ECA">
      <w:pPr>
        <w:pStyle w:val="Prrafodelista"/>
        <w:spacing w:before="240" w:after="240" w:line="360" w:lineRule="auto"/>
        <w:jc w:val="both"/>
        <w:rPr>
          <w:rFonts w:ascii="Arial" w:hAnsi="Arial" w:cs="Arial"/>
          <w:sz w:val="20"/>
          <w:szCs w:val="20"/>
          <w:lang w:val="es-ES_tradnl"/>
        </w:rPr>
      </w:pPr>
      <w:r w:rsidRPr="00441ECA">
        <w:rPr>
          <w:rFonts w:ascii="DejaVuSans" w:hAnsi="DejaVuSans" w:cs="DejaVuSans"/>
          <w:i/>
          <w:sz w:val="21"/>
          <w:szCs w:val="21"/>
        </w:rPr>
        <w:t xml:space="preserve">supuesto de autos, considerando como día inicial para el cómputo del </w:t>
      </w:r>
      <w:proofErr w:type="spellStart"/>
      <w:r w:rsidRPr="00441ECA">
        <w:rPr>
          <w:rFonts w:ascii="DejaVuSans" w:hAnsi="DejaVuSans" w:cs="DejaVuSans"/>
          <w:b/>
          <w:i/>
          <w:sz w:val="21"/>
          <w:szCs w:val="21"/>
        </w:rPr>
        <w:t>díes</w:t>
      </w:r>
      <w:proofErr w:type="spellEnd"/>
      <w:r w:rsidRPr="00441ECA">
        <w:rPr>
          <w:rFonts w:ascii="DejaVuSans" w:hAnsi="DejaVuSans" w:cs="DejaVuSans"/>
          <w:b/>
          <w:i/>
          <w:sz w:val="21"/>
          <w:szCs w:val="21"/>
        </w:rPr>
        <w:t xml:space="preserve"> a quo</w:t>
      </w:r>
      <w:r w:rsidRPr="00441ECA">
        <w:rPr>
          <w:rFonts w:ascii="DejaVuSans" w:hAnsi="DejaVuSans" w:cs="DejaVuSans"/>
          <w:i/>
          <w:sz w:val="21"/>
          <w:szCs w:val="21"/>
        </w:rPr>
        <w:t xml:space="preserve"> la fecha en la que el consumidor podía tener conocimiento del carácter abusivo de la cláusula de gastos, es decir, desde la determinación de la doctrina jurisprudencial reflejada en las </w:t>
      </w:r>
      <w:r w:rsidRPr="00441ECA">
        <w:rPr>
          <w:rFonts w:ascii="DejaVuSans" w:hAnsi="DejaVuSans" w:cs="DejaVuSans"/>
          <w:b/>
          <w:i/>
          <w:sz w:val="21"/>
          <w:szCs w:val="21"/>
        </w:rPr>
        <w:t xml:space="preserve">Sentencias del </w:t>
      </w:r>
      <w:r w:rsidRPr="00441ECA">
        <w:rPr>
          <w:rFonts w:ascii="DejaVuSans" w:hAnsi="DejaVuSans" w:cs="DejaVuSans"/>
          <w:b/>
          <w:i/>
          <w:sz w:val="21"/>
          <w:szCs w:val="21"/>
        </w:rPr>
        <w:lastRenderedPageBreak/>
        <w:t>Pleno del Tribunal Supremo de 23 de diciembre de 2015</w:t>
      </w:r>
      <w:r w:rsidRPr="00441ECA">
        <w:rPr>
          <w:rFonts w:ascii="DejaVuSans" w:hAnsi="DejaVuSans" w:cs="DejaVuSans"/>
          <w:i/>
          <w:sz w:val="21"/>
          <w:szCs w:val="21"/>
        </w:rPr>
        <w:t>, procede desestimar la prescripción de la acción, puesto que no ha transcurrido el plazo de prescripción de diez años, previsto en el art. 121-20 del Código Civil de Catalunya, desde el dictado de las resoluciones de 23 de diciembre de 2015, hasta la interposición de la demanda principal objeto del presente procedimiento</w:t>
      </w:r>
      <w:r w:rsidRPr="00441ECA">
        <w:rPr>
          <w:rFonts w:ascii="DejaVuSans" w:hAnsi="DejaVuSans" w:cs="DejaVuSans"/>
          <w:sz w:val="21"/>
          <w:szCs w:val="21"/>
        </w:rPr>
        <w:t>.</w:t>
      </w:r>
      <w:r>
        <w:rPr>
          <w:rFonts w:ascii="DejaVuSans" w:hAnsi="DejaVuSans" w:cs="DejaVuSans"/>
          <w:sz w:val="21"/>
          <w:szCs w:val="21"/>
        </w:rPr>
        <w:t>”</w:t>
      </w:r>
    </w:p>
    <w:p w14:paraId="4C02EF61" w14:textId="0E083E71" w:rsidR="00177619" w:rsidRPr="00C47D8A" w:rsidRDefault="003B32FE" w:rsidP="00177619">
      <w:pPr>
        <w:spacing w:before="240" w:after="240" w:line="360" w:lineRule="auto"/>
        <w:jc w:val="both"/>
        <w:rPr>
          <w:rFonts w:ascii="Arial" w:hAnsi="Arial" w:cs="Arial"/>
          <w:strike/>
          <w:sz w:val="20"/>
          <w:szCs w:val="20"/>
        </w:rPr>
      </w:pPr>
      <w:r>
        <w:rPr>
          <w:rFonts w:ascii="Arial" w:hAnsi="Arial" w:cs="Arial"/>
          <w:sz w:val="20"/>
          <w:szCs w:val="20"/>
        </w:rPr>
        <w:t xml:space="preserve">Las anteriores resoluciones, </w:t>
      </w:r>
      <w:r w:rsidR="00177619" w:rsidRPr="00D94AA2">
        <w:rPr>
          <w:rFonts w:ascii="Arial" w:hAnsi="Arial" w:cs="Arial"/>
          <w:sz w:val="20"/>
          <w:szCs w:val="20"/>
        </w:rPr>
        <w:t xml:space="preserve">además, </w:t>
      </w:r>
      <w:bookmarkEnd w:id="29"/>
      <w:bookmarkEnd w:id="32"/>
      <w:r w:rsidR="00177619" w:rsidRPr="00D94AA2">
        <w:rPr>
          <w:rFonts w:ascii="Arial" w:hAnsi="Arial" w:cs="Arial"/>
          <w:sz w:val="20"/>
          <w:szCs w:val="20"/>
          <w:lang w:val="es-ES_tradnl"/>
        </w:rPr>
        <w:t xml:space="preserve">incluyen en su análisis otro elemento relevante tenido en cuenta por los diferentes Tribunales para valorar el </w:t>
      </w:r>
      <w:proofErr w:type="spellStart"/>
      <w:r w:rsidR="00177619" w:rsidRPr="00D94AA2">
        <w:rPr>
          <w:rFonts w:ascii="Arial" w:hAnsi="Arial" w:cs="Arial"/>
          <w:i/>
          <w:iCs/>
          <w:sz w:val="20"/>
          <w:szCs w:val="20"/>
          <w:lang w:val="es-ES_tradnl"/>
        </w:rPr>
        <w:t>dies</w:t>
      </w:r>
      <w:proofErr w:type="spellEnd"/>
      <w:r w:rsidR="00177619" w:rsidRPr="00D94AA2">
        <w:rPr>
          <w:rFonts w:ascii="Arial" w:hAnsi="Arial" w:cs="Arial"/>
          <w:i/>
          <w:iCs/>
          <w:sz w:val="20"/>
          <w:szCs w:val="20"/>
          <w:lang w:val="es-ES_tradnl"/>
        </w:rPr>
        <w:t xml:space="preserve"> a quo </w:t>
      </w:r>
      <w:r w:rsidR="00177619" w:rsidRPr="00D94AA2">
        <w:rPr>
          <w:rFonts w:ascii="Arial" w:hAnsi="Arial" w:cs="Arial"/>
          <w:sz w:val="20"/>
          <w:szCs w:val="20"/>
          <w:lang w:val="es-ES_tradnl"/>
        </w:rPr>
        <w:t xml:space="preserve">que no es otro que el conocimiento generalizado de la potencial </w:t>
      </w:r>
      <w:proofErr w:type="spellStart"/>
      <w:r w:rsidR="00177619" w:rsidRPr="00D94AA2">
        <w:rPr>
          <w:rFonts w:ascii="Arial" w:hAnsi="Arial" w:cs="Arial"/>
          <w:sz w:val="20"/>
          <w:szCs w:val="20"/>
          <w:lang w:val="es-ES_tradnl"/>
        </w:rPr>
        <w:t>abusividad</w:t>
      </w:r>
      <w:proofErr w:type="spellEnd"/>
      <w:r w:rsidR="00177619" w:rsidRPr="00D94AA2">
        <w:rPr>
          <w:rFonts w:ascii="Arial" w:hAnsi="Arial" w:cs="Arial"/>
          <w:sz w:val="20"/>
          <w:szCs w:val="20"/>
          <w:lang w:val="es-ES_tradnl"/>
        </w:rPr>
        <w:t xml:space="preserve"> de la cláusula. Muchos Tribunales, con carácter general, han venido fijando ese momento en la </w:t>
      </w:r>
      <w:r w:rsidR="00177619" w:rsidRPr="00D94AA2">
        <w:rPr>
          <w:rFonts w:ascii="Arial" w:hAnsi="Arial" w:cs="Arial"/>
          <w:sz w:val="20"/>
          <w:szCs w:val="20"/>
        </w:rPr>
        <w:t xml:space="preserve">Sentencia del Tribunal Supremo de 23 de diciembre de 2015 que se pronunció por primera vez sobre una acción colectiva de cesación interpuesta por la OCU en relación con nulidad por abusiva de varias cláusulas, entre ellas, la de imposición de gastos hipotecarios. </w:t>
      </w:r>
    </w:p>
    <w:p w14:paraId="27A644FD"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La litigación masiva en materia de consumo comenzó en 2013, momento en que existían “</w:t>
      </w:r>
      <w:r w:rsidRPr="00BE758C">
        <w:rPr>
          <w:rFonts w:ascii="Arial" w:hAnsi="Arial" w:cs="Arial"/>
          <w:i/>
          <w:iCs/>
          <w:sz w:val="20"/>
          <w:szCs w:val="20"/>
        </w:rPr>
        <w:t>agresivas campañas de publicidad</w:t>
      </w:r>
      <w:r w:rsidRPr="00BE758C">
        <w:rPr>
          <w:rFonts w:ascii="Arial" w:hAnsi="Arial" w:cs="Arial"/>
          <w:sz w:val="20"/>
          <w:szCs w:val="20"/>
        </w:rPr>
        <w:t>” y momento en que los consumidores tenían grandes facilidades para ejercitar sus derechos</w:t>
      </w:r>
      <w:r w:rsidRPr="00BE758C">
        <w:rPr>
          <w:rStyle w:val="Refdenotaalpie"/>
          <w:rFonts w:cs="Arial"/>
          <w:color w:val="000000"/>
          <w:sz w:val="20"/>
          <w:szCs w:val="20"/>
        </w:rPr>
        <w:footnoteReference w:id="24"/>
      </w:r>
      <w:r w:rsidRPr="00BE758C">
        <w:rPr>
          <w:rFonts w:ascii="Arial" w:hAnsi="Arial" w:cs="Arial"/>
          <w:sz w:val="20"/>
          <w:szCs w:val="20"/>
        </w:rPr>
        <w:t xml:space="preserve">. </w:t>
      </w:r>
    </w:p>
    <w:p w14:paraId="30B17534"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La Audiencia Provincial de Barcelona indicó que en noviembre de 2015 dictó su primera resolución en materia de gastos hipotecarios “</w:t>
      </w:r>
      <w:r w:rsidRPr="00BE758C">
        <w:rPr>
          <w:rFonts w:ascii="Arial" w:hAnsi="Arial" w:cs="Arial"/>
          <w:i/>
          <w:iCs/>
          <w:sz w:val="20"/>
          <w:szCs w:val="20"/>
          <w:lang w:val="es-ES_tradnl"/>
        </w:rPr>
        <w:t>antes que el propio Tribunal Supremo (Sentencia de 18 de noviembre de 2015), en un procedimiento iniciado a principios del año 2013 y cuando proliferaban este tipo de acciones</w:t>
      </w:r>
      <w:r w:rsidRPr="00BE758C">
        <w:rPr>
          <w:rFonts w:ascii="Arial" w:hAnsi="Arial" w:cs="Arial"/>
          <w:sz w:val="20"/>
          <w:szCs w:val="20"/>
          <w:lang w:val="es-ES_tradnl"/>
        </w:rPr>
        <w:t>”</w:t>
      </w:r>
    </w:p>
    <w:p w14:paraId="22EA16D2"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La Sentencia del Tribunal Supremo de 23 de diciembre de 2015 “</w:t>
      </w:r>
      <w:r w:rsidRPr="00BE758C">
        <w:rPr>
          <w:rFonts w:ascii="Arial" w:hAnsi="Arial" w:cs="Arial"/>
          <w:i/>
          <w:iCs/>
          <w:sz w:val="20"/>
          <w:szCs w:val="20"/>
          <w:lang w:val="es-ES_tradnl"/>
        </w:rPr>
        <w:t>se dictó en casación en un procedimiento iniciado muchos años antes, lo que prueba que los consumidores pudieron ejercitar la acción con mucha antelación</w:t>
      </w:r>
      <w:r w:rsidRPr="00BE758C">
        <w:rPr>
          <w:rFonts w:ascii="Arial" w:hAnsi="Arial" w:cs="Arial"/>
          <w:sz w:val="20"/>
          <w:szCs w:val="20"/>
          <w:lang w:val="es-ES_tradnl"/>
        </w:rPr>
        <w:t>”</w:t>
      </w:r>
      <w:r w:rsidRPr="00BE758C">
        <w:rPr>
          <w:rStyle w:val="Refdenotaalpie"/>
          <w:rFonts w:cs="Arial"/>
          <w:sz w:val="20"/>
          <w:szCs w:val="20"/>
          <w:lang w:val="es-ES_tradnl"/>
        </w:rPr>
        <w:footnoteReference w:id="25"/>
      </w:r>
      <w:r w:rsidRPr="00BE758C">
        <w:rPr>
          <w:rFonts w:ascii="Arial" w:hAnsi="Arial" w:cs="Arial"/>
          <w:sz w:val="20"/>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BE758C">
        <w:rPr>
          <w:rFonts w:ascii="Arial" w:hAnsi="Arial" w:cs="Arial"/>
          <w:sz w:val="20"/>
          <w:szCs w:val="20"/>
        </w:rPr>
        <w:t>con ocasión de las cláusulas suelo</w:t>
      </w:r>
      <w:r w:rsidRPr="00BE758C">
        <w:rPr>
          <w:rStyle w:val="Refdenotaalpie"/>
          <w:rFonts w:cs="Arial"/>
          <w:sz w:val="20"/>
          <w:szCs w:val="20"/>
        </w:rPr>
        <w:footnoteReference w:id="26"/>
      </w:r>
      <w:r w:rsidRPr="00BE758C">
        <w:rPr>
          <w:rFonts w:ascii="Arial" w:hAnsi="Arial" w:cs="Arial"/>
          <w:sz w:val="20"/>
          <w:szCs w:val="20"/>
        </w:rPr>
        <w:t xml:space="preserve">, para arrojar luz sobre el momento en que el consumidor tuvo razonable conocimiento de la potencial </w:t>
      </w:r>
      <w:proofErr w:type="spellStart"/>
      <w:r w:rsidRPr="00BE758C">
        <w:rPr>
          <w:rFonts w:ascii="Arial" w:hAnsi="Arial" w:cs="Arial"/>
          <w:sz w:val="20"/>
          <w:szCs w:val="20"/>
        </w:rPr>
        <w:t>abusividad</w:t>
      </w:r>
      <w:proofErr w:type="spellEnd"/>
      <w:r w:rsidRPr="00BE758C">
        <w:rPr>
          <w:rFonts w:ascii="Arial" w:hAnsi="Arial" w:cs="Arial"/>
          <w:sz w:val="20"/>
          <w:szCs w:val="20"/>
        </w:rPr>
        <w:t xml:space="preserve"> de la cláusula y pudo ejercitar la acción. </w:t>
      </w:r>
    </w:p>
    <w:p w14:paraId="097A4258" w14:textId="77777777" w:rsidR="00177619" w:rsidRPr="00D94AA2" w:rsidRDefault="00177619" w:rsidP="00177619">
      <w:pPr>
        <w:spacing w:before="240" w:after="240" w:line="360" w:lineRule="auto"/>
        <w:jc w:val="both"/>
        <w:rPr>
          <w:rFonts w:ascii="Arial" w:hAnsi="Arial" w:cs="Arial"/>
          <w:sz w:val="20"/>
          <w:szCs w:val="20"/>
        </w:rPr>
      </w:pPr>
      <w:bookmarkStart w:id="33" w:name="_Ref77332970"/>
      <w:r w:rsidRPr="00D94AA2">
        <w:rPr>
          <w:rFonts w:ascii="Arial" w:hAnsi="Arial" w:cs="Arial"/>
          <w:sz w:val="20"/>
          <w:szCs w:val="20"/>
        </w:rPr>
        <w:t xml:space="preserve">El Juzgado de Primera Instancia nº 20 de Barcelona acordó en su auto de 22 de julio de 2021 elevar cuestión prejudicial planteando exponiendo precisamente las tesis anteriores y solicitando </w:t>
      </w:r>
      <w:r w:rsidRPr="00D94AA2">
        <w:rPr>
          <w:rFonts w:ascii="Arial" w:hAnsi="Arial" w:cs="Arial"/>
          <w:sz w:val="20"/>
          <w:szCs w:val="20"/>
        </w:rPr>
        <w:lastRenderedPageBreak/>
        <w:t xml:space="preserve">al TJUE que se pronuncie sobre la compatibilidad con el Derecho Europeo de fijar el </w:t>
      </w:r>
      <w:proofErr w:type="spellStart"/>
      <w:r w:rsidRPr="00D94AA2">
        <w:rPr>
          <w:rFonts w:ascii="Arial" w:hAnsi="Arial" w:cs="Arial"/>
          <w:i/>
          <w:iCs/>
          <w:sz w:val="20"/>
          <w:szCs w:val="20"/>
        </w:rPr>
        <w:t>dies</w:t>
      </w:r>
      <w:proofErr w:type="spellEnd"/>
      <w:r w:rsidRPr="00D94AA2">
        <w:rPr>
          <w:rFonts w:ascii="Arial" w:hAnsi="Arial" w:cs="Arial"/>
          <w:i/>
          <w:iCs/>
          <w:sz w:val="20"/>
          <w:szCs w:val="20"/>
        </w:rPr>
        <w:t xml:space="preserve"> a quo</w:t>
      </w:r>
      <w:r w:rsidRPr="00D94AA2">
        <w:rPr>
          <w:rFonts w:ascii="Arial" w:hAnsi="Arial" w:cs="Arial"/>
          <w:sz w:val="20"/>
          <w:szCs w:val="20"/>
        </w:rPr>
        <w:t xml:space="preserve">: (i) en la declaración individual de nulidad (algo que ya ha descartado el propio Tribunal Supremo en el Auto Cuestión Prejudicial GH por ser contrario a la seguridad jurídica); (ii) en una sentencia del Tribunal Supremo declarando la </w:t>
      </w:r>
      <w:proofErr w:type="spellStart"/>
      <w:r w:rsidRPr="00D94AA2">
        <w:rPr>
          <w:rFonts w:ascii="Arial" w:hAnsi="Arial" w:cs="Arial"/>
          <w:sz w:val="20"/>
          <w:szCs w:val="20"/>
        </w:rPr>
        <w:t>abusividad</w:t>
      </w:r>
      <w:proofErr w:type="spellEnd"/>
      <w:r w:rsidRPr="00D94AA2">
        <w:rPr>
          <w:rFonts w:ascii="Arial" w:hAnsi="Arial" w:cs="Arial"/>
          <w:sz w:val="20"/>
          <w:szCs w:val="20"/>
        </w:rPr>
        <w:t xml:space="preserve"> de la cláusula (en referencia a la Sentencia del Tribunal Supremo de 23 de diciembre de 2015) “</w:t>
      </w:r>
      <w:r w:rsidRPr="00D94AA2">
        <w:rPr>
          <w:rFonts w:ascii="Arial" w:hAnsi="Arial" w:cs="Arial"/>
          <w:i/>
          <w:iCs/>
          <w:sz w:val="20"/>
          <w:szCs w:val="20"/>
          <w:lang w:val="es-ES_tradnl"/>
        </w:rPr>
        <w:t>con independencia de que el consumidor concreto conozca o no el contenido de esa sentencia</w:t>
      </w:r>
      <w:r w:rsidRPr="00D94AA2">
        <w:rPr>
          <w:rFonts w:ascii="Arial" w:hAnsi="Arial" w:cs="Arial"/>
          <w:sz w:val="20"/>
          <w:szCs w:val="20"/>
          <w:lang w:val="es-ES_tradnl"/>
        </w:rPr>
        <w:t>”</w:t>
      </w:r>
      <w:r w:rsidRPr="00D94AA2">
        <w:rPr>
          <w:rFonts w:ascii="Arial" w:hAnsi="Arial" w:cs="Arial"/>
          <w:sz w:val="20"/>
          <w:szCs w:val="20"/>
        </w:rPr>
        <w:t xml:space="preserve">; o (iii) en el pago efectivo de los gastos reclamados. </w:t>
      </w:r>
    </w:p>
    <w:p w14:paraId="445E48C5" w14:textId="77777777" w:rsidR="00177619" w:rsidRPr="00D94AA2" w:rsidRDefault="00177619" w:rsidP="00177619">
      <w:pPr>
        <w:spacing w:before="240" w:after="240" w:line="360" w:lineRule="auto"/>
        <w:jc w:val="both"/>
        <w:rPr>
          <w:rFonts w:ascii="Arial" w:hAnsi="Arial" w:cs="Arial"/>
          <w:sz w:val="20"/>
          <w:szCs w:val="20"/>
        </w:rPr>
      </w:pPr>
      <w:bookmarkStart w:id="34" w:name="_Hlk83302998"/>
      <w:r w:rsidRPr="00D94AA2">
        <w:rPr>
          <w:rFonts w:ascii="Arial" w:hAnsi="Arial" w:cs="Arial"/>
          <w:sz w:val="20"/>
          <w:szCs w:val="20"/>
        </w:rPr>
        <w:t xml:space="preserve">Teniendo lo anterior en mente, podemos afirmar que desde 2013 nos encontrábamos en un contexto de litigación masiva en materia de consumo con campañas agresivas de los despachos para fomentar este tipo de litigios. La Sentencia del Tribunal Supremo de 23 de diciembre de 2015 no fue más que un hito adicional y confirmatorio del conocimiento razonable de los consumidores que provocó una explosión en la litigación en esta materia concreta a partir de 2016. </w:t>
      </w:r>
      <w:bookmarkStart w:id="35" w:name="_Hlk80788323"/>
      <w:r w:rsidRPr="00D94AA2">
        <w:rPr>
          <w:rFonts w:ascii="Arial" w:hAnsi="Arial" w:cs="Arial"/>
          <w:sz w:val="20"/>
          <w:szCs w:val="20"/>
        </w:rPr>
        <w:t>Para cuando el Tribunal Supremo dictó la sentencia de 23 de enero de 2019, la litigación masiva en materia de gastos hipotecarios era sobradamente conocida y no existía un solo consumidor que no estuviera al tanto de la situación. Veámoslo:</w:t>
      </w:r>
      <w:bookmarkEnd w:id="33"/>
    </w:p>
    <w:bookmarkEnd w:id="34"/>
    <w:p w14:paraId="701A8F32"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45F46501" w14:textId="3328911C" w:rsidR="00177619" w:rsidRDefault="00177619" w:rsidP="001618DF">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BE758C">
        <w:rPr>
          <w:rFonts w:ascii="Arial" w:hAnsi="Arial" w:cs="Arial"/>
          <w:sz w:val="20"/>
          <w:szCs w:val="20"/>
        </w:rPr>
        <w:t>La STJUE de 14 de marzo de 2013 (</w:t>
      </w:r>
      <w:proofErr w:type="spellStart"/>
      <w:r w:rsidRPr="00BE758C">
        <w:rPr>
          <w:rFonts w:ascii="Arial" w:hAnsi="Arial" w:cs="Arial"/>
          <w:i/>
          <w:iCs/>
          <w:sz w:val="20"/>
          <w:szCs w:val="20"/>
        </w:rPr>
        <w:t>Aziz</w:t>
      </w:r>
      <w:proofErr w:type="spellEnd"/>
      <w:r w:rsidRPr="00BE758C">
        <w:rPr>
          <w:rFonts w:ascii="Arial" w:hAnsi="Arial" w:cs="Arial"/>
          <w:sz w:val="20"/>
          <w:szCs w:val="20"/>
        </w:rPr>
        <w:t>, C</w:t>
      </w:r>
      <w:r w:rsidRPr="00BE758C">
        <w:rPr>
          <w:rFonts w:ascii="Cambria Math" w:hAnsi="Cambria Math" w:cs="Cambria Math"/>
          <w:sz w:val="20"/>
          <w:szCs w:val="20"/>
        </w:rPr>
        <w:t>‑</w:t>
      </w:r>
      <w:r w:rsidRPr="00BE758C">
        <w:rPr>
          <w:rFonts w:ascii="Arial" w:hAnsi="Arial" w:cs="Arial"/>
          <w:sz w:val="20"/>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que ya se podía aventurar la importancia y alcance de ese control sobre el clausulado no negociado de los contratos de préstamo hipotecario. </w:t>
      </w:r>
    </w:p>
    <w:p w14:paraId="3653BFFB" w14:textId="77777777" w:rsidR="00C468FD" w:rsidRPr="00BE758C" w:rsidRDefault="00C468FD" w:rsidP="00C468FD">
      <w:pPr>
        <w:pStyle w:val="Prrafodelista"/>
        <w:spacing w:before="240" w:after="240" w:line="360" w:lineRule="auto"/>
        <w:ind w:left="1701"/>
        <w:contextualSpacing w:val="0"/>
        <w:jc w:val="both"/>
        <w:rPr>
          <w:rFonts w:ascii="Arial" w:hAnsi="Arial" w:cs="Arial"/>
          <w:sz w:val="20"/>
          <w:szCs w:val="20"/>
        </w:rPr>
      </w:pPr>
    </w:p>
    <w:p w14:paraId="4BD3AA4F" w14:textId="77777777" w:rsidR="00177619" w:rsidRPr="00BE758C" w:rsidRDefault="00177619" w:rsidP="001618DF">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BE758C">
        <w:rPr>
          <w:rFonts w:ascii="Arial" w:hAnsi="Arial" w:cs="Arial"/>
          <w:sz w:val="20"/>
          <w:szCs w:val="20"/>
        </w:rPr>
        <w:t xml:space="preserve">La Sentencia del Tribunal Supremo n.º 241/2013, de 9 de mayo que, en sede de una acción colectiva de cesación, declaró la nulidad por falta de transparencia y </w:t>
      </w:r>
      <w:proofErr w:type="spellStart"/>
      <w:r w:rsidRPr="00BE758C">
        <w:rPr>
          <w:rFonts w:ascii="Arial" w:hAnsi="Arial" w:cs="Arial"/>
          <w:sz w:val="20"/>
          <w:szCs w:val="20"/>
        </w:rPr>
        <w:t>abusividad</w:t>
      </w:r>
      <w:proofErr w:type="spellEnd"/>
      <w:r w:rsidRPr="00BE758C">
        <w:rPr>
          <w:rFonts w:ascii="Arial" w:hAnsi="Arial" w:cs="Arial"/>
          <w:sz w:val="20"/>
          <w:szCs w:val="20"/>
        </w:rPr>
        <w:t xml:space="preserve"> de las cláusulas suelo, configuró con extensión y detalle los derechos del consumidor (particularmente, los controles de incorporación, transparencia y </w:t>
      </w:r>
      <w:proofErr w:type="spellStart"/>
      <w:r w:rsidRPr="00BE758C">
        <w:rPr>
          <w:rFonts w:ascii="Arial" w:hAnsi="Arial" w:cs="Arial"/>
          <w:sz w:val="20"/>
          <w:szCs w:val="20"/>
        </w:rPr>
        <w:t>abusividad</w:t>
      </w:r>
      <w:proofErr w:type="spellEnd"/>
      <w:r w:rsidRPr="00BE758C">
        <w:rPr>
          <w:rFonts w:ascii="Arial" w:hAnsi="Arial" w:cs="Arial"/>
          <w:sz w:val="20"/>
          <w:szCs w:val="20"/>
        </w:rPr>
        <w:t xml:space="preserve">) y fue el detonante de la litigación relativa a las cláusulas abusivas en el ámbito específico de la suscripción de préstamos hipotecarios con consumidores.   </w:t>
      </w:r>
    </w:p>
    <w:p w14:paraId="12397577" w14:textId="77777777" w:rsidR="00177619" w:rsidRPr="00BE758C" w:rsidRDefault="00177619" w:rsidP="00177619">
      <w:pPr>
        <w:pStyle w:val="Prrafodelista"/>
        <w:spacing w:before="240" w:after="240" w:line="360" w:lineRule="auto"/>
        <w:ind w:left="1134"/>
        <w:contextualSpacing w:val="0"/>
        <w:jc w:val="both"/>
        <w:rPr>
          <w:rFonts w:ascii="Arial" w:hAnsi="Arial" w:cs="Arial"/>
          <w:sz w:val="20"/>
          <w:szCs w:val="20"/>
        </w:rPr>
      </w:pPr>
      <w:r w:rsidRPr="00BE758C">
        <w:rPr>
          <w:rFonts w:ascii="Arial" w:hAnsi="Arial" w:cs="Arial"/>
          <w:sz w:val="20"/>
          <w:szCs w:val="20"/>
        </w:rPr>
        <w:lastRenderedPageBreak/>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415C04C3"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contra sus respectivas entidades bancarias en relación con cláusulas que considerasen abusivas.</w:t>
      </w:r>
    </w:p>
    <w:bookmarkEnd w:id="35"/>
    <w:p w14:paraId="022F7EF7" w14:textId="77777777" w:rsidR="00177619" w:rsidRPr="00BE758C" w:rsidRDefault="00177619" w:rsidP="00177619">
      <w:pPr>
        <w:pStyle w:val="Prrafodelista"/>
        <w:spacing w:before="240" w:after="240" w:line="360" w:lineRule="auto"/>
        <w:ind w:left="1134"/>
        <w:contextualSpacing w:val="0"/>
        <w:jc w:val="both"/>
        <w:rPr>
          <w:rFonts w:ascii="Arial" w:hAnsi="Arial" w:cs="Arial"/>
          <w:sz w:val="20"/>
          <w:szCs w:val="20"/>
        </w:rPr>
      </w:pPr>
      <w:r w:rsidRPr="00BE758C">
        <w:rPr>
          <w:rFonts w:ascii="Arial" w:hAnsi="Arial" w:cs="Arial"/>
          <w:sz w:val="20"/>
          <w:szCs w:val="20"/>
        </w:rPr>
        <w:t xml:space="preserve">En este sentido, se aporta como </w:t>
      </w:r>
      <w:r w:rsidRPr="00D94AA2">
        <w:rPr>
          <w:rFonts w:ascii="Arial" w:hAnsi="Arial" w:cs="Arial"/>
          <w:b/>
          <w:bCs/>
          <w:sz w:val="20"/>
          <w:szCs w:val="20"/>
          <w:u w:val="single"/>
        </w:rPr>
        <w:t>bloque documental nº 1</w:t>
      </w:r>
      <w:r w:rsidRPr="00BE758C">
        <w:rPr>
          <w:rFonts w:ascii="Arial" w:hAnsi="Arial" w:cs="Arial"/>
          <w:sz w:val="20"/>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73268033" w14:textId="77777777" w:rsidR="00177619" w:rsidRPr="00BE758C" w:rsidRDefault="00177619" w:rsidP="00177619">
      <w:pPr>
        <w:pStyle w:val="Prrafodelista"/>
        <w:spacing w:before="240" w:after="240" w:line="360" w:lineRule="auto"/>
        <w:ind w:left="1134"/>
        <w:contextualSpacing w:val="0"/>
        <w:jc w:val="both"/>
        <w:rPr>
          <w:rFonts w:ascii="Arial" w:hAnsi="Arial" w:cs="Arial"/>
          <w:sz w:val="20"/>
          <w:szCs w:val="20"/>
        </w:rPr>
      </w:pPr>
      <w:r w:rsidRPr="00BE758C">
        <w:rPr>
          <w:rFonts w:ascii="Arial" w:hAnsi="Arial" w:cs="Arial"/>
          <w:sz w:val="20"/>
          <w:szCs w:val="20"/>
        </w:rPr>
        <w:t xml:space="preserve">Se aporta también como </w:t>
      </w:r>
      <w:r w:rsidRPr="00D94AA2">
        <w:rPr>
          <w:rFonts w:ascii="Arial" w:hAnsi="Arial" w:cs="Arial"/>
          <w:b/>
          <w:bCs/>
          <w:sz w:val="20"/>
          <w:szCs w:val="20"/>
          <w:u w:val="single"/>
        </w:rPr>
        <w:t>documento nº 2</w:t>
      </w:r>
      <w:r w:rsidRPr="00BE758C">
        <w:rPr>
          <w:rFonts w:ascii="Arial" w:hAnsi="Arial" w:cs="Arial"/>
          <w:sz w:val="20"/>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271126C2"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 xml:space="preserve">Durante 2015 se intensificó las campañas y las noticias en prensa en relación con la potencial </w:t>
      </w:r>
      <w:proofErr w:type="spellStart"/>
      <w:r w:rsidRPr="00BE758C">
        <w:rPr>
          <w:rFonts w:ascii="Arial" w:hAnsi="Arial" w:cs="Arial"/>
          <w:sz w:val="20"/>
          <w:szCs w:val="20"/>
        </w:rPr>
        <w:t>abusividad</w:t>
      </w:r>
      <w:proofErr w:type="spellEnd"/>
      <w:r w:rsidRPr="00BE758C">
        <w:rPr>
          <w:rFonts w:ascii="Arial" w:hAnsi="Arial" w:cs="Arial"/>
          <w:sz w:val="20"/>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D94AA2">
        <w:rPr>
          <w:rFonts w:ascii="Arial" w:hAnsi="Arial" w:cs="Arial"/>
          <w:b/>
          <w:bCs/>
          <w:sz w:val="20"/>
          <w:szCs w:val="20"/>
          <w:u w:val="single"/>
        </w:rPr>
        <w:t>bloque documental nº 3</w:t>
      </w:r>
      <w:r w:rsidRPr="00BE758C">
        <w:rPr>
          <w:rFonts w:ascii="Arial" w:hAnsi="Arial" w:cs="Arial"/>
          <w:sz w:val="20"/>
          <w:szCs w:val="20"/>
        </w:rPr>
        <w:t xml:space="preserve"> un conjunto de noticias de 2015 para ilustrar sobre el ambiente durante ese año. Sirva de ejemplo la noticia publicada el 30 de octubre de 2015 por </w:t>
      </w:r>
      <w:proofErr w:type="spellStart"/>
      <w:r w:rsidRPr="00BE758C">
        <w:rPr>
          <w:rFonts w:ascii="Arial" w:hAnsi="Arial" w:cs="Arial"/>
          <w:sz w:val="20"/>
          <w:szCs w:val="20"/>
        </w:rPr>
        <w:t>CincoDias</w:t>
      </w:r>
      <w:proofErr w:type="spellEnd"/>
      <w:r w:rsidRPr="00BE758C">
        <w:rPr>
          <w:rFonts w:ascii="Arial" w:hAnsi="Arial" w:cs="Arial"/>
          <w:sz w:val="20"/>
          <w:szCs w:val="20"/>
        </w:rPr>
        <w:t xml:space="preserve">,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w:t>
      </w:r>
      <w:r w:rsidRPr="00BE758C">
        <w:rPr>
          <w:rFonts w:ascii="Arial" w:hAnsi="Arial" w:cs="Arial"/>
          <w:sz w:val="20"/>
          <w:szCs w:val="20"/>
        </w:rPr>
        <w:lastRenderedPageBreak/>
        <w:t>abusivas y, de hecho, ya estaban ejerciendo su derecho a reclamar. No hay duda de que en ese momento ya existía una posibilidad real de ejercitar la acción.</w:t>
      </w:r>
    </w:p>
    <w:p w14:paraId="58089F31"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 xml:space="preserve">Por si lo anterior no fuera suficiente, el 23 de diciembre de 2015 se dictó la Sentencia del Tribunal Supremo por la que se declaró abusiva la cláusula de atribución de gastos hipotecarios. Esta sentencia, como se demuestra en el </w:t>
      </w:r>
      <w:r>
        <w:rPr>
          <w:rFonts w:ascii="Arial" w:hAnsi="Arial" w:cs="Arial"/>
          <w:b/>
          <w:bCs/>
          <w:sz w:val="20"/>
          <w:szCs w:val="20"/>
        </w:rPr>
        <w:t>bloque documental 1</w:t>
      </w:r>
      <w:r w:rsidRPr="00BE758C">
        <w:rPr>
          <w:rFonts w:ascii="Arial" w:hAnsi="Arial" w:cs="Arial"/>
          <w:sz w:val="20"/>
          <w:szCs w:val="20"/>
        </w:rPr>
        <w:t>, tuvo una gran difusión.</w:t>
      </w:r>
    </w:p>
    <w:p w14:paraId="5DCFF5E9"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 xml:space="preserve">Desde ese momento, los despachos de abogados y asociaciones especializados en la defensa de los intereses de consumidores comenzaron su campaña de publicidad más dirigida a esta cláusula en particular. Llama la atención que este cambio de rumbo en los despachos coincide con el fin del negocio de los 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BE758C">
        <w:rPr>
          <w:rFonts w:ascii="Arial" w:hAnsi="Arial" w:cs="Arial"/>
          <w:sz w:val="20"/>
          <w:szCs w:val="20"/>
        </w:rPr>
        <w:t>multidivisa</w:t>
      </w:r>
      <w:proofErr w:type="spellEnd"/>
      <w:r w:rsidRPr="00BE758C">
        <w:rPr>
          <w:rFonts w:ascii="Arial" w:hAnsi="Arial" w:cs="Arial"/>
          <w:sz w:val="20"/>
          <w:szCs w:val="20"/>
        </w:rPr>
        <w:t xml:space="preserve"> (producto donde desde 2014 existían campañas promoviendo la litigiosidad) y gastos hipotecarios, aprovechando el pronunciamiento del Tribunal Supremo.</w:t>
      </w:r>
    </w:p>
    <w:p w14:paraId="0E19E70E" w14:textId="77777777" w:rsidR="00177619" w:rsidRPr="00BE758C" w:rsidRDefault="00177619" w:rsidP="00177619">
      <w:pPr>
        <w:pStyle w:val="Prrafodelista"/>
        <w:spacing w:before="240" w:after="240" w:line="360" w:lineRule="auto"/>
        <w:ind w:left="1134"/>
        <w:contextualSpacing w:val="0"/>
        <w:jc w:val="both"/>
        <w:rPr>
          <w:rFonts w:ascii="Arial" w:hAnsi="Arial" w:cs="Arial"/>
          <w:sz w:val="20"/>
          <w:szCs w:val="20"/>
          <w:lang w:val="es-ES_tradnl"/>
        </w:rPr>
      </w:pPr>
      <w:r w:rsidRPr="00BE758C">
        <w:rPr>
          <w:rFonts w:ascii="Arial" w:hAnsi="Arial" w:cs="Arial"/>
          <w:sz w:val="20"/>
          <w:szCs w:val="20"/>
          <w:lang w:val="es-ES_tradnl"/>
        </w:rPr>
        <w:t xml:space="preserve">Aportamos como </w:t>
      </w:r>
      <w:r>
        <w:rPr>
          <w:rFonts w:ascii="Arial" w:hAnsi="Arial" w:cs="Arial"/>
          <w:b/>
          <w:bCs/>
          <w:sz w:val="20"/>
          <w:szCs w:val="20"/>
          <w:lang w:val="es-ES_tradnl"/>
        </w:rPr>
        <w:t>bloque documental nº 3</w:t>
      </w:r>
      <w:r w:rsidRPr="00BE758C">
        <w:rPr>
          <w:rFonts w:ascii="Arial" w:hAnsi="Arial" w:cs="Arial"/>
          <w:sz w:val="20"/>
          <w:szCs w:val="20"/>
          <w:lang w:val="es-ES_tradnl"/>
        </w:rPr>
        <w:t xml:space="preserve"> un conjunto de noticias de 2016 y principios de 2017 donde se evidencia este cambio de foco en la litigiosidad. </w:t>
      </w:r>
    </w:p>
    <w:p w14:paraId="12C1BDC9" w14:textId="77777777" w:rsidR="00177619" w:rsidRPr="00BE758C" w:rsidRDefault="00177619" w:rsidP="001618DF">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BE758C">
        <w:rPr>
          <w:rFonts w:ascii="Arial" w:hAnsi="Arial" w:cs="Arial"/>
          <w:sz w:val="20"/>
          <w:szCs w:val="20"/>
        </w:rPr>
        <w:t>Con este objetivo de reconducir el negocio, las campañas agresivas de los despachos se reforzaron más si cabe desde finales de 2016 en adelante con cobertura muy amplia en periódicos, todo tipo de redes sociales, televisión, radio e incluso campañas publicitarias en autobuses. A título de ejemplo:</w:t>
      </w:r>
    </w:p>
    <w:p w14:paraId="2D9A7640" w14:textId="77777777" w:rsidR="00177619" w:rsidRPr="00BE758C" w:rsidRDefault="00177619" w:rsidP="001618DF">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BE758C">
        <w:rPr>
          <w:rFonts w:ascii="Arial" w:hAnsi="Arial" w:cs="Arial"/>
          <w:sz w:val="20"/>
          <w:szCs w:val="20"/>
        </w:rPr>
        <w:t xml:space="preserve">Se aporta como </w:t>
      </w:r>
      <w:r>
        <w:rPr>
          <w:rFonts w:ascii="Arial" w:hAnsi="Arial" w:cs="Arial"/>
          <w:b/>
          <w:bCs/>
          <w:sz w:val="20"/>
          <w:szCs w:val="20"/>
        </w:rPr>
        <w:t>documento nº 2</w:t>
      </w:r>
      <w:r w:rsidRPr="00BE758C">
        <w:rPr>
          <w:rFonts w:ascii="Arial" w:hAnsi="Arial" w:cs="Arial"/>
          <w:sz w:val="20"/>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BE758C">
        <w:rPr>
          <w:rStyle w:val="Refdenotaalpie"/>
          <w:rFonts w:cs="Arial"/>
          <w:sz w:val="20"/>
          <w:szCs w:val="20"/>
        </w:rPr>
        <w:footnoteReference w:id="27"/>
      </w:r>
      <w:r w:rsidRPr="00BE758C">
        <w:rPr>
          <w:rFonts w:ascii="Arial" w:hAnsi="Arial" w:cs="Arial"/>
          <w:sz w:val="20"/>
          <w:szCs w:val="20"/>
        </w:rPr>
        <w:t>. Dicha campaña tuvo difusión en televisión, radio y banners en medios de transporte públicos de todo España.</w:t>
      </w:r>
    </w:p>
    <w:p w14:paraId="19B751DD" w14:textId="77777777" w:rsidR="00177619" w:rsidRPr="00BE758C" w:rsidRDefault="00177619" w:rsidP="001618DF">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BE758C">
        <w:rPr>
          <w:rFonts w:ascii="Arial" w:hAnsi="Arial" w:cs="Arial"/>
          <w:sz w:val="20"/>
          <w:szCs w:val="20"/>
        </w:rPr>
        <w:t xml:space="preserve">Bufete Rosales también publicó campañas para incentivar las reclamaciones en la materia, como se observa en las publicaciones realizadas en </w:t>
      </w:r>
      <w:proofErr w:type="spellStart"/>
      <w:r w:rsidRPr="00BE758C">
        <w:rPr>
          <w:rFonts w:ascii="Arial" w:hAnsi="Arial" w:cs="Arial"/>
          <w:sz w:val="20"/>
          <w:szCs w:val="20"/>
        </w:rPr>
        <w:t>Youtube</w:t>
      </w:r>
      <w:proofErr w:type="spellEnd"/>
      <w:r w:rsidRPr="00BE758C">
        <w:rPr>
          <w:rFonts w:ascii="Arial" w:hAnsi="Arial" w:cs="Arial"/>
          <w:sz w:val="20"/>
          <w:szCs w:val="20"/>
        </w:rPr>
        <w:t>:</w:t>
      </w:r>
    </w:p>
    <w:p w14:paraId="28CC523E" w14:textId="77777777" w:rsidR="00177619" w:rsidRPr="00BE758C" w:rsidRDefault="00000000" w:rsidP="00177619">
      <w:pPr>
        <w:pStyle w:val="Prrafodelista"/>
        <w:spacing w:before="240" w:after="240" w:line="360" w:lineRule="auto"/>
        <w:ind w:left="1701"/>
        <w:contextualSpacing w:val="0"/>
        <w:jc w:val="both"/>
        <w:rPr>
          <w:rFonts w:ascii="Arial" w:hAnsi="Arial" w:cs="Arial"/>
          <w:sz w:val="20"/>
          <w:szCs w:val="20"/>
        </w:rPr>
      </w:pPr>
      <w:hyperlink r:id="rId9" w:history="1">
        <w:r w:rsidR="00177619" w:rsidRPr="00BE758C">
          <w:rPr>
            <w:rStyle w:val="Hipervnculo"/>
            <w:rFonts w:ascii="Arial" w:hAnsi="Arial" w:cs="Arial"/>
            <w:sz w:val="20"/>
            <w:szCs w:val="20"/>
          </w:rPr>
          <w:t>Gastos Hipotecarios I. ¿Qué dice la sentencia del TS? - YouTube</w:t>
        </w:r>
      </w:hyperlink>
    </w:p>
    <w:p w14:paraId="417BEEE3" w14:textId="77777777" w:rsidR="00177619" w:rsidRPr="00BE758C" w:rsidRDefault="00000000" w:rsidP="00177619">
      <w:pPr>
        <w:pStyle w:val="Prrafodelista"/>
        <w:spacing w:before="240" w:after="240" w:line="360" w:lineRule="auto"/>
        <w:ind w:left="1701"/>
        <w:contextualSpacing w:val="0"/>
        <w:jc w:val="both"/>
        <w:rPr>
          <w:rFonts w:ascii="Arial" w:hAnsi="Arial" w:cs="Arial"/>
          <w:sz w:val="20"/>
          <w:szCs w:val="20"/>
        </w:rPr>
      </w:pPr>
      <w:hyperlink r:id="rId10" w:history="1">
        <w:r w:rsidR="00177619" w:rsidRPr="00BE758C">
          <w:rPr>
            <w:rStyle w:val="Hipervnculo"/>
            <w:rFonts w:ascii="Arial" w:hAnsi="Arial" w:cs="Arial"/>
            <w:sz w:val="20"/>
            <w:szCs w:val="20"/>
          </w:rPr>
          <w:t>Gastos Hipotecarios II ¿Qué significa ese fallo? - YouTube</w:t>
        </w:r>
      </w:hyperlink>
    </w:p>
    <w:p w14:paraId="4A88568D" w14:textId="77777777" w:rsidR="00177619" w:rsidRPr="00BE758C" w:rsidRDefault="00000000" w:rsidP="00177619">
      <w:pPr>
        <w:pStyle w:val="Prrafodelista"/>
        <w:spacing w:before="240" w:after="240" w:line="360" w:lineRule="auto"/>
        <w:ind w:left="1701"/>
        <w:contextualSpacing w:val="0"/>
        <w:jc w:val="both"/>
        <w:rPr>
          <w:rFonts w:ascii="Arial" w:hAnsi="Arial" w:cs="Arial"/>
          <w:sz w:val="20"/>
          <w:szCs w:val="20"/>
        </w:rPr>
      </w:pPr>
      <w:hyperlink r:id="rId11" w:history="1">
        <w:r w:rsidR="00177619" w:rsidRPr="00BE758C">
          <w:rPr>
            <w:rStyle w:val="Hipervnculo"/>
            <w:rFonts w:ascii="Arial" w:hAnsi="Arial" w:cs="Arial"/>
            <w:sz w:val="20"/>
            <w:szCs w:val="20"/>
          </w:rPr>
          <w:t>Gastos Hipotecarios III ¿Qué gastos puedo reclamar al banco? - YouTube</w:t>
        </w:r>
      </w:hyperlink>
    </w:p>
    <w:p w14:paraId="6B6D4220" w14:textId="77777777" w:rsidR="00177619" w:rsidRPr="00BE758C" w:rsidRDefault="00000000" w:rsidP="00177619">
      <w:pPr>
        <w:pStyle w:val="Prrafodelista"/>
        <w:spacing w:before="240" w:after="240" w:line="360" w:lineRule="auto"/>
        <w:ind w:left="1701"/>
        <w:contextualSpacing w:val="0"/>
        <w:jc w:val="both"/>
        <w:rPr>
          <w:rFonts w:ascii="Arial" w:hAnsi="Arial" w:cs="Arial"/>
          <w:sz w:val="20"/>
          <w:szCs w:val="20"/>
        </w:rPr>
      </w:pPr>
      <w:hyperlink r:id="rId12" w:history="1">
        <w:r w:rsidR="00177619" w:rsidRPr="00BE758C">
          <w:rPr>
            <w:rStyle w:val="Hipervnculo"/>
            <w:rFonts w:ascii="Arial" w:hAnsi="Arial" w:cs="Arial"/>
            <w:sz w:val="20"/>
            <w:szCs w:val="20"/>
          </w:rPr>
          <w:t>Gastos Hipotecarios IV ¿Qué documentos tengo que acompañar a la demanda? - YouTube</w:t>
        </w:r>
      </w:hyperlink>
    </w:p>
    <w:p w14:paraId="598EBCD6" w14:textId="77777777" w:rsidR="00177619" w:rsidRPr="00BE758C" w:rsidRDefault="00177619" w:rsidP="001618DF">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BE758C">
        <w:rPr>
          <w:rFonts w:ascii="Arial" w:hAnsi="Arial" w:cs="Arial"/>
          <w:sz w:val="20"/>
          <w:szCs w:val="20"/>
        </w:rPr>
        <w:t xml:space="preserve">Se aporta igualmente como </w:t>
      </w:r>
      <w:r>
        <w:rPr>
          <w:rFonts w:ascii="Arial" w:hAnsi="Arial" w:cs="Arial"/>
          <w:b/>
          <w:bCs/>
          <w:sz w:val="20"/>
          <w:szCs w:val="20"/>
        </w:rPr>
        <w:t>bloque documental nº 3</w:t>
      </w:r>
      <w:r w:rsidRPr="00BE758C">
        <w:rPr>
          <w:rFonts w:ascii="Arial" w:hAnsi="Arial" w:cs="Arial"/>
          <w:sz w:val="20"/>
          <w:szCs w:val="20"/>
        </w:rPr>
        <w:t>, conjunto de noticias publicadas en diferentes diarios a principios de 2017 donde se ofrece a los consumidores información clara sobre los pasos a seguir para reclamar. Dichas campañas se extendieron también a programas de televisión, como se observa en la entrevista realizada a ADICAE el 11 de enero de 2017 en el programa de La Sexta “Más Vale Tarde”</w:t>
      </w:r>
      <w:r w:rsidRPr="00BE758C">
        <w:rPr>
          <w:rStyle w:val="Refdenotaalpie"/>
          <w:rFonts w:cs="Arial"/>
          <w:sz w:val="20"/>
          <w:szCs w:val="20"/>
        </w:rPr>
        <w:footnoteReference w:id="28"/>
      </w:r>
      <w:r w:rsidRPr="00BE758C">
        <w:rPr>
          <w:rFonts w:ascii="Arial" w:hAnsi="Arial" w:cs="Arial"/>
          <w:sz w:val="20"/>
          <w:szCs w:val="20"/>
        </w:rPr>
        <w:t>.</w:t>
      </w:r>
    </w:p>
    <w:p w14:paraId="53EF3748" w14:textId="1F6363B6" w:rsidR="00177619" w:rsidRPr="00D94AA2" w:rsidRDefault="00177619" w:rsidP="00177619">
      <w:pPr>
        <w:spacing w:before="240" w:after="240" w:line="360" w:lineRule="auto"/>
        <w:jc w:val="both"/>
        <w:rPr>
          <w:rFonts w:ascii="Arial" w:hAnsi="Arial" w:cs="Arial"/>
          <w:sz w:val="20"/>
          <w:szCs w:val="20"/>
        </w:rPr>
      </w:pPr>
      <w:r w:rsidRPr="00D94AA2">
        <w:rPr>
          <w:rFonts w:ascii="Arial" w:hAnsi="Arial" w:cs="Arial"/>
          <w:sz w:val="20"/>
          <w:szCs w:val="20"/>
        </w:rPr>
        <w:t xml:space="preserve">En definitiva, la propia </w:t>
      </w:r>
      <w:r w:rsidRPr="00C47D8A">
        <w:rPr>
          <w:rFonts w:ascii="Arial" w:hAnsi="Arial" w:cs="Arial"/>
          <w:bCs/>
          <w:sz w:val="20"/>
          <w:szCs w:val="20"/>
        </w:rPr>
        <w:t xml:space="preserve">jurisprudencia ya ha analizado en detalle esta cuestión y ha determinado que el </w:t>
      </w:r>
      <w:proofErr w:type="spellStart"/>
      <w:r w:rsidRPr="00C47D8A">
        <w:rPr>
          <w:rFonts w:ascii="Arial" w:hAnsi="Arial" w:cs="Arial"/>
          <w:bCs/>
          <w:sz w:val="20"/>
          <w:szCs w:val="20"/>
        </w:rPr>
        <w:t>dies</w:t>
      </w:r>
      <w:proofErr w:type="spellEnd"/>
      <w:r w:rsidRPr="00C47D8A">
        <w:rPr>
          <w:rFonts w:ascii="Arial" w:hAnsi="Arial" w:cs="Arial"/>
          <w:bCs/>
          <w:sz w:val="20"/>
          <w:szCs w:val="20"/>
        </w:rPr>
        <w:t xml:space="preserve"> a quo a tener en cuenta debe ser </w:t>
      </w:r>
      <w:r w:rsidR="00C47D8A" w:rsidRPr="00C47D8A">
        <w:rPr>
          <w:rFonts w:ascii="Arial" w:hAnsi="Arial" w:cs="Arial"/>
          <w:bCs/>
          <w:sz w:val="20"/>
          <w:szCs w:val="20"/>
        </w:rPr>
        <w:t>la fecha de publicación de</w:t>
      </w:r>
      <w:r w:rsidR="00C47D8A" w:rsidRPr="00C47D8A">
        <w:rPr>
          <w:rFonts w:ascii="Arial" w:hAnsi="Arial" w:cs="Arial"/>
          <w:b/>
          <w:bCs/>
          <w:sz w:val="20"/>
          <w:szCs w:val="20"/>
        </w:rPr>
        <w:t xml:space="preserve"> la Sentencia del Tribunal Supremo de 23 de diciembre de 2015</w:t>
      </w:r>
      <w:r w:rsidRPr="00D94AA2">
        <w:rPr>
          <w:rFonts w:ascii="Arial" w:hAnsi="Arial" w:cs="Arial"/>
          <w:bCs/>
          <w:sz w:val="20"/>
          <w:szCs w:val="20"/>
        </w:rPr>
        <w:t xml:space="preserve">, conocimiento que ya existía con carácter general en 2013 y que, específicamente en relación </w:t>
      </w:r>
      <w:r w:rsidRPr="00C47D8A">
        <w:rPr>
          <w:rFonts w:ascii="Arial" w:hAnsi="Arial" w:cs="Arial"/>
          <w:sz w:val="20"/>
          <w:szCs w:val="20"/>
        </w:rPr>
        <w:t>con</w:t>
      </w:r>
      <w:r w:rsidRPr="00D94AA2">
        <w:rPr>
          <w:rFonts w:ascii="Arial" w:hAnsi="Arial" w:cs="Arial"/>
          <w:bCs/>
          <w:sz w:val="20"/>
          <w:szCs w:val="20"/>
        </w:rPr>
        <w:t xml:space="preserve"> la potencial </w:t>
      </w:r>
      <w:proofErr w:type="spellStart"/>
      <w:r w:rsidRPr="00D94AA2">
        <w:rPr>
          <w:rFonts w:ascii="Arial" w:hAnsi="Arial" w:cs="Arial"/>
          <w:bCs/>
          <w:sz w:val="20"/>
          <w:szCs w:val="20"/>
        </w:rPr>
        <w:t>abusividad</w:t>
      </w:r>
      <w:proofErr w:type="spellEnd"/>
      <w:r w:rsidRPr="00D94AA2">
        <w:rPr>
          <w:rFonts w:ascii="Arial" w:hAnsi="Arial" w:cs="Arial"/>
          <w:bCs/>
          <w:sz w:val="20"/>
          <w:szCs w:val="20"/>
        </w:rPr>
        <w:t xml:space="preserve"> de la </w:t>
      </w:r>
      <w:r w:rsidRPr="00D94AA2">
        <w:rPr>
          <w:rFonts w:ascii="Arial" w:hAnsi="Arial" w:cs="Arial"/>
          <w:sz w:val="20"/>
          <w:szCs w:val="20"/>
        </w:rPr>
        <w:t>cláusula de imposición de los gastos hipotecarios</w:t>
      </w:r>
      <w:r w:rsidRPr="00D94AA2">
        <w:rPr>
          <w:rFonts w:ascii="Arial" w:hAnsi="Arial" w:cs="Arial"/>
          <w:bCs/>
          <w:sz w:val="20"/>
          <w:szCs w:val="20"/>
        </w:rPr>
        <w:t xml:space="preserve"> no hay duda que se produjo como tarde a finales de 2015, con la difusión de la Sentencia del Tribunal Supremo de 23 de diciembre de 2015. </w:t>
      </w:r>
    </w:p>
    <w:p w14:paraId="1B28A152" w14:textId="77777777" w:rsidR="00177619" w:rsidRPr="00D94AA2" w:rsidRDefault="00177619" w:rsidP="00177619">
      <w:pPr>
        <w:spacing w:before="240" w:after="240" w:line="360" w:lineRule="auto"/>
        <w:jc w:val="both"/>
        <w:rPr>
          <w:rFonts w:ascii="Arial" w:hAnsi="Arial" w:cs="Arial"/>
          <w:sz w:val="20"/>
          <w:szCs w:val="20"/>
        </w:rPr>
      </w:pPr>
      <w:r w:rsidRPr="00D94AA2">
        <w:rPr>
          <w:rFonts w:ascii="Arial" w:hAnsi="Arial" w:cs="Arial"/>
          <w:sz w:val="20"/>
          <w:szCs w:val="20"/>
        </w:rPr>
        <w:t>Todo lo anterior se hizo si cabe aún más patente a partir de 2016 cuando las campañas agresivas de los despachos se dirigieron específicamente a las reclamaciones de gastos hipotecarios.</w:t>
      </w:r>
      <w:r w:rsidRPr="00D94AA2">
        <w:rPr>
          <w:rFonts w:ascii="Arial" w:hAnsi="Arial" w:cs="Arial"/>
          <w:bCs/>
          <w:sz w:val="20"/>
          <w:szCs w:val="20"/>
        </w:rPr>
        <w:t xml:space="preserve"> </w:t>
      </w:r>
    </w:p>
    <w:p w14:paraId="00C18A4E" w14:textId="77777777" w:rsidR="00177619" w:rsidRPr="00D94AA2" w:rsidRDefault="00177619" w:rsidP="00177619">
      <w:pPr>
        <w:spacing w:before="240" w:after="240" w:line="360" w:lineRule="auto"/>
        <w:jc w:val="both"/>
        <w:rPr>
          <w:rFonts w:ascii="Arial" w:hAnsi="Arial" w:cs="Arial"/>
          <w:sz w:val="20"/>
          <w:szCs w:val="20"/>
        </w:rPr>
      </w:pPr>
      <w:r w:rsidRPr="00D94AA2">
        <w:rPr>
          <w:rFonts w:ascii="Arial" w:hAnsi="Arial" w:cs="Arial"/>
          <w:bCs/>
          <w:sz w:val="20"/>
          <w:szCs w:val="20"/>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D94AA2">
        <w:rPr>
          <w:rFonts w:ascii="Arial" w:hAnsi="Arial" w:cs="Arial"/>
          <w:bCs/>
          <w:sz w:val="20"/>
          <w:szCs w:val="20"/>
        </w:rPr>
        <w:t>abusividad</w:t>
      </w:r>
      <w:proofErr w:type="spellEnd"/>
      <w:r w:rsidRPr="00D94AA2">
        <w:rPr>
          <w:rFonts w:ascii="Arial" w:hAnsi="Arial" w:cs="Arial"/>
          <w:bCs/>
          <w:sz w:val="20"/>
          <w:szCs w:val="20"/>
        </w:rPr>
        <w:t xml:space="preserve">). </w:t>
      </w:r>
    </w:p>
    <w:p w14:paraId="1BE378B4" w14:textId="77777777" w:rsidR="00177619" w:rsidRPr="00BE758C" w:rsidRDefault="00177619" w:rsidP="001618DF">
      <w:pPr>
        <w:pStyle w:val="Prrafodelista"/>
        <w:keepNext/>
        <w:numPr>
          <w:ilvl w:val="0"/>
          <w:numId w:val="23"/>
        </w:numPr>
        <w:spacing w:before="240" w:after="240" w:line="360" w:lineRule="auto"/>
        <w:ind w:left="567" w:hanging="578"/>
        <w:contextualSpacing w:val="0"/>
        <w:jc w:val="both"/>
        <w:rPr>
          <w:rFonts w:ascii="Arial" w:hAnsi="Arial" w:cs="Arial"/>
          <w:b/>
          <w:color w:val="000000"/>
          <w:sz w:val="20"/>
          <w:szCs w:val="20"/>
        </w:rPr>
      </w:pPr>
      <w:r w:rsidRPr="00BE758C">
        <w:rPr>
          <w:rFonts w:ascii="Arial" w:hAnsi="Arial" w:cs="Arial"/>
          <w:b/>
          <w:color w:val="000000"/>
          <w:sz w:val="20"/>
          <w:szCs w:val="20"/>
        </w:rPr>
        <w:t>Aplicación del plazo al caso concreto: la acción restitutoria ha prescrito</w:t>
      </w:r>
    </w:p>
    <w:p w14:paraId="4EC7AC2F" w14:textId="3C91D624" w:rsidR="00A66A7C" w:rsidRDefault="00A66A7C" w:rsidP="005703E7">
      <w:pPr>
        <w:keepNext/>
        <w:spacing w:before="240" w:after="240" w:line="360" w:lineRule="auto"/>
        <w:ind w:left="-11"/>
        <w:jc w:val="both"/>
        <w:rPr>
          <w:rFonts w:ascii="Arial" w:hAnsi="Arial" w:cs="Arial"/>
          <w:bCs/>
          <w:sz w:val="20"/>
          <w:szCs w:val="20"/>
        </w:rPr>
      </w:pPr>
      <w:r>
        <w:rPr>
          <w:rFonts w:ascii="Arial" w:hAnsi="Arial" w:cs="Arial"/>
          <w:bCs/>
          <w:sz w:val="20"/>
          <w:szCs w:val="20"/>
        </w:rPr>
        <w:t xml:space="preserve">Esta parte sostiene que el </w:t>
      </w:r>
      <w:proofErr w:type="spellStart"/>
      <w:r w:rsidRPr="00A66A7C">
        <w:rPr>
          <w:rFonts w:ascii="Arial" w:hAnsi="Arial" w:cs="Arial"/>
          <w:bCs/>
          <w:i/>
          <w:sz w:val="20"/>
          <w:szCs w:val="20"/>
        </w:rPr>
        <w:t>dies</w:t>
      </w:r>
      <w:proofErr w:type="spellEnd"/>
      <w:r w:rsidRPr="00A66A7C">
        <w:rPr>
          <w:rFonts w:ascii="Arial" w:hAnsi="Arial" w:cs="Arial"/>
          <w:bCs/>
          <w:i/>
          <w:sz w:val="20"/>
          <w:szCs w:val="20"/>
        </w:rPr>
        <w:t xml:space="preserve"> a quo</w:t>
      </w:r>
      <w:r>
        <w:rPr>
          <w:rFonts w:ascii="Arial" w:hAnsi="Arial" w:cs="Arial"/>
          <w:bCs/>
          <w:sz w:val="20"/>
          <w:szCs w:val="20"/>
        </w:rPr>
        <w:t xml:space="preserve"> comienza a partir de la fecha de publicación de la Sentencia del Tribunal Supremo de 23 de diciembre de 2015, esto es el 21 de enero de 2016. </w:t>
      </w:r>
      <w:r w:rsidR="005703E7">
        <w:rPr>
          <w:rFonts w:ascii="Arial" w:hAnsi="Arial" w:cs="Arial"/>
          <w:bCs/>
          <w:sz w:val="20"/>
          <w:szCs w:val="20"/>
        </w:rPr>
        <w:t xml:space="preserve">Asimismo, consideramos que el plazo de prescripción que debe aplicarse es el plazo general de 5 años del </w:t>
      </w:r>
      <w:r w:rsidR="005703E7">
        <w:rPr>
          <w:rFonts w:ascii="Arial" w:hAnsi="Arial" w:cs="Arial"/>
          <w:bCs/>
          <w:sz w:val="20"/>
          <w:szCs w:val="20"/>
        </w:rPr>
        <w:lastRenderedPageBreak/>
        <w:t xml:space="preserve">artículo </w:t>
      </w:r>
      <w:r>
        <w:rPr>
          <w:rFonts w:ascii="Arial" w:hAnsi="Arial" w:cs="Arial"/>
          <w:bCs/>
          <w:sz w:val="20"/>
          <w:szCs w:val="20"/>
        </w:rPr>
        <w:t>1964</w:t>
      </w:r>
      <w:r w:rsidR="005703E7">
        <w:rPr>
          <w:rFonts w:ascii="Arial" w:hAnsi="Arial" w:cs="Arial"/>
          <w:bCs/>
          <w:sz w:val="20"/>
          <w:szCs w:val="20"/>
        </w:rPr>
        <w:t>.2 del C</w:t>
      </w:r>
      <w:r w:rsidR="000877B4">
        <w:rPr>
          <w:rFonts w:ascii="Arial" w:hAnsi="Arial" w:cs="Arial"/>
          <w:bCs/>
          <w:sz w:val="20"/>
          <w:szCs w:val="20"/>
        </w:rPr>
        <w:t>ódigo Civil, en su nueva redacción.</w:t>
      </w:r>
      <w:r w:rsidR="005703E7">
        <w:rPr>
          <w:rFonts w:ascii="Arial" w:hAnsi="Arial" w:cs="Arial"/>
          <w:bCs/>
          <w:sz w:val="20"/>
          <w:szCs w:val="20"/>
        </w:rPr>
        <w:t xml:space="preserve"> Por lo que, el consumidor dispone hasta el 13 de abril de 2021 para ejercitar sus derechos. </w:t>
      </w:r>
      <w:r>
        <w:rPr>
          <w:rFonts w:ascii="Arial" w:hAnsi="Arial" w:cs="Arial"/>
          <w:bCs/>
          <w:sz w:val="20"/>
          <w:szCs w:val="20"/>
        </w:rPr>
        <w:t xml:space="preserve"> </w:t>
      </w:r>
    </w:p>
    <w:p w14:paraId="41D0EF48" w14:textId="119FCC65" w:rsidR="000877B4" w:rsidRDefault="000877B4" w:rsidP="005703E7">
      <w:pPr>
        <w:keepNext/>
        <w:spacing w:before="240" w:after="240" w:line="360" w:lineRule="auto"/>
        <w:ind w:left="-11"/>
        <w:jc w:val="both"/>
        <w:rPr>
          <w:rFonts w:ascii="Arial" w:hAnsi="Arial" w:cs="Arial"/>
          <w:bCs/>
          <w:sz w:val="20"/>
          <w:szCs w:val="20"/>
        </w:rPr>
      </w:pPr>
      <w:r w:rsidRPr="000877B4">
        <w:rPr>
          <w:rFonts w:ascii="Arial" w:hAnsi="Arial" w:cs="Arial"/>
          <w:bCs/>
          <w:sz w:val="20"/>
          <w:szCs w:val="20"/>
          <w:highlight w:val="yellow"/>
        </w:rPr>
        <w:t>SI TENEMOS RECL. EXTRAJUDICIAL</w:t>
      </w:r>
    </w:p>
    <w:p w14:paraId="4EDCECBC" w14:textId="3F94C51E" w:rsidR="00C47D8A" w:rsidRDefault="00C47D8A" w:rsidP="00177619">
      <w:pPr>
        <w:keepNext/>
        <w:spacing w:before="240" w:after="240" w:line="360" w:lineRule="auto"/>
        <w:ind w:left="-11"/>
        <w:jc w:val="both"/>
        <w:rPr>
          <w:rFonts w:ascii="Arial" w:hAnsi="Arial" w:cs="Arial"/>
          <w:b/>
          <w:bCs/>
          <w:sz w:val="20"/>
          <w:szCs w:val="20"/>
          <w:u w:val="single"/>
        </w:rPr>
      </w:pPr>
      <w:r w:rsidRPr="00A66A7C">
        <w:rPr>
          <w:rFonts w:ascii="Arial" w:hAnsi="Arial" w:cs="Arial"/>
          <w:bCs/>
          <w:sz w:val="20"/>
          <w:szCs w:val="20"/>
        </w:rPr>
        <w:t>En el caso que nos ocupa</w:t>
      </w:r>
      <w:r w:rsidRPr="00A66A7C">
        <w:rPr>
          <w:rFonts w:ascii="Arial" w:hAnsi="Arial" w:cs="Arial"/>
          <w:sz w:val="20"/>
          <w:szCs w:val="20"/>
        </w:rPr>
        <w:t>, debemos partir de que l</w:t>
      </w:r>
      <w:r w:rsidRPr="00A66A7C">
        <w:rPr>
          <w:rFonts w:ascii="Arial" w:hAnsi="Arial" w:cs="Arial"/>
          <w:b/>
          <w:bCs/>
          <w:sz w:val="20"/>
          <w:szCs w:val="20"/>
          <w:u w:val="single"/>
        </w:rPr>
        <w:t xml:space="preserve">a presentación de la reclamación extrajudicial se produjo el </w:t>
      </w:r>
      <w:r w:rsidRPr="00A66A7C">
        <w:rPr>
          <w:rFonts w:ascii="Arial" w:hAnsi="Arial" w:cs="Arial"/>
          <w:b/>
          <w:bCs/>
          <w:sz w:val="20"/>
          <w:szCs w:val="20"/>
          <w:highlight w:val="yellow"/>
          <w:u w:val="single"/>
        </w:rPr>
        <w:t>3 de enero de 2018</w:t>
      </w:r>
      <w:r w:rsidRPr="00A66A7C">
        <w:rPr>
          <w:rFonts w:ascii="Arial" w:hAnsi="Arial" w:cs="Arial"/>
          <w:b/>
          <w:bCs/>
          <w:sz w:val="20"/>
          <w:szCs w:val="20"/>
          <w:u w:val="single"/>
        </w:rPr>
        <w:t>, más de 5 años y 82 días después de la fecha de publicación de la Sentencia del Tribunal Supremo de 23 de diciembre de 2015</w:t>
      </w:r>
      <w:r w:rsidR="00A66A7C">
        <w:rPr>
          <w:rFonts w:ascii="Arial" w:hAnsi="Arial" w:cs="Arial"/>
          <w:b/>
          <w:bCs/>
          <w:sz w:val="20"/>
          <w:szCs w:val="20"/>
          <w:u w:val="single"/>
        </w:rPr>
        <w:t xml:space="preserve">, </w:t>
      </w:r>
      <w:r w:rsidR="000877B4">
        <w:rPr>
          <w:rFonts w:ascii="Arial" w:hAnsi="Arial" w:cs="Arial"/>
          <w:b/>
          <w:bCs/>
          <w:sz w:val="20"/>
          <w:szCs w:val="20"/>
          <w:u w:val="single"/>
        </w:rPr>
        <w:t xml:space="preserve">por lo que, la acción de prescripción se encuentra prescrita. </w:t>
      </w:r>
    </w:p>
    <w:p w14:paraId="495AF50D" w14:textId="1BAC820E" w:rsidR="000877B4" w:rsidRDefault="000877B4" w:rsidP="00177619">
      <w:pPr>
        <w:keepNext/>
        <w:spacing w:before="240" w:after="240" w:line="360" w:lineRule="auto"/>
        <w:ind w:left="-11"/>
        <w:jc w:val="both"/>
        <w:rPr>
          <w:rFonts w:ascii="Arial" w:hAnsi="Arial" w:cs="Arial"/>
          <w:bCs/>
          <w:sz w:val="20"/>
          <w:szCs w:val="20"/>
        </w:rPr>
      </w:pPr>
      <w:r w:rsidRPr="000877B4">
        <w:rPr>
          <w:rFonts w:ascii="Arial" w:hAnsi="Arial" w:cs="Arial"/>
          <w:bCs/>
          <w:sz w:val="20"/>
          <w:szCs w:val="20"/>
          <w:highlight w:val="yellow"/>
        </w:rPr>
        <w:t xml:space="preserve">HASTA </w:t>
      </w:r>
      <w:r>
        <w:rPr>
          <w:rFonts w:ascii="Arial" w:hAnsi="Arial" w:cs="Arial"/>
          <w:bCs/>
          <w:sz w:val="20"/>
          <w:szCs w:val="20"/>
          <w:highlight w:val="yellow"/>
        </w:rPr>
        <w:t>AQUÍ</w:t>
      </w:r>
    </w:p>
    <w:p w14:paraId="24DD9A6C" w14:textId="77777777" w:rsidR="000877B4" w:rsidRDefault="000877B4" w:rsidP="00177619">
      <w:pPr>
        <w:keepNext/>
        <w:spacing w:before="240" w:after="240" w:line="360" w:lineRule="auto"/>
        <w:ind w:left="-11"/>
        <w:jc w:val="both"/>
        <w:rPr>
          <w:rFonts w:ascii="Arial" w:hAnsi="Arial" w:cs="Arial"/>
          <w:bCs/>
          <w:sz w:val="20"/>
          <w:szCs w:val="20"/>
        </w:rPr>
      </w:pPr>
    </w:p>
    <w:p w14:paraId="4ACF8996" w14:textId="35AC0F8E" w:rsidR="000877B4" w:rsidRPr="000877B4" w:rsidRDefault="000877B4" w:rsidP="00177619">
      <w:pPr>
        <w:keepNext/>
        <w:spacing w:before="240" w:after="240" w:line="360" w:lineRule="auto"/>
        <w:ind w:left="-11"/>
        <w:jc w:val="both"/>
        <w:rPr>
          <w:rFonts w:ascii="Arial" w:hAnsi="Arial" w:cs="Arial"/>
          <w:bCs/>
          <w:sz w:val="20"/>
          <w:szCs w:val="20"/>
        </w:rPr>
      </w:pPr>
      <w:r w:rsidRPr="000877B4">
        <w:rPr>
          <w:rFonts w:ascii="Arial" w:hAnsi="Arial" w:cs="Arial"/>
          <w:bCs/>
          <w:sz w:val="20"/>
          <w:szCs w:val="20"/>
          <w:highlight w:val="yellow"/>
        </w:rPr>
        <w:t>SIN RECL. EXTRAJUDICIAL (FECHA DEMANDA)</w:t>
      </w:r>
    </w:p>
    <w:p w14:paraId="29308DA8" w14:textId="63FB8748" w:rsidR="00177619" w:rsidRPr="000877B4" w:rsidRDefault="00177619" w:rsidP="00177619">
      <w:pPr>
        <w:spacing w:before="240" w:after="240" w:line="360" w:lineRule="auto"/>
        <w:jc w:val="both"/>
        <w:rPr>
          <w:rFonts w:ascii="Arial" w:hAnsi="Arial" w:cs="Arial"/>
          <w:b/>
          <w:sz w:val="20"/>
          <w:szCs w:val="20"/>
        </w:rPr>
      </w:pPr>
      <w:r w:rsidRPr="00B57345">
        <w:rPr>
          <w:rFonts w:ascii="Arial" w:hAnsi="Arial" w:cs="Arial"/>
          <w:bCs/>
          <w:sz w:val="20"/>
          <w:szCs w:val="20"/>
        </w:rPr>
        <w:t xml:space="preserve">No existiendo en el presente caso reclamación extrajudicial de ningún tipo que interrumpiera el plazo de prescripción, debe quedar el </w:t>
      </w:r>
      <w:proofErr w:type="spellStart"/>
      <w:r w:rsidRPr="00B57345">
        <w:rPr>
          <w:rFonts w:ascii="Arial" w:hAnsi="Arial" w:cs="Arial"/>
          <w:bCs/>
          <w:i/>
          <w:iCs/>
          <w:sz w:val="20"/>
          <w:szCs w:val="20"/>
        </w:rPr>
        <w:t>dies</w:t>
      </w:r>
      <w:proofErr w:type="spellEnd"/>
      <w:r w:rsidRPr="00B57345">
        <w:rPr>
          <w:rFonts w:ascii="Arial" w:hAnsi="Arial" w:cs="Arial"/>
          <w:bCs/>
          <w:i/>
          <w:iCs/>
          <w:sz w:val="20"/>
          <w:szCs w:val="20"/>
        </w:rPr>
        <w:t xml:space="preserve"> a quo</w:t>
      </w:r>
      <w:r w:rsidRPr="00B57345">
        <w:rPr>
          <w:rFonts w:ascii="Arial" w:hAnsi="Arial" w:cs="Arial"/>
          <w:bCs/>
          <w:sz w:val="20"/>
          <w:szCs w:val="20"/>
        </w:rPr>
        <w:t xml:space="preserve"> fijado en </w:t>
      </w:r>
      <w:r w:rsidR="009D7B4A">
        <w:rPr>
          <w:rFonts w:ascii="Arial" w:hAnsi="Arial" w:cs="Arial"/>
          <w:bCs/>
          <w:sz w:val="20"/>
          <w:szCs w:val="20"/>
        </w:rPr>
        <w:t xml:space="preserve">la </w:t>
      </w:r>
      <w:r w:rsidR="009D7B4A" w:rsidRPr="00C468FD">
        <w:rPr>
          <w:rFonts w:ascii="Arial" w:hAnsi="Arial" w:cs="Arial"/>
          <w:bCs/>
          <w:sz w:val="20"/>
          <w:szCs w:val="20"/>
        </w:rPr>
        <w:t>fecha</w:t>
      </w:r>
      <w:r w:rsidRPr="00C468FD">
        <w:rPr>
          <w:rFonts w:ascii="Arial" w:hAnsi="Arial" w:cs="Arial"/>
          <w:sz w:val="20"/>
          <w:szCs w:val="20"/>
        </w:rPr>
        <w:t xml:space="preserve"> </w:t>
      </w:r>
      <w:r w:rsidR="00C468FD" w:rsidRPr="00C468FD">
        <w:rPr>
          <w:rFonts w:ascii="Arial" w:hAnsi="Arial" w:cs="Arial"/>
          <w:sz w:val="20"/>
          <w:szCs w:val="20"/>
        </w:rPr>
        <w:t>de</w:t>
      </w:r>
      <w:r w:rsidR="00C468FD" w:rsidRPr="00C468FD">
        <w:rPr>
          <w:rFonts w:ascii="Arial" w:hAnsi="Arial" w:cs="Arial"/>
          <w:b/>
          <w:sz w:val="20"/>
          <w:szCs w:val="20"/>
        </w:rPr>
        <w:t xml:space="preserve"> </w:t>
      </w:r>
      <w:r w:rsidR="00C468FD" w:rsidRPr="00C468FD">
        <w:rPr>
          <w:rFonts w:ascii="Arial" w:hAnsi="Arial" w:cs="Arial"/>
          <w:b/>
          <w:sz w:val="20"/>
          <w:szCs w:val="20"/>
          <w:u w:val="single"/>
        </w:rPr>
        <w:t>21 de enero de 2016</w:t>
      </w:r>
      <w:r w:rsidR="00C468FD" w:rsidRPr="00C468FD">
        <w:rPr>
          <w:rFonts w:ascii="Arial" w:hAnsi="Arial" w:cs="Arial"/>
          <w:bCs/>
          <w:sz w:val="20"/>
          <w:szCs w:val="20"/>
        </w:rPr>
        <w:t xml:space="preserve">, </w:t>
      </w:r>
      <w:r w:rsidR="00C468FD">
        <w:rPr>
          <w:rFonts w:ascii="Arial" w:hAnsi="Arial" w:cs="Arial"/>
          <w:bCs/>
          <w:sz w:val="20"/>
          <w:szCs w:val="20"/>
        </w:rPr>
        <w:t>momento en que</w:t>
      </w:r>
      <w:r w:rsidRPr="00B57345">
        <w:rPr>
          <w:rFonts w:ascii="Arial" w:hAnsi="Arial" w:cs="Arial"/>
          <w:bCs/>
          <w:sz w:val="20"/>
          <w:szCs w:val="20"/>
        </w:rPr>
        <w:t xml:space="preserve"> existía pleno conocimiento de la potencial </w:t>
      </w:r>
      <w:proofErr w:type="spellStart"/>
      <w:r w:rsidRPr="00B57345">
        <w:rPr>
          <w:rFonts w:ascii="Arial" w:hAnsi="Arial" w:cs="Arial"/>
          <w:bCs/>
          <w:sz w:val="20"/>
          <w:szCs w:val="20"/>
        </w:rPr>
        <w:t>abusividad</w:t>
      </w:r>
      <w:proofErr w:type="spellEnd"/>
      <w:r w:rsidRPr="00B57345">
        <w:rPr>
          <w:rFonts w:ascii="Arial" w:hAnsi="Arial" w:cs="Arial"/>
          <w:bCs/>
          <w:sz w:val="20"/>
          <w:szCs w:val="20"/>
        </w:rPr>
        <w:t xml:space="preserve"> de la cláusula de imposic</w:t>
      </w:r>
      <w:r w:rsidR="00C468FD">
        <w:rPr>
          <w:rFonts w:ascii="Arial" w:hAnsi="Arial" w:cs="Arial"/>
          <w:bCs/>
          <w:sz w:val="20"/>
          <w:szCs w:val="20"/>
        </w:rPr>
        <w:t>ión de los gastos hipotecarios y que coincide con la fecha de publicación de la Sentencia del Tribunal Supremo de 23 de diciembre de 2015.</w:t>
      </w:r>
    </w:p>
    <w:p w14:paraId="12FE7BFE" w14:textId="78CD2AEC" w:rsidR="001309F4" w:rsidRDefault="000877B4" w:rsidP="00177619">
      <w:pPr>
        <w:spacing w:before="240" w:after="240" w:line="360" w:lineRule="auto"/>
        <w:jc w:val="both"/>
        <w:rPr>
          <w:rFonts w:ascii="Arial" w:hAnsi="Arial" w:cs="Arial"/>
          <w:b/>
          <w:bCs/>
          <w:sz w:val="20"/>
          <w:szCs w:val="20"/>
          <w:u w:val="single"/>
        </w:rPr>
      </w:pPr>
      <w:r w:rsidRPr="000877B4">
        <w:rPr>
          <w:rFonts w:ascii="Arial" w:hAnsi="Arial" w:cs="Arial"/>
          <w:bCs/>
          <w:sz w:val="20"/>
          <w:szCs w:val="20"/>
        </w:rPr>
        <w:t xml:space="preserve">En el caso que nos ocupa, debemos partir de que </w:t>
      </w:r>
      <w:r w:rsidRPr="000877B4">
        <w:rPr>
          <w:rFonts w:ascii="Arial" w:hAnsi="Arial" w:cs="Arial"/>
          <w:b/>
          <w:bCs/>
          <w:sz w:val="20"/>
          <w:szCs w:val="20"/>
          <w:u w:val="single"/>
        </w:rPr>
        <w:t xml:space="preserve">la presentación de la demanda se produjo el </w:t>
      </w:r>
      <w:r w:rsidRPr="000877B4">
        <w:rPr>
          <w:rFonts w:ascii="Arial" w:hAnsi="Arial" w:cs="Arial"/>
          <w:b/>
          <w:bCs/>
          <w:sz w:val="20"/>
          <w:szCs w:val="20"/>
          <w:highlight w:val="yellow"/>
          <w:u w:val="single"/>
        </w:rPr>
        <w:t>4 de febrero de 2022</w:t>
      </w:r>
      <w:r w:rsidRPr="000877B4">
        <w:rPr>
          <w:rFonts w:ascii="Arial" w:hAnsi="Arial" w:cs="Arial"/>
          <w:b/>
          <w:bCs/>
          <w:sz w:val="20"/>
          <w:szCs w:val="20"/>
          <w:u w:val="single"/>
        </w:rPr>
        <w:t>, más de 5 años y 82 días después de la fecha de publicación de la Sentencia del Tribunal Supremo de 23 de diciembre de 2015, por lo que, la acción de prescripción se encuentra prescrita.</w:t>
      </w:r>
    </w:p>
    <w:p w14:paraId="01879293" w14:textId="207516F9" w:rsidR="009D7B4A" w:rsidRPr="000877B4" w:rsidRDefault="000877B4" w:rsidP="000877B4">
      <w:pPr>
        <w:spacing w:before="240" w:after="240" w:line="360" w:lineRule="auto"/>
        <w:rPr>
          <w:rFonts w:ascii="Arial" w:hAnsi="Arial" w:cs="Arial"/>
          <w:sz w:val="20"/>
          <w:szCs w:val="20"/>
          <w:highlight w:val="yellow"/>
        </w:rPr>
      </w:pPr>
      <w:r w:rsidRPr="000877B4">
        <w:rPr>
          <w:rFonts w:ascii="Arial" w:hAnsi="Arial" w:cs="Arial"/>
          <w:sz w:val="20"/>
          <w:szCs w:val="20"/>
          <w:highlight w:val="yellow"/>
        </w:rPr>
        <w:t>HASTA AQUI</w:t>
      </w:r>
    </w:p>
    <w:p w14:paraId="26396B4D" w14:textId="20E71DCA" w:rsidR="00967E66" w:rsidRDefault="00177619" w:rsidP="00177619">
      <w:pPr>
        <w:spacing w:before="240" w:after="240" w:line="360" w:lineRule="auto"/>
        <w:jc w:val="both"/>
        <w:rPr>
          <w:rFonts w:ascii="Arial" w:hAnsi="Arial" w:cs="Arial"/>
          <w:sz w:val="20"/>
          <w:szCs w:val="20"/>
        </w:rPr>
      </w:pPr>
      <w:r w:rsidRPr="00B57345">
        <w:rPr>
          <w:rFonts w:ascii="Arial" w:hAnsi="Arial" w:cs="Arial"/>
          <w:b/>
          <w:sz w:val="20"/>
          <w:szCs w:val="20"/>
          <w:u w:val="single"/>
        </w:rPr>
        <w:t>Por tanto, la única acción que podría llegar a prosperar en el presente asunto sería la declarativa de nulidad</w:t>
      </w:r>
      <w:r w:rsidRPr="00B57345">
        <w:rPr>
          <w:rFonts w:ascii="Arial" w:hAnsi="Arial" w:cs="Arial"/>
          <w:sz w:val="20"/>
          <w:szCs w:val="20"/>
        </w:rPr>
        <w:t xml:space="preserve">, que, en caso de ser estimada –algo que esta parte no comparte–, supondría la expulsión de las cláusulas impugnadas del contrato y su consecuente inaplicación a futuro. Sin embargo, </w:t>
      </w:r>
      <w:r w:rsidRPr="00B57345">
        <w:rPr>
          <w:rFonts w:ascii="Arial" w:hAnsi="Arial" w:cs="Arial"/>
          <w:b/>
          <w:sz w:val="20"/>
          <w:szCs w:val="20"/>
          <w:u w:val="single"/>
        </w:rPr>
        <w:t>en ningún caso podrá atenderse a la remoción de efectos ya producidos</w:t>
      </w:r>
      <w:r w:rsidRPr="00B57345">
        <w:rPr>
          <w:rFonts w:ascii="Arial" w:hAnsi="Arial" w:cs="Arial"/>
          <w:sz w:val="20"/>
          <w:szCs w:val="20"/>
        </w:rPr>
        <w:t>, consistente en la restitución de las ventajas obtenidas, puesto que dicha acción restitutoria ha prescrito en este caso.</w:t>
      </w:r>
    </w:p>
    <w:p w14:paraId="1FC7EB27" w14:textId="60576AD2" w:rsidR="000877B4" w:rsidRDefault="000877B4" w:rsidP="00177619">
      <w:pPr>
        <w:spacing w:before="240" w:after="240" w:line="360" w:lineRule="auto"/>
        <w:jc w:val="both"/>
        <w:rPr>
          <w:rFonts w:ascii="Arial" w:hAnsi="Arial" w:cs="Arial"/>
          <w:sz w:val="20"/>
          <w:szCs w:val="20"/>
        </w:rPr>
      </w:pPr>
    </w:p>
    <w:p w14:paraId="14A9D627" w14:textId="4A9245F3" w:rsidR="003B32FE" w:rsidRDefault="003B32FE" w:rsidP="00177619">
      <w:pPr>
        <w:spacing w:before="240" w:after="240" w:line="360" w:lineRule="auto"/>
        <w:jc w:val="both"/>
        <w:rPr>
          <w:rFonts w:ascii="Arial" w:hAnsi="Arial" w:cs="Arial"/>
          <w:sz w:val="20"/>
          <w:szCs w:val="20"/>
        </w:rPr>
      </w:pPr>
    </w:p>
    <w:p w14:paraId="68925CE8" w14:textId="505DD9FC" w:rsidR="003B32FE" w:rsidRDefault="003B32FE" w:rsidP="00177619">
      <w:pPr>
        <w:spacing w:before="240" w:after="240" w:line="360" w:lineRule="auto"/>
        <w:jc w:val="both"/>
        <w:rPr>
          <w:rFonts w:ascii="Arial" w:hAnsi="Arial" w:cs="Arial"/>
          <w:sz w:val="20"/>
          <w:szCs w:val="20"/>
        </w:rPr>
      </w:pPr>
    </w:p>
    <w:p w14:paraId="3B808B0A" w14:textId="3B34D402" w:rsidR="003B32FE" w:rsidRDefault="003B32FE" w:rsidP="00177619">
      <w:pPr>
        <w:spacing w:before="240" w:after="240" w:line="360" w:lineRule="auto"/>
        <w:jc w:val="both"/>
        <w:rPr>
          <w:rFonts w:ascii="Arial" w:hAnsi="Arial" w:cs="Arial"/>
          <w:sz w:val="20"/>
          <w:szCs w:val="20"/>
        </w:rPr>
      </w:pPr>
    </w:p>
    <w:p w14:paraId="74B62398" w14:textId="77777777" w:rsidR="003B32FE" w:rsidRDefault="003B32FE" w:rsidP="00177619">
      <w:pPr>
        <w:spacing w:before="240" w:after="240" w:line="360" w:lineRule="auto"/>
        <w:jc w:val="both"/>
        <w:rPr>
          <w:rFonts w:ascii="Arial" w:hAnsi="Arial" w:cs="Arial"/>
          <w:sz w:val="20"/>
          <w:szCs w:val="20"/>
        </w:rPr>
      </w:pPr>
    </w:p>
    <w:p w14:paraId="5E5A6B92" w14:textId="65428007" w:rsidR="000877B4" w:rsidRPr="004E0894" w:rsidRDefault="000877B4" w:rsidP="000877B4">
      <w:pPr>
        <w:pStyle w:val="Prrafodelista"/>
        <w:numPr>
          <w:ilvl w:val="0"/>
          <w:numId w:val="23"/>
        </w:numPr>
        <w:spacing w:before="240" w:after="240" w:line="360" w:lineRule="auto"/>
        <w:jc w:val="both"/>
        <w:rPr>
          <w:rFonts w:ascii="Arial" w:hAnsi="Arial" w:cs="Arial"/>
          <w:b/>
          <w:color w:val="000000"/>
          <w:sz w:val="20"/>
          <w:szCs w:val="20"/>
        </w:rPr>
      </w:pPr>
      <w:r>
        <w:rPr>
          <w:rFonts w:ascii="Arial" w:hAnsi="Arial" w:cs="Arial"/>
          <w:b/>
          <w:color w:val="000000"/>
          <w:sz w:val="20"/>
          <w:szCs w:val="20"/>
        </w:rPr>
        <w:lastRenderedPageBreak/>
        <w:t xml:space="preserve">Conclusión. La acción de restitución se encuentra prescrita. </w:t>
      </w:r>
    </w:p>
    <w:p w14:paraId="3D60DFDF" w14:textId="391296D8" w:rsidR="000877B4" w:rsidRDefault="000877B4" w:rsidP="000877B4">
      <w:pPr>
        <w:spacing w:before="240" w:after="240" w:line="360" w:lineRule="auto"/>
        <w:jc w:val="both"/>
        <w:rPr>
          <w:rFonts w:ascii="Arial" w:hAnsi="Arial" w:cs="Arial"/>
          <w:b/>
          <w:color w:val="000000"/>
          <w:sz w:val="20"/>
          <w:szCs w:val="20"/>
          <w:u w:val="single"/>
        </w:rPr>
      </w:pPr>
      <w:r w:rsidRPr="000877B4">
        <w:rPr>
          <w:rFonts w:ascii="Arial" w:hAnsi="Arial" w:cs="Arial"/>
          <w:color w:val="000000"/>
          <w:sz w:val="20"/>
          <w:szCs w:val="20"/>
        </w:rPr>
        <w:t xml:space="preserve">El </w:t>
      </w:r>
      <w:proofErr w:type="spellStart"/>
      <w:r w:rsidRPr="000877B4">
        <w:rPr>
          <w:rFonts w:ascii="Arial" w:hAnsi="Arial" w:cs="Arial"/>
          <w:color w:val="000000"/>
          <w:sz w:val="20"/>
          <w:szCs w:val="20"/>
        </w:rPr>
        <w:t>dies</w:t>
      </w:r>
      <w:proofErr w:type="spellEnd"/>
      <w:r w:rsidRPr="000877B4">
        <w:rPr>
          <w:rFonts w:ascii="Arial" w:hAnsi="Arial" w:cs="Arial"/>
          <w:color w:val="000000"/>
          <w:sz w:val="20"/>
          <w:szCs w:val="20"/>
        </w:rPr>
        <w:t xml:space="preserve"> a quo a tener en cuenta debe ser la fecha de publicación de la Sentencia </w:t>
      </w:r>
      <w:r>
        <w:rPr>
          <w:rFonts w:ascii="Arial" w:hAnsi="Arial" w:cs="Arial"/>
          <w:color w:val="000000"/>
          <w:sz w:val="20"/>
          <w:szCs w:val="20"/>
        </w:rPr>
        <w:t xml:space="preserve">Núm. 705/2015 </w:t>
      </w:r>
      <w:r w:rsidRPr="000877B4">
        <w:rPr>
          <w:rFonts w:ascii="Arial" w:hAnsi="Arial" w:cs="Arial"/>
          <w:color w:val="000000"/>
          <w:sz w:val="20"/>
          <w:szCs w:val="20"/>
        </w:rPr>
        <w:t>del Tribunal Supremo</w:t>
      </w:r>
      <w:r>
        <w:rPr>
          <w:rFonts w:ascii="Arial" w:hAnsi="Arial" w:cs="Arial"/>
          <w:color w:val="000000"/>
          <w:sz w:val="20"/>
          <w:szCs w:val="20"/>
        </w:rPr>
        <w:t>, Sala de lo Civil Pleno de 23 de diciembre de 2023,</w:t>
      </w:r>
      <w:r w:rsidRPr="000877B4">
        <w:rPr>
          <w:rFonts w:ascii="Arial" w:hAnsi="Arial" w:cs="Arial"/>
          <w:color w:val="000000"/>
          <w:sz w:val="20"/>
          <w:szCs w:val="20"/>
        </w:rPr>
        <w:t xml:space="preserve"> </w:t>
      </w:r>
      <w:r>
        <w:rPr>
          <w:rFonts w:ascii="Arial" w:hAnsi="Arial" w:cs="Arial"/>
          <w:color w:val="000000"/>
          <w:sz w:val="20"/>
          <w:szCs w:val="20"/>
        </w:rPr>
        <w:t xml:space="preserve">esto es, el día </w:t>
      </w:r>
      <w:r w:rsidRPr="000877B4">
        <w:rPr>
          <w:rFonts w:ascii="Arial" w:hAnsi="Arial" w:cs="Arial"/>
          <w:b/>
          <w:color w:val="000000"/>
          <w:sz w:val="20"/>
          <w:szCs w:val="20"/>
          <w:u w:val="single"/>
        </w:rPr>
        <w:t xml:space="preserve">21 de enero de 2016. </w:t>
      </w:r>
    </w:p>
    <w:p w14:paraId="3488BEE7" w14:textId="4EE4E22E" w:rsidR="004E0894" w:rsidRPr="000877B4" w:rsidRDefault="004E0894" w:rsidP="000877B4">
      <w:pPr>
        <w:spacing w:before="240" w:after="240" w:line="360" w:lineRule="auto"/>
        <w:jc w:val="both"/>
        <w:rPr>
          <w:rFonts w:ascii="Arial" w:hAnsi="Arial" w:cs="Arial"/>
          <w:color w:val="000000"/>
          <w:sz w:val="20"/>
          <w:szCs w:val="20"/>
        </w:rPr>
      </w:pPr>
      <w:r w:rsidRPr="004E0894">
        <w:rPr>
          <w:rFonts w:ascii="Arial" w:hAnsi="Arial" w:cs="Arial"/>
          <w:color w:val="000000"/>
          <w:sz w:val="20"/>
          <w:szCs w:val="20"/>
        </w:rPr>
        <w:t xml:space="preserve">Así pues, </w:t>
      </w:r>
      <w:r>
        <w:rPr>
          <w:rFonts w:ascii="Arial" w:hAnsi="Arial" w:cs="Arial"/>
          <w:color w:val="000000"/>
          <w:sz w:val="20"/>
          <w:szCs w:val="20"/>
        </w:rPr>
        <w:t xml:space="preserve">teniendo en cuenta que la </w:t>
      </w:r>
      <w:r w:rsidRPr="004E0894">
        <w:rPr>
          <w:rFonts w:ascii="Arial" w:hAnsi="Arial" w:cs="Arial"/>
          <w:color w:val="000000"/>
          <w:sz w:val="20"/>
          <w:szCs w:val="20"/>
          <w:highlight w:val="yellow"/>
        </w:rPr>
        <w:t>reclamación extrajudicial/demanda</w:t>
      </w:r>
      <w:r>
        <w:rPr>
          <w:rFonts w:ascii="Arial" w:hAnsi="Arial" w:cs="Arial"/>
          <w:color w:val="000000"/>
          <w:sz w:val="20"/>
          <w:szCs w:val="20"/>
        </w:rPr>
        <w:t xml:space="preserve"> fue presentada el </w:t>
      </w:r>
      <w:r>
        <w:rPr>
          <w:rFonts w:ascii="Arial" w:hAnsi="Arial" w:cs="Arial"/>
          <w:color w:val="000000"/>
          <w:sz w:val="20"/>
          <w:szCs w:val="20"/>
          <w:highlight w:val="yellow"/>
        </w:rPr>
        <w:t xml:space="preserve">3 de enero de 2018 </w:t>
      </w:r>
      <w:r w:rsidRPr="004E0894">
        <w:rPr>
          <w:rFonts w:ascii="Arial" w:hAnsi="Arial" w:cs="Arial"/>
          <w:color w:val="000000"/>
          <w:sz w:val="20"/>
          <w:szCs w:val="20"/>
        </w:rPr>
        <w:t xml:space="preserve">y, considerando el 21 de enero de 2016 como fecha de inicio del </w:t>
      </w:r>
      <w:proofErr w:type="spellStart"/>
      <w:r w:rsidRPr="004E0894">
        <w:rPr>
          <w:rFonts w:ascii="Arial" w:hAnsi="Arial" w:cs="Arial"/>
          <w:i/>
          <w:color w:val="000000"/>
          <w:sz w:val="20"/>
          <w:szCs w:val="20"/>
        </w:rPr>
        <w:t>dies</w:t>
      </w:r>
      <w:proofErr w:type="spellEnd"/>
      <w:r w:rsidRPr="004E0894">
        <w:rPr>
          <w:rFonts w:ascii="Arial" w:hAnsi="Arial" w:cs="Arial"/>
          <w:i/>
          <w:color w:val="000000"/>
          <w:sz w:val="20"/>
          <w:szCs w:val="20"/>
        </w:rPr>
        <w:t xml:space="preserve"> a quo</w:t>
      </w:r>
      <w:r>
        <w:rPr>
          <w:rFonts w:ascii="Arial" w:hAnsi="Arial" w:cs="Arial"/>
          <w:color w:val="000000"/>
          <w:sz w:val="20"/>
          <w:szCs w:val="20"/>
        </w:rPr>
        <w:t xml:space="preserve">, en el presente caso que nos ocupa, la acción de prescripción estaría prescrita por el transcurso de 5 años de acuerdo con el artículo 1964.2 del Código Civil, tras la modificación producida por la Disposición Final Primera de la Ley 42/2015, de 5 de octubre. </w:t>
      </w:r>
    </w:p>
    <w:p w14:paraId="2960C88B" w14:textId="70466E33" w:rsidR="00573184" w:rsidRDefault="00573184" w:rsidP="00177619">
      <w:pPr>
        <w:spacing w:before="240" w:after="240" w:line="360" w:lineRule="auto"/>
        <w:jc w:val="both"/>
        <w:rPr>
          <w:rFonts w:ascii="Arial" w:hAnsi="Arial" w:cs="Arial"/>
          <w:b/>
          <w:color w:val="000000"/>
          <w:sz w:val="20"/>
          <w:szCs w:val="20"/>
        </w:rPr>
      </w:pPr>
      <w:r w:rsidRPr="000877B4">
        <w:rPr>
          <w:rFonts w:ascii="Arial" w:hAnsi="Arial" w:cs="Arial"/>
          <w:b/>
          <w:color w:val="000000"/>
          <w:sz w:val="20"/>
          <w:szCs w:val="20"/>
          <w:highlight w:val="cyan"/>
        </w:rPr>
        <w:t xml:space="preserve">HASTA AQUÍ </w:t>
      </w:r>
    </w:p>
    <w:p w14:paraId="58FE9423" w14:textId="5CECBC0E" w:rsidR="004364A0" w:rsidRDefault="004364A0" w:rsidP="00177619">
      <w:pPr>
        <w:spacing w:before="240" w:after="240" w:line="360" w:lineRule="auto"/>
        <w:jc w:val="both"/>
        <w:rPr>
          <w:rFonts w:ascii="Arial" w:hAnsi="Arial" w:cs="Arial"/>
          <w:b/>
          <w:color w:val="000000"/>
          <w:sz w:val="20"/>
          <w:szCs w:val="20"/>
        </w:rPr>
      </w:pPr>
    </w:p>
    <w:p w14:paraId="00F75136" w14:textId="77777777" w:rsidR="00081284" w:rsidRDefault="00081284" w:rsidP="00177619">
      <w:pPr>
        <w:spacing w:before="240" w:after="240" w:line="360" w:lineRule="auto"/>
        <w:jc w:val="both"/>
        <w:rPr>
          <w:rFonts w:ascii="Arial" w:hAnsi="Arial" w:cs="Arial"/>
          <w:b/>
          <w:color w:val="000000"/>
          <w:sz w:val="20"/>
          <w:szCs w:val="20"/>
        </w:rPr>
      </w:pPr>
    </w:p>
    <w:p w14:paraId="263011C5" w14:textId="2B818407" w:rsidR="004364A0" w:rsidRDefault="004364A0" w:rsidP="00177619">
      <w:pPr>
        <w:spacing w:before="240" w:after="240" w:line="360" w:lineRule="auto"/>
        <w:jc w:val="both"/>
        <w:rPr>
          <w:rFonts w:ascii="Arial" w:hAnsi="Arial" w:cs="Arial"/>
          <w:b/>
          <w:color w:val="000000"/>
          <w:sz w:val="20"/>
          <w:szCs w:val="20"/>
        </w:rPr>
      </w:pPr>
      <w:r w:rsidRPr="004364A0">
        <w:rPr>
          <w:rFonts w:ascii="Arial" w:hAnsi="Arial" w:cs="Arial"/>
          <w:b/>
          <w:color w:val="000000"/>
          <w:sz w:val="20"/>
          <w:szCs w:val="20"/>
          <w:highlight w:val="cyan"/>
        </w:rPr>
        <w:t>PRESCRIPCIÓN PARA PRÉSTAMOS HIPOTECARIOS POST 21 DE ENERO DE 2016</w:t>
      </w:r>
    </w:p>
    <w:p w14:paraId="5528BBE5" w14:textId="77777777" w:rsidR="004364A0" w:rsidRPr="00CD49CA" w:rsidRDefault="004364A0" w:rsidP="004364A0">
      <w:pPr>
        <w:spacing w:before="240" w:after="240" w:line="360" w:lineRule="auto"/>
        <w:ind w:left="1410" w:hanging="1410"/>
        <w:jc w:val="both"/>
        <w:rPr>
          <w:rFonts w:ascii="Arial" w:hAnsi="Arial" w:cs="Arial"/>
          <w:b/>
          <w:color w:val="000000"/>
          <w:sz w:val="20"/>
          <w:szCs w:val="20"/>
          <w:u w:val="single"/>
        </w:rPr>
      </w:pPr>
      <w:r w:rsidRPr="00CD49CA">
        <w:rPr>
          <w:rFonts w:ascii="Arial" w:hAnsi="Arial" w:cs="Arial"/>
          <w:b/>
          <w:color w:val="000000"/>
          <w:sz w:val="20"/>
          <w:szCs w:val="20"/>
          <w:u w:val="single"/>
        </w:rPr>
        <w:t xml:space="preserve">PRIMERO. - La acción restitutoria ejercitada de contrario se encuentra prescrita </w:t>
      </w:r>
    </w:p>
    <w:p w14:paraId="16BD1251" w14:textId="77777777" w:rsidR="004364A0" w:rsidRPr="00CD49CA" w:rsidRDefault="004364A0" w:rsidP="004364A0">
      <w:pPr>
        <w:pStyle w:val="Prrafodelista"/>
        <w:numPr>
          <w:ilvl w:val="0"/>
          <w:numId w:val="23"/>
        </w:numPr>
        <w:spacing w:before="240" w:after="240" w:line="360" w:lineRule="auto"/>
        <w:ind w:left="567" w:hanging="567"/>
        <w:contextualSpacing w:val="0"/>
        <w:jc w:val="both"/>
        <w:rPr>
          <w:rFonts w:ascii="Arial" w:hAnsi="Arial" w:cs="Arial"/>
          <w:b/>
          <w:color w:val="000000"/>
          <w:sz w:val="20"/>
          <w:szCs w:val="20"/>
        </w:rPr>
      </w:pPr>
      <w:r w:rsidRPr="00CD49CA">
        <w:rPr>
          <w:rFonts w:ascii="Arial" w:hAnsi="Arial" w:cs="Arial"/>
          <w:b/>
          <w:color w:val="000000"/>
          <w:sz w:val="20"/>
          <w:szCs w:val="20"/>
        </w:rPr>
        <w:t xml:space="preserve">Introducción </w:t>
      </w:r>
    </w:p>
    <w:p w14:paraId="6E7463E5"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Como ya se ha tenido oportunidad de indicar en el presente escrito, de contrario se ejercitan dos acciones: por un lado una acción declarativa de nulidad de condición general de contratación, fundada en la eventual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de la cláusula de imposición de gastos, a la cual se acumula una acción restitutoria dirigida al reembolso de los gastos de constitución de hipoteca abonados por la parte actora con sus intereses legales. </w:t>
      </w:r>
    </w:p>
    <w:p w14:paraId="02294A6C"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0518B906"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Sentado lo anterior, veremos que la acción restitutoria está sujeta al plazo de prescripción de 5 años (tras la reforma de la </w:t>
      </w:r>
      <w:hyperlink r:id="rId13" w:tooltip="enlace" w:history="1">
        <w:r w:rsidRPr="00CD49CA">
          <w:rPr>
            <w:rFonts w:ascii="Arial" w:hAnsi="Arial" w:cs="Arial"/>
            <w:color w:val="000000"/>
            <w:sz w:val="20"/>
            <w:szCs w:val="20"/>
          </w:rPr>
          <w:t>Ley 42/2015, de 5 de octubre</w:t>
        </w:r>
        <w:r w:rsidRPr="00CD49CA">
          <w:rPr>
            <w:rStyle w:val="Refdenotaalpie"/>
            <w:rFonts w:cs="Arial"/>
            <w:sz w:val="20"/>
            <w:szCs w:val="20"/>
          </w:rPr>
          <w:footnoteReference w:id="29"/>
        </w:r>
      </w:hyperlink>
      <w:r w:rsidRPr="00CD49CA">
        <w:rPr>
          <w:rFonts w:ascii="Arial" w:hAnsi="Arial" w:cs="Arial"/>
          <w:color w:val="000000"/>
          <w:sz w:val="20"/>
          <w:szCs w:val="20"/>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CD49CA">
        <w:rPr>
          <w:rFonts w:ascii="Arial" w:hAnsi="Arial" w:cs="Arial"/>
          <w:i/>
          <w:iCs/>
          <w:color w:val="000000"/>
          <w:sz w:val="20"/>
          <w:szCs w:val="20"/>
        </w:rPr>
        <w:lastRenderedPageBreak/>
        <w:t>dies</w:t>
      </w:r>
      <w:proofErr w:type="spellEnd"/>
      <w:r w:rsidRPr="00CD49CA">
        <w:rPr>
          <w:rFonts w:ascii="Arial" w:hAnsi="Arial" w:cs="Arial"/>
          <w:i/>
          <w:iCs/>
          <w:color w:val="000000"/>
          <w:sz w:val="20"/>
          <w:szCs w:val="20"/>
        </w:rPr>
        <w:t xml:space="preserve"> a quo</w:t>
      </w:r>
      <w:r w:rsidRPr="00CD49CA">
        <w:rPr>
          <w:rFonts w:ascii="Arial" w:hAnsi="Arial" w:cs="Arial"/>
          <w:color w:val="000000"/>
          <w:sz w:val="20"/>
          <w:szCs w:val="20"/>
        </w:rPr>
        <w:t xml:space="preserve"> para computar el referido plazo de prescripción es el momento en que la parte actora tuvo conocimiento de la potencial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y estuvo en condiciones de ejercitar la acción.</w:t>
      </w:r>
    </w:p>
    <w:p w14:paraId="207EDFF8"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3E62EDD3" w14:textId="77777777" w:rsidR="004364A0" w:rsidRPr="00CD49CA" w:rsidRDefault="004364A0" w:rsidP="004364A0">
      <w:pPr>
        <w:pStyle w:val="Prrafodelista"/>
        <w:numPr>
          <w:ilvl w:val="0"/>
          <w:numId w:val="23"/>
        </w:numPr>
        <w:spacing w:before="240" w:after="240" w:line="360" w:lineRule="auto"/>
        <w:ind w:left="567" w:hanging="567"/>
        <w:contextualSpacing w:val="0"/>
        <w:jc w:val="both"/>
        <w:rPr>
          <w:rFonts w:ascii="Arial" w:hAnsi="Arial" w:cs="Arial"/>
          <w:color w:val="000000"/>
          <w:sz w:val="20"/>
          <w:szCs w:val="20"/>
        </w:rPr>
      </w:pPr>
      <w:r w:rsidRPr="00CD49CA">
        <w:rPr>
          <w:rFonts w:ascii="Arial" w:hAnsi="Arial" w:cs="Arial"/>
          <w:b/>
          <w:color w:val="000000"/>
          <w:sz w:val="20"/>
          <w:szCs w:val="20"/>
        </w:rPr>
        <w:t xml:space="preserve">La acción declarativa de </w:t>
      </w:r>
      <w:proofErr w:type="spellStart"/>
      <w:r w:rsidRPr="00CD49CA">
        <w:rPr>
          <w:rFonts w:ascii="Arial" w:hAnsi="Arial" w:cs="Arial"/>
          <w:b/>
          <w:color w:val="000000"/>
          <w:sz w:val="20"/>
          <w:szCs w:val="20"/>
        </w:rPr>
        <w:t>abusividad</w:t>
      </w:r>
      <w:proofErr w:type="spellEnd"/>
      <w:r w:rsidRPr="00CD49CA">
        <w:rPr>
          <w:rFonts w:ascii="Arial" w:hAnsi="Arial" w:cs="Arial"/>
          <w:b/>
          <w:color w:val="000000"/>
          <w:sz w:val="20"/>
          <w:szCs w:val="20"/>
        </w:rPr>
        <w:t xml:space="preserve"> y la acción restitutoria son acciones autónomas</w:t>
      </w:r>
    </w:p>
    <w:p w14:paraId="744A7FD8"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La acción declarativa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y la acción de remoción de efectos o restitución de ventajas son dos acciones autónomas e independientes, que responden a distintas causas de pedir: por un lado, la nulidad con base en la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de la cláusula, y, por otro lado, la restitución de las cantidades satisfechas en virtud de la cláusula declarada abusiva.</w:t>
      </w:r>
    </w:p>
    <w:p w14:paraId="69176EDD"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Hay que matizar, eso sí, que aunque con carácter genérico se habla de “declaración de nulidad”, la Directiva 93/13 no regula ni hace mención a ninguna acción de nulidad. El artículo 6, apartado 1 de la Directiva 93/13 dispone que las cláusulas abusivas que figuren en un contrato celebrado entre un consumidor y un profesional “</w:t>
      </w:r>
      <w:r w:rsidRPr="00CD49CA">
        <w:rPr>
          <w:rFonts w:ascii="Arial" w:hAnsi="Arial" w:cs="Arial"/>
          <w:i/>
          <w:color w:val="000000"/>
          <w:sz w:val="20"/>
          <w:szCs w:val="20"/>
        </w:rPr>
        <w:t xml:space="preserve">no vincularán al </w:t>
      </w:r>
      <w:r w:rsidRPr="00CD49CA">
        <w:rPr>
          <w:rFonts w:ascii="Arial" w:hAnsi="Arial" w:cs="Arial"/>
          <w:i/>
          <w:iCs/>
          <w:color w:val="000000"/>
          <w:sz w:val="20"/>
          <w:szCs w:val="20"/>
        </w:rPr>
        <w:t>consumidor</w:t>
      </w:r>
      <w:r w:rsidRPr="00CD49CA">
        <w:rPr>
          <w:rFonts w:ascii="Arial" w:hAnsi="Arial" w:cs="Arial"/>
          <w:color w:val="000000"/>
          <w:sz w:val="20"/>
          <w:szCs w:val="20"/>
        </w:rPr>
        <w:t>”. Al aplicar este principio de “no vinculación”, tanto las Directrices para la interpretación y aplicación de la Directiva 93/13 elaboradas por la Comisión Europea</w:t>
      </w:r>
      <w:r w:rsidRPr="00CD49CA">
        <w:rPr>
          <w:rStyle w:val="Refdenotaalpie"/>
          <w:rFonts w:cs="Arial"/>
          <w:color w:val="000000"/>
          <w:sz w:val="20"/>
          <w:szCs w:val="20"/>
        </w:rPr>
        <w:footnoteReference w:id="30"/>
      </w:r>
      <w:r w:rsidRPr="00CD49CA">
        <w:rPr>
          <w:rFonts w:ascii="Arial" w:hAnsi="Arial" w:cs="Arial"/>
          <w:color w:val="000000"/>
          <w:sz w:val="20"/>
          <w:szCs w:val="20"/>
        </w:rPr>
        <w:t xml:space="preserve"> (“</w:t>
      </w:r>
      <w:r w:rsidRPr="00CD49CA">
        <w:rPr>
          <w:rFonts w:ascii="Arial" w:hAnsi="Arial" w:cs="Arial"/>
          <w:b/>
          <w:color w:val="000000"/>
          <w:sz w:val="20"/>
          <w:szCs w:val="20"/>
        </w:rPr>
        <w:t>Directrices de la Comisión</w:t>
      </w:r>
      <w:r w:rsidRPr="00CD49CA">
        <w:rPr>
          <w:rFonts w:ascii="Arial" w:hAnsi="Arial" w:cs="Arial"/>
          <w:color w:val="000000"/>
          <w:sz w:val="20"/>
          <w:szCs w:val="20"/>
        </w:rPr>
        <w:t xml:space="preserve">”) como el TJUE distinguen entre dos aspectos distintos: (i) la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y (</w:t>
      </w:r>
      <w:proofErr w:type="spellStart"/>
      <w:r w:rsidRPr="00CD49CA">
        <w:rPr>
          <w:rFonts w:ascii="Arial" w:hAnsi="Arial" w:cs="Arial"/>
          <w:color w:val="000000"/>
          <w:sz w:val="20"/>
          <w:szCs w:val="20"/>
        </w:rPr>
        <w:t>ii</w:t>
      </w:r>
      <w:proofErr w:type="spellEnd"/>
      <w:r w:rsidRPr="00CD49CA">
        <w:rPr>
          <w:rFonts w:ascii="Arial" w:hAnsi="Arial" w:cs="Arial"/>
          <w:color w:val="000000"/>
          <w:sz w:val="20"/>
          <w:szCs w:val="20"/>
        </w:rPr>
        <w:t xml:space="preserve">) la remoción de los efectos que haya producido la cláusula abusiva hasta el momento, en el sentido de restitución de las ventajas obtenidas en aplicación de dicha cláusula. </w:t>
      </w:r>
    </w:p>
    <w:p w14:paraId="4304F59E"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Respecto de la remoción de los efectos que se han producido de manera efectiva en la relación contractual en aplicación de la cláusula declarada abusiva (“</w:t>
      </w:r>
      <w:r w:rsidRPr="00CD49CA">
        <w:rPr>
          <w:rFonts w:ascii="Arial" w:hAnsi="Arial" w:cs="Arial"/>
          <w:color w:val="000000"/>
          <w:sz w:val="20"/>
          <w:szCs w:val="20"/>
          <w:u w:val="single"/>
        </w:rPr>
        <w:t>restitución de ventajas obtenidas mediante cláusulas contractuales abusivas</w:t>
      </w:r>
      <w:r w:rsidRPr="00CD49CA">
        <w:rPr>
          <w:rFonts w:ascii="Arial" w:hAnsi="Arial" w:cs="Arial"/>
          <w:color w:val="000000"/>
          <w:sz w:val="20"/>
          <w:szCs w:val="20"/>
        </w:rPr>
        <w:t>”, en palabras de la Comisión</w:t>
      </w:r>
      <w:r w:rsidRPr="00CD49CA">
        <w:rPr>
          <w:rStyle w:val="Refdenotaalpie"/>
          <w:rFonts w:cs="Arial"/>
          <w:color w:val="000000"/>
          <w:sz w:val="20"/>
          <w:szCs w:val="20"/>
        </w:rPr>
        <w:footnoteReference w:id="31"/>
      </w:r>
      <w:r w:rsidRPr="00CD49CA">
        <w:rPr>
          <w:rFonts w:ascii="Arial" w:hAnsi="Arial" w:cs="Arial"/>
          <w:color w:val="000000"/>
          <w:sz w:val="20"/>
          <w:szCs w:val="20"/>
        </w:rPr>
        <w:t xml:space="preserve">) no es automática o inherente a la propia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sino que </w:t>
      </w:r>
      <w:r w:rsidRPr="00CD49CA">
        <w:rPr>
          <w:rFonts w:ascii="Arial" w:hAnsi="Arial" w:cs="Arial"/>
          <w:color w:val="000000"/>
          <w:sz w:val="20"/>
          <w:szCs w:val="20"/>
          <w:u w:val="single"/>
        </w:rPr>
        <w:t>responde a una acción autónoma y accesoria a la declarativa</w:t>
      </w:r>
      <w:r w:rsidRPr="00CD49CA">
        <w:rPr>
          <w:rFonts w:ascii="Arial" w:hAnsi="Arial" w:cs="Arial"/>
          <w:color w:val="000000"/>
          <w:sz w:val="20"/>
          <w:szCs w:val="20"/>
        </w:rPr>
        <w:t xml:space="preserve">. </w:t>
      </w:r>
    </w:p>
    <w:p w14:paraId="304F865E"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Esta configuración del régimen de protección al consumidor que ejercita acciones individuales es plenamente conforme con la regulación de las acciones colectivas en esta misma materia, respecto de las que se ha publicado recientemente la </w:t>
      </w:r>
      <w:r w:rsidRPr="00CD49CA">
        <w:rPr>
          <w:rFonts w:ascii="Arial" w:hAnsi="Arial" w:cs="Arial"/>
          <w:sz w:val="20"/>
          <w:szCs w:val="20"/>
        </w:rPr>
        <w:t>Directiva 2020/1828 del Parlamento Europeo y del Consejo de 25 de noviembre de 2020 relativa a las acciones de representación para la protección de los intereses colectivos de los consumidores y por la que se deroga la Directiva 2009/22/CEE</w:t>
      </w:r>
      <w:r w:rsidRPr="00CD49CA">
        <w:rPr>
          <w:rFonts w:ascii="Arial" w:hAnsi="Arial" w:cs="Arial"/>
          <w:color w:val="000000"/>
          <w:sz w:val="20"/>
          <w:szCs w:val="20"/>
        </w:rPr>
        <w:t xml:space="preserve">, en la que también se distingue entre la acción declarativa y la remoción de efectos mediante determinadas “medidas resarcitorias” que se clasifican en indemnización,  </w:t>
      </w:r>
      <w:r w:rsidRPr="00CD49CA">
        <w:rPr>
          <w:rFonts w:ascii="Arial" w:hAnsi="Arial" w:cs="Arial"/>
          <w:color w:val="000000"/>
          <w:sz w:val="20"/>
          <w:szCs w:val="20"/>
        </w:rPr>
        <w:lastRenderedPageBreak/>
        <w:t>reparación, sustitución, reducción de precio, resolución contractual o reembolso del precio pagado</w:t>
      </w:r>
      <w:r w:rsidRPr="00CD49CA">
        <w:rPr>
          <w:rStyle w:val="Refdenotaalpie"/>
          <w:rFonts w:cs="Arial"/>
          <w:color w:val="000000"/>
          <w:sz w:val="20"/>
          <w:szCs w:val="20"/>
        </w:rPr>
        <w:footnoteReference w:id="32"/>
      </w:r>
      <w:r w:rsidRPr="00CD49CA">
        <w:rPr>
          <w:rFonts w:ascii="Arial" w:hAnsi="Arial" w:cs="Arial"/>
          <w:color w:val="000000"/>
          <w:sz w:val="20"/>
          <w:szCs w:val="20"/>
        </w:rPr>
        <w:t xml:space="preserve">. </w:t>
      </w:r>
    </w:p>
    <w:p w14:paraId="75E28110"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Este carácter autónomo y accesorio de la acción de remoción de efectos ha sido confirmado por el TJUE tal y como se desprende de </w:t>
      </w:r>
      <w:r w:rsidRPr="00CD49CA">
        <w:rPr>
          <w:rFonts w:ascii="Arial" w:hAnsi="Arial" w:cs="Arial"/>
          <w:color w:val="000000"/>
          <w:sz w:val="20"/>
          <w:szCs w:val="20"/>
          <w:lang w:val="es-ES_tradnl"/>
        </w:rPr>
        <w:t xml:space="preserve">la STJUE de 16 de julio de 2020 en el asunto </w:t>
      </w:r>
      <w:proofErr w:type="spellStart"/>
      <w:r w:rsidRPr="00CD49CA">
        <w:rPr>
          <w:rFonts w:ascii="Arial" w:hAnsi="Arial" w:cs="Arial"/>
          <w:i/>
          <w:iCs/>
          <w:color w:val="000000"/>
          <w:sz w:val="20"/>
          <w:szCs w:val="20"/>
          <w:lang w:val="es-ES_tradnl"/>
        </w:rPr>
        <w:t>Caixabank</w:t>
      </w:r>
      <w:proofErr w:type="spellEnd"/>
      <w:r w:rsidRPr="00CD49CA">
        <w:rPr>
          <w:rStyle w:val="Refdenotaalpie"/>
          <w:rFonts w:cs="Arial"/>
          <w:color w:val="000000"/>
          <w:sz w:val="20"/>
          <w:szCs w:val="20"/>
          <w:lang w:val="es-ES_tradnl"/>
        </w:rPr>
        <w:footnoteReference w:id="33"/>
      </w:r>
      <w:r w:rsidRPr="00CD49CA">
        <w:rPr>
          <w:rFonts w:ascii="Arial" w:hAnsi="Arial" w:cs="Arial"/>
          <w:i/>
          <w:iCs/>
          <w:color w:val="000000"/>
          <w:sz w:val="20"/>
          <w:szCs w:val="20"/>
          <w:lang w:val="es-ES_tradnl"/>
        </w:rPr>
        <w:t xml:space="preserve"> </w:t>
      </w:r>
      <w:r w:rsidRPr="00CD49CA">
        <w:rPr>
          <w:rFonts w:ascii="Arial" w:hAnsi="Arial" w:cs="Arial"/>
          <w:color w:val="000000"/>
          <w:sz w:val="20"/>
          <w:szCs w:val="20"/>
          <w:lang w:val="es-ES_tradnl"/>
        </w:rPr>
        <w:t xml:space="preserve">o la </w:t>
      </w:r>
      <w:r w:rsidRPr="00CD49CA">
        <w:rPr>
          <w:rFonts w:ascii="Arial" w:hAnsi="Arial" w:cs="Arial"/>
          <w:color w:val="000000"/>
          <w:sz w:val="20"/>
          <w:szCs w:val="20"/>
        </w:rPr>
        <w:t xml:space="preserve">más reciente STJUE de 10 de junio de 2021 (asunto </w:t>
      </w:r>
      <w:r w:rsidRPr="00CD49CA">
        <w:rPr>
          <w:rFonts w:ascii="Arial" w:hAnsi="Arial" w:cs="Arial"/>
          <w:i/>
          <w:iCs/>
          <w:color w:val="000000"/>
          <w:sz w:val="20"/>
          <w:szCs w:val="20"/>
        </w:rPr>
        <w:t xml:space="preserve">BNP </w:t>
      </w:r>
      <w:proofErr w:type="spellStart"/>
      <w:r w:rsidRPr="00CD49CA">
        <w:rPr>
          <w:rFonts w:ascii="Arial" w:hAnsi="Arial" w:cs="Arial"/>
          <w:i/>
          <w:iCs/>
          <w:color w:val="000000"/>
          <w:sz w:val="20"/>
          <w:szCs w:val="20"/>
        </w:rPr>
        <w:t>Paribas</w:t>
      </w:r>
      <w:proofErr w:type="spellEnd"/>
      <w:r w:rsidRPr="00CD49CA">
        <w:rPr>
          <w:rFonts w:ascii="Arial" w:hAnsi="Arial" w:cs="Arial"/>
          <w:color w:val="000000"/>
          <w:sz w:val="20"/>
          <w:szCs w:val="20"/>
        </w:rPr>
        <w:t>)</w:t>
      </w:r>
      <w:r w:rsidRPr="00CD49CA">
        <w:rPr>
          <w:rStyle w:val="Refdenotaalpie"/>
          <w:rFonts w:cs="Arial"/>
          <w:color w:val="000000"/>
          <w:sz w:val="20"/>
          <w:szCs w:val="20"/>
        </w:rPr>
        <w:footnoteReference w:id="34"/>
      </w:r>
      <w:r w:rsidRPr="00CD49CA">
        <w:rPr>
          <w:rFonts w:ascii="Arial" w:hAnsi="Arial" w:cs="Arial"/>
          <w:color w:val="000000"/>
          <w:sz w:val="20"/>
          <w:szCs w:val="20"/>
        </w:rPr>
        <w:t xml:space="preserve">, donde se establece que el carácter autónomo de dichas acciones determina la aplicación de un diferente régimen de prescripción. </w:t>
      </w:r>
    </w:p>
    <w:p w14:paraId="0D7E3681"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accesorias y, por tanto, autónomas, las acciones de devolución de cantidades y de indemnización de daños y perjuicios</w:t>
      </w:r>
      <w:r w:rsidRPr="00CD49CA">
        <w:rPr>
          <w:rStyle w:val="Refdenotaalpie"/>
          <w:rFonts w:cs="Arial"/>
          <w:color w:val="000000"/>
          <w:sz w:val="20"/>
          <w:szCs w:val="20"/>
        </w:rPr>
        <w:footnoteReference w:id="35"/>
      </w:r>
      <w:r w:rsidRPr="00CD49CA">
        <w:rPr>
          <w:rFonts w:ascii="Arial" w:hAnsi="Arial" w:cs="Arial"/>
          <w:color w:val="000000"/>
          <w:sz w:val="20"/>
          <w:szCs w:val="20"/>
        </w:rPr>
        <w:t>. De igual forma, la jurisprudencia es unánime al entender que la acción declarativa y la acción restitutoria se configuran como acciones autónomas y sujetas a diferentes criterios de prescripción.</w:t>
      </w:r>
    </w:p>
    <w:p w14:paraId="3DFDB7B9"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CD49CA">
        <w:rPr>
          <w:rFonts w:ascii="Arial" w:hAnsi="Arial" w:cs="Arial"/>
          <w:b/>
          <w:bCs/>
          <w:color w:val="000000"/>
          <w:sz w:val="20"/>
          <w:szCs w:val="20"/>
        </w:rPr>
        <w:t>Auto Cuestión Prejudicial GH</w:t>
      </w:r>
      <w:r w:rsidRPr="00CD49CA">
        <w:rPr>
          <w:rFonts w:ascii="Arial" w:hAnsi="Arial" w:cs="Arial"/>
          <w:color w:val="000000"/>
          <w:sz w:val="20"/>
          <w:szCs w:val="20"/>
        </w:rPr>
        <w:t xml:space="preserve">”) y que por su relevancia, mencionaremos a lo largo de este escrito. En dicha cuestión prejudicial las preguntas que se plantean se refieren al </w:t>
      </w:r>
      <w:proofErr w:type="spellStart"/>
      <w:r w:rsidRPr="00CD49CA">
        <w:rPr>
          <w:rFonts w:ascii="Arial" w:hAnsi="Arial" w:cs="Arial"/>
          <w:color w:val="000000"/>
          <w:sz w:val="20"/>
          <w:szCs w:val="20"/>
        </w:rPr>
        <w:t>dies</w:t>
      </w:r>
      <w:proofErr w:type="spellEnd"/>
      <w:r w:rsidRPr="00CD49CA">
        <w:rPr>
          <w:rFonts w:ascii="Arial" w:hAnsi="Arial" w:cs="Arial"/>
          <w:color w:val="000000"/>
          <w:sz w:val="20"/>
          <w:szCs w:val="20"/>
        </w:rPr>
        <w:t xml:space="preserve"> a quo (a lo que haremos referencia más adelante) pero no hay ninguna duda de que el Tribunal Supremo, siguiendo la jurisprudencia del TJUE, considera que la acción de restitución de las prestaciones realizadas en ejecución de la cláusula declarada nula es una acción accesoria pero autónoma que tiene su propio régimen de prescripción. Así, en el párrafo 9 de dicho Auto, el Tribunal Supremo deja claro que tal distinción existe y que dicha acción de restitución es prescriptible</w:t>
      </w:r>
    </w:p>
    <w:p w14:paraId="497E0B46" w14:textId="77777777" w:rsidR="004364A0" w:rsidRPr="00CD49CA" w:rsidRDefault="004364A0" w:rsidP="004364A0">
      <w:pPr>
        <w:spacing w:before="240" w:after="240" w:line="360" w:lineRule="auto"/>
        <w:ind w:firstLine="567"/>
        <w:jc w:val="both"/>
        <w:rPr>
          <w:rFonts w:ascii="Arial" w:hAnsi="Arial" w:cs="Arial"/>
          <w:color w:val="000000"/>
          <w:sz w:val="20"/>
          <w:szCs w:val="20"/>
        </w:rPr>
      </w:pPr>
      <w:r w:rsidRPr="00CD49CA">
        <w:rPr>
          <w:rFonts w:ascii="Arial" w:hAnsi="Arial" w:cs="Arial"/>
          <w:color w:val="000000"/>
          <w:sz w:val="20"/>
          <w:szCs w:val="20"/>
        </w:rPr>
        <w:t>“</w:t>
      </w:r>
      <w:r w:rsidRPr="00CD49CA">
        <w:rPr>
          <w:rFonts w:ascii="Arial" w:hAnsi="Arial" w:cs="Arial"/>
          <w:i/>
          <w:iCs/>
          <w:color w:val="000000"/>
          <w:sz w:val="20"/>
          <w:szCs w:val="20"/>
        </w:rPr>
        <w:t xml:space="preserve">En efecto, en la sentencia de 27 de febrero de 20164 y en la más reciente sentencia 747/2010, de 30 de diciembre, hemos distinguido entre la acción de declaración de nulidad absoluta del contrato, que hemos considerado imprescriptible, y </w:t>
      </w:r>
      <w:r w:rsidRPr="00CD49CA">
        <w:rPr>
          <w:rFonts w:ascii="Arial" w:hAnsi="Arial" w:cs="Arial"/>
          <w:b/>
          <w:bCs/>
          <w:i/>
          <w:iCs/>
          <w:color w:val="000000"/>
          <w:sz w:val="20"/>
          <w:szCs w:val="20"/>
        </w:rPr>
        <w:t xml:space="preserve">la acción de restitución de las </w:t>
      </w:r>
      <w:r w:rsidRPr="00CD49CA">
        <w:rPr>
          <w:rFonts w:ascii="Arial" w:hAnsi="Arial" w:cs="Arial"/>
          <w:b/>
          <w:bCs/>
          <w:i/>
          <w:iCs/>
          <w:color w:val="000000"/>
          <w:sz w:val="20"/>
          <w:szCs w:val="20"/>
        </w:rPr>
        <w:lastRenderedPageBreak/>
        <w:t>prestaciones realizadas en ejecución del contrato nulo, a la que hemos aplicado el régimen de prescripción de las acciones personales</w:t>
      </w:r>
      <w:r w:rsidRPr="00CD49CA">
        <w:rPr>
          <w:rFonts w:ascii="Arial" w:hAnsi="Arial" w:cs="Arial"/>
          <w:color w:val="000000"/>
          <w:sz w:val="20"/>
          <w:szCs w:val="20"/>
        </w:rPr>
        <w:t>”</w:t>
      </w:r>
    </w:p>
    <w:p w14:paraId="038358D2"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 el mismo sentido, se pronuncian los órganos inferiores. Se cita, por ejemplo, las sentencias núm. 1828/2020, de 10 de septiembre de 2020, y 2548/2020, de 1 de diciembre de 2020, de la Audiencia Provincial de Barcelona (Sección 15ª)</w:t>
      </w:r>
      <w:r w:rsidRPr="00CD49CA">
        <w:rPr>
          <w:rStyle w:val="Refdenotaalpie"/>
          <w:rFonts w:cs="Arial"/>
          <w:color w:val="000000"/>
          <w:sz w:val="20"/>
          <w:szCs w:val="20"/>
        </w:rPr>
        <w:t xml:space="preserve"> </w:t>
      </w:r>
      <w:r w:rsidRPr="00CD49CA">
        <w:rPr>
          <w:rStyle w:val="Refdenotaalpie"/>
          <w:rFonts w:cs="Arial"/>
          <w:color w:val="000000"/>
          <w:sz w:val="20"/>
          <w:szCs w:val="20"/>
        </w:rPr>
        <w:footnoteReference w:id="36"/>
      </w:r>
      <w:r w:rsidRPr="00CD49CA">
        <w:rPr>
          <w:rFonts w:ascii="Arial" w:hAnsi="Arial" w:cs="Arial"/>
          <w:color w:val="000000"/>
          <w:sz w:val="20"/>
          <w:szCs w:val="20"/>
        </w:rPr>
        <w:t xml:space="preserve">, que distinguen entre declaración de nulidad (como se denomina en derecho nacional a la acción declarativa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y restitución de ventajas o resarcimiento concluyendo que “</w:t>
      </w:r>
      <w:r w:rsidRPr="00CD49CA">
        <w:rPr>
          <w:rFonts w:ascii="Arial" w:hAnsi="Arial" w:cs="Arial"/>
          <w:i/>
          <w:iCs/>
          <w:color w:val="000000"/>
          <w:sz w:val="20"/>
          <w:szCs w:val="20"/>
        </w:rPr>
        <w:t>no</w:t>
      </w:r>
      <w:r w:rsidRPr="00CD49CA">
        <w:rPr>
          <w:rFonts w:ascii="Arial" w:hAnsi="Arial" w:cs="Arial"/>
          <w:i/>
          <w:color w:val="000000"/>
          <w:sz w:val="20"/>
          <w:szCs w:val="20"/>
        </w:rPr>
        <w:t xml:space="preserve"> estimamos que estemos ante una única acción de nulidad imprescriptible y que no podamos distinguir, como hace de forma casi unánime la doctrina, entre la acción declarativa de nulidad y la acción de remoción de los efectos</w:t>
      </w:r>
      <w:r w:rsidRPr="00CD49CA">
        <w:rPr>
          <w:rFonts w:ascii="Arial" w:hAnsi="Arial" w:cs="Arial"/>
          <w:iCs/>
          <w:color w:val="000000"/>
          <w:sz w:val="20"/>
          <w:szCs w:val="20"/>
        </w:rPr>
        <w:t xml:space="preserve">”; o la </w:t>
      </w:r>
      <w:r w:rsidRPr="00CD49CA">
        <w:rPr>
          <w:rFonts w:ascii="Arial" w:hAnsi="Arial" w:cs="Arial"/>
          <w:color w:val="000000"/>
          <w:sz w:val="20"/>
          <w:szCs w:val="20"/>
        </w:rPr>
        <w:t>Sentencia de la Audiencia Provincial de Madrid (Sección 28ª), núm. 1098/2020, de 11 de junio de 2020, donde se concluye que la acción restitutoria no puede quedar sujeta al mismo régimen de prescripción “</w:t>
      </w:r>
      <w:r w:rsidRPr="00CD49CA">
        <w:rPr>
          <w:rFonts w:ascii="Arial" w:hAnsi="Arial" w:cs="Arial"/>
          <w:b/>
          <w:bCs/>
          <w:i/>
          <w:color w:val="000000"/>
          <w:sz w:val="20"/>
          <w:szCs w:val="20"/>
          <w:u w:val="single"/>
        </w:rPr>
        <w:t>por ser una acción distinta de la declarativa de nulidad</w:t>
      </w:r>
      <w:r w:rsidRPr="00CD49CA">
        <w:rPr>
          <w:rFonts w:ascii="Arial" w:hAnsi="Arial" w:cs="Arial"/>
          <w:iCs/>
          <w:color w:val="000000"/>
          <w:sz w:val="20"/>
          <w:szCs w:val="20"/>
        </w:rPr>
        <w:t>”, lo que le lleva a concluir que “</w:t>
      </w:r>
      <w:r w:rsidRPr="00CD49CA">
        <w:rPr>
          <w:rFonts w:ascii="Arial" w:hAnsi="Arial" w:cs="Arial"/>
          <w:b/>
          <w:bCs/>
          <w:i/>
          <w:color w:val="000000"/>
          <w:sz w:val="20"/>
          <w:szCs w:val="20"/>
          <w:u w:val="single"/>
        </w:rPr>
        <w:t>el reconocimiento de la diversidad de acciones implica que cada una se rija por la normativa y el régimen jurídico que le resulte de aplicación, según su naturaleza jurídica</w:t>
      </w:r>
      <w:r w:rsidRPr="00CD49CA">
        <w:rPr>
          <w:rFonts w:ascii="Arial" w:hAnsi="Arial" w:cs="Arial"/>
          <w:iCs/>
          <w:color w:val="000000"/>
          <w:sz w:val="20"/>
          <w:szCs w:val="20"/>
        </w:rPr>
        <w:t>”.</w:t>
      </w:r>
    </w:p>
    <w:p w14:paraId="60F32257"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CD49CA">
        <w:rPr>
          <w:rStyle w:val="Refdenotaalpie"/>
          <w:rFonts w:cs="Arial"/>
          <w:color w:val="000000"/>
          <w:sz w:val="20"/>
          <w:szCs w:val="20"/>
        </w:rPr>
        <w:footnoteReference w:id="37"/>
      </w:r>
      <w:r w:rsidRPr="00CD49CA">
        <w:rPr>
          <w:rFonts w:ascii="Arial" w:hAnsi="Arial" w:cs="Arial"/>
          <w:color w:val="000000"/>
          <w:sz w:val="20"/>
          <w:szCs w:val="20"/>
        </w:rPr>
        <w:t xml:space="preserve"> o la Audiencia Provincial de Murcia</w:t>
      </w:r>
      <w:r w:rsidRPr="00CD49CA">
        <w:rPr>
          <w:rStyle w:val="Refdenotaalpie"/>
          <w:rFonts w:cs="Arial"/>
          <w:color w:val="000000"/>
          <w:sz w:val="20"/>
          <w:szCs w:val="20"/>
        </w:rPr>
        <w:footnoteReference w:id="38"/>
      </w:r>
      <w:r w:rsidRPr="00CD49CA">
        <w:rPr>
          <w:rFonts w:ascii="Arial" w:hAnsi="Arial" w:cs="Arial"/>
          <w:color w:val="000000"/>
          <w:sz w:val="20"/>
          <w:szCs w:val="20"/>
        </w:rPr>
        <w:t>). Ejemplo de ello es la Sentencia del Tribunal Supremo nº 38/2015, de 24 de mayo,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6A794A54" w14:textId="77777777" w:rsidR="004364A0" w:rsidRPr="00CD49CA" w:rsidRDefault="004364A0" w:rsidP="004364A0">
      <w:pPr>
        <w:pStyle w:val="Prrafodelista"/>
        <w:keepNext/>
        <w:numPr>
          <w:ilvl w:val="0"/>
          <w:numId w:val="23"/>
        </w:numPr>
        <w:spacing w:before="240" w:after="240" w:line="360" w:lineRule="auto"/>
        <w:ind w:left="567" w:hanging="567"/>
        <w:contextualSpacing w:val="0"/>
        <w:jc w:val="both"/>
        <w:rPr>
          <w:rFonts w:ascii="Arial" w:hAnsi="Arial" w:cs="Arial"/>
          <w:color w:val="000000"/>
          <w:sz w:val="20"/>
          <w:szCs w:val="20"/>
        </w:rPr>
      </w:pPr>
      <w:r w:rsidRPr="00CD49CA">
        <w:rPr>
          <w:rFonts w:ascii="Arial" w:hAnsi="Arial" w:cs="Arial"/>
          <w:b/>
          <w:color w:val="000000"/>
          <w:sz w:val="20"/>
          <w:szCs w:val="20"/>
        </w:rPr>
        <w:lastRenderedPageBreak/>
        <w:t>Sujeción de la acción de restitución a prescripción</w:t>
      </w:r>
    </w:p>
    <w:p w14:paraId="4A2579D7" w14:textId="77777777" w:rsidR="004364A0" w:rsidRPr="00CD49CA" w:rsidRDefault="004364A0" w:rsidP="004364A0">
      <w:pPr>
        <w:keepNext/>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El carácter autónomo de las acciones declarativas y restitutorias conlleva, entre otras cosas, que cada una esté sujeta a un régimen de prescripción diferente. </w:t>
      </w:r>
    </w:p>
    <w:p w14:paraId="1AC01A94" w14:textId="77777777" w:rsidR="004364A0" w:rsidRPr="00CD49CA" w:rsidRDefault="004364A0" w:rsidP="004364A0">
      <w:pPr>
        <w:keepNext/>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Respecto de la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las Directrices de la Comisión indican que la concurrencia de plazos de prescripción aplicables</w:t>
      </w:r>
      <w:r w:rsidRPr="00CD49CA">
        <w:rPr>
          <w:rStyle w:val="Refdenotaalpie"/>
          <w:rFonts w:cs="Arial"/>
          <w:color w:val="000000"/>
          <w:sz w:val="20"/>
          <w:szCs w:val="20"/>
        </w:rPr>
        <w:footnoteReference w:id="39"/>
      </w:r>
      <w:r w:rsidRPr="00CD49CA">
        <w:rPr>
          <w:rFonts w:ascii="Arial" w:hAnsi="Arial" w:cs="Arial"/>
          <w:color w:val="000000"/>
          <w:sz w:val="20"/>
          <w:szCs w:val="20"/>
        </w:rPr>
        <w:t xml:space="preserve"> no puede impedir a los consumidores (i) solicitar a un profesional que elimine una cláusula abusiva de un contrato, (ii) pedir que una cláusula del contrato se declare inválida en sede judicial u (iii)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de la cláusula no estaría sujeta a plazo de prescripción. Sirva de ejemplo el asunto </w:t>
      </w:r>
      <w:r w:rsidRPr="00CD49CA">
        <w:rPr>
          <w:rFonts w:ascii="Arial" w:hAnsi="Arial" w:cs="Arial"/>
          <w:i/>
          <w:iCs/>
          <w:color w:val="000000"/>
          <w:sz w:val="20"/>
          <w:szCs w:val="20"/>
        </w:rPr>
        <w:t xml:space="preserve">BNP </w:t>
      </w:r>
      <w:proofErr w:type="spellStart"/>
      <w:r w:rsidRPr="00CD49CA">
        <w:rPr>
          <w:rFonts w:ascii="Arial" w:hAnsi="Arial" w:cs="Arial"/>
          <w:i/>
          <w:iCs/>
          <w:color w:val="000000"/>
          <w:sz w:val="20"/>
          <w:szCs w:val="20"/>
        </w:rPr>
        <w:t>Paribas</w:t>
      </w:r>
      <w:proofErr w:type="spellEnd"/>
      <w:r w:rsidRPr="00CD49CA">
        <w:rPr>
          <w:rStyle w:val="Refdenotaalpie"/>
          <w:rFonts w:cs="Arial"/>
          <w:color w:val="000000"/>
          <w:sz w:val="20"/>
          <w:szCs w:val="20"/>
        </w:rPr>
        <w:footnoteReference w:id="40"/>
      </w:r>
      <w:r w:rsidRPr="00CD49CA">
        <w:rPr>
          <w:rFonts w:ascii="Arial" w:hAnsi="Arial" w:cs="Arial"/>
          <w:color w:val="000000"/>
          <w:sz w:val="20"/>
          <w:szCs w:val="20"/>
        </w:rPr>
        <w:t>:</w:t>
      </w:r>
    </w:p>
    <w:p w14:paraId="56C861B4" w14:textId="77777777" w:rsidR="004364A0" w:rsidRPr="00CD49CA" w:rsidRDefault="004364A0" w:rsidP="004364A0">
      <w:pPr>
        <w:spacing w:before="240" w:after="240" w:line="360" w:lineRule="auto"/>
        <w:ind w:firstLine="567"/>
        <w:jc w:val="both"/>
        <w:rPr>
          <w:rFonts w:ascii="Arial" w:hAnsi="Arial" w:cs="Arial"/>
          <w:color w:val="000000"/>
          <w:sz w:val="20"/>
          <w:szCs w:val="20"/>
        </w:rPr>
      </w:pPr>
      <w:r w:rsidRPr="00CD49CA">
        <w:rPr>
          <w:rFonts w:ascii="Arial" w:hAnsi="Arial" w:cs="Arial"/>
          <w:color w:val="000000"/>
          <w:sz w:val="20"/>
          <w:szCs w:val="20"/>
        </w:rPr>
        <w:t xml:space="preserve">“(…) </w:t>
      </w:r>
      <w:r w:rsidRPr="00CD49CA">
        <w:rPr>
          <w:rFonts w:ascii="Arial" w:hAnsi="Arial" w:cs="Arial"/>
          <w:i/>
          <w:iCs/>
          <w:color w:val="000000"/>
          <w:sz w:val="20"/>
          <w:szCs w:val="20"/>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CD49CA">
        <w:rPr>
          <w:rFonts w:ascii="Arial" w:hAnsi="Arial" w:cs="Arial"/>
          <w:b/>
          <w:bCs/>
          <w:i/>
          <w:iCs/>
          <w:color w:val="000000"/>
          <w:sz w:val="20"/>
          <w:szCs w:val="20"/>
          <w:u w:val="single"/>
        </w:rPr>
        <w:t>una acción ejercitada por el consumidor para que se declare el carácter abusivo de una cláusula incluida en un contrato celebrado entre un profesional y un consumidor no puede estar sujeta a ningún plazo de prescripción</w:t>
      </w:r>
      <w:r w:rsidRPr="00CD49CA">
        <w:rPr>
          <w:rFonts w:ascii="Arial" w:hAnsi="Arial" w:cs="Arial"/>
          <w:color w:val="000000"/>
          <w:sz w:val="20"/>
          <w:szCs w:val="20"/>
        </w:rPr>
        <w:t>”.</w:t>
      </w:r>
    </w:p>
    <w:p w14:paraId="60590A3C"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Sin embargo, respecto de la acción de remoción de efectos o restitución, las Directrices de la Comisión y el TJUE han señalado que esta acción autónoma, en aplicación de las exigencias del </w:t>
      </w:r>
      <w:r w:rsidRPr="00CD49CA">
        <w:rPr>
          <w:rFonts w:ascii="Arial" w:hAnsi="Arial" w:cs="Arial"/>
          <w:color w:val="000000"/>
          <w:sz w:val="20"/>
          <w:szCs w:val="20"/>
          <w:u w:val="single"/>
        </w:rPr>
        <w:t>principio de seguridad jurídica,</w:t>
      </w:r>
      <w:r w:rsidRPr="00CD49CA">
        <w:rPr>
          <w:rFonts w:ascii="Arial" w:hAnsi="Arial" w:cs="Arial"/>
          <w:color w:val="000000"/>
          <w:sz w:val="20"/>
          <w:szCs w:val="20"/>
        </w:rPr>
        <w:t xml:space="preserve"> está sometida a los plazos de prescripción previstos en los ordenamientos nacionales para las acciones ejercitadas con base en el Derecho nacional que sean similares a la vista de </w:t>
      </w:r>
      <w:r w:rsidRPr="00CD49CA">
        <w:rPr>
          <w:rFonts w:ascii="Arial" w:hAnsi="Arial" w:cs="Arial"/>
          <w:sz w:val="20"/>
          <w:szCs w:val="20"/>
        </w:rPr>
        <w:t>su objeto, causa y elementos esenciales</w:t>
      </w:r>
      <w:r w:rsidRPr="00CD49CA">
        <w:rPr>
          <w:rFonts w:ascii="Arial" w:hAnsi="Arial" w:cs="Arial"/>
          <w:color w:val="000000"/>
          <w:sz w:val="20"/>
          <w:szCs w:val="20"/>
        </w:rPr>
        <w:t xml:space="preserve"> o que protejan derechos similares conferidos por el ordenamiento interno</w:t>
      </w:r>
      <w:r w:rsidRPr="00CD49CA">
        <w:rPr>
          <w:rStyle w:val="Refdenotaalpie"/>
          <w:rFonts w:cs="Arial"/>
          <w:color w:val="000000"/>
          <w:sz w:val="20"/>
          <w:szCs w:val="20"/>
        </w:rPr>
        <w:footnoteReference w:id="41"/>
      </w:r>
      <w:r w:rsidRPr="00CD49CA">
        <w:rPr>
          <w:rFonts w:ascii="Arial" w:hAnsi="Arial" w:cs="Arial"/>
          <w:color w:val="000000"/>
          <w:sz w:val="20"/>
          <w:szCs w:val="20"/>
        </w:rPr>
        <w:t>.</w:t>
      </w:r>
    </w:p>
    <w:p w14:paraId="52EA8373"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p>
    <w:p w14:paraId="09C1C2F3"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t xml:space="preserve">En la STJUE de 9 de julio de 2020, asunto </w:t>
      </w:r>
      <w:r w:rsidRPr="00CD49CA">
        <w:rPr>
          <w:rFonts w:ascii="Arial" w:hAnsi="Arial" w:cs="Arial"/>
          <w:i/>
          <w:iCs/>
          <w:color w:val="000000"/>
          <w:sz w:val="20"/>
          <w:szCs w:val="20"/>
        </w:rPr>
        <w:t>Ibercaja</w:t>
      </w:r>
      <w:r w:rsidRPr="00CD49CA">
        <w:rPr>
          <w:rStyle w:val="Refdenotaalpie"/>
          <w:rFonts w:cs="Arial"/>
          <w:i/>
          <w:iCs/>
          <w:color w:val="000000"/>
          <w:sz w:val="20"/>
          <w:szCs w:val="20"/>
        </w:rPr>
        <w:footnoteReference w:id="42"/>
      </w:r>
      <w:r w:rsidRPr="00CD49CA">
        <w:rPr>
          <w:rFonts w:ascii="Arial" w:hAnsi="Arial" w:cs="Arial"/>
          <w:i/>
          <w:iCs/>
          <w:color w:val="000000"/>
          <w:sz w:val="20"/>
          <w:szCs w:val="20"/>
        </w:rPr>
        <w:t xml:space="preserve"> </w:t>
      </w:r>
      <w:r w:rsidRPr="00CD49CA">
        <w:rPr>
          <w:rFonts w:ascii="Arial" w:hAnsi="Arial" w:cs="Arial"/>
          <w:color w:val="000000"/>
          <w:sz w:val="20"/>
          <w:szCs w:val="20"/>
        </w:rPr>
        <w:t xml:space="preserve">el TJUE volvió a afirmar que la protección del consumidor no es absoluta y que, por tanto, la fijación de plazos </w:t>
      </w:r>
      <w:r w:rsidRPr="00CD49CA">
        <w:rPr>
          <w:rFonts w:ascii="Arial" w:hAnsi="Arial" w:cs="Arial"/>
          <w:color w:val="000000"/>
          <w:sz w:val="20"/>
          <w:szCs w:val="20"/>
        </w:rPr>
        <w:lastRenderedPageBreak/>
        <w:t>razonables de carácter preclusivo, en interés de la seguridad jurídica era compatible con el Derecho de la Unión Europea:</w:t>
      </w:r>
    </w:p>
    <w:p w14:paraId="69609487" w14:textId="77777777" w:rsidR="004364A0" w:rsidRPr="00CD49CA" w:rsidRDefault="004364A0" w:rsidP="004364A0">
      <w:pPr>
        <w:spacing w:before="240" w:after="240" w:line="360" w:lineRule="auto"/>
        <w:ind w:left="1134" w:firstLine="141"/>
        <w:jc w:val="both"/>
        <w:rPr>
          <w:rFonts w:ascii="Arial" w:hAnsi="Arial" w:cs="Arial"/>
          <w:iCs/>
          <w:color w:val="000000"/>
          <w:sz w:val="20"/>
          <w:szCs w:val="20"/>
        </w:rPr>
      </w:pPr>
      <w:r w:rsidRPr="00CD49CA">
        <w:rPr>
          <w:rFonts w:ascii="Arial" w:hAnsi="Arial" w:cs="Arial"/>
          <w:iCs/>
          <w:color w:val="000000"/>
          <w:sz w:val="20"/>
          <w:szCs w:val="20"/>
        </w:rPr>
        <w:t>“(…)</w:t>
      </w:r>
      <w:r w:rsidRPr="00CD49CA">
        <w:rPr>
          <w:rFonts w:ascii="Arial" w:hAnsi="Arial" w:cs="Arial"/>
          <w:i/>
          <w:color w:val="000000"/>
          <w:sz w:val="20"/>
          <w:szCs w:val="20"/>
        </w:rPr>
        <w:t xml:space="preserve"> el Derecho de la Unión no se opone a una normativa nacional que, </w:t>
      </w:r>
      <w:r w:rsidRPr="00CD49CA">
        <w:rPr>
          <w:rFonts w:ascii="Arial" w:hAnsi="Arial" w:cs="Arial"/>
          <w:i/>
          <w:color w:val="000000"/>
          <w:sz w:val="20"/>
          <w:szCs w:val="20"/>
          <w:u w:val="single"/>
        </w:rPr>
        <w:t>a la vez que reconoce el carácter imprescriptible de la acción de nulidad de una cláusula abusiva</w:t>
      </w:r>
      <w:r w:rsidRPr="00CD49CA">
        <w:rPr>
          <w:rFonts w:ascii="Arial" w:hAnsi="Arial" w:cs="Arial"/>
          <w:i/>
          <w:color w:val="000000"/>
          <w:sz w:val="20"/>
          <w:szCs w:val="20"/>
        </w:rPr>
        <w:t xml:space="preserve"> incluida en un contrato celebrado entre un profesional y un consumidor, </w:t>
      </w:r>
      <w:r w:rsidRPr="00CD49CA">
        <w:rPr>
          <w:rFonts w:ascii="Arial" w:hAnsi="Arial" w:cs="Arial"/>
          <w:b/>
          <w:bCs/>
          <w:i/>
          <w:color w:val="000000"/>
          <w:sz w:val="20"/>
          <w:szCs w:val="20"/>
          <w:u w:val="single"/>
        </w:rPr>
        <w:t>sujeta a un plazo de prescripción la acción dirigida a hacer valer los efectos restitutorios de esta declaración, siempre que se respeten los principios de equivalencia y de efectividad</w:t>
      </w:r>
      <w:r w:rsidRPr="00CD49CA">
        <w:rPr>
          <w:rFonts w:ascii="Arial" w:hAnsi="Arial" w:cs="Arial"/>
          <w:i/>
          <w:color w:val="000000"/>
          <w:sz w:val="20"/>
          <w:szCs w:val="20"/>
        </w:rPr>
        <w:t>.</w:t>
      </w:r>
      <w:r w:rsidRPr="00CD49CA">
        <w:rPr>
          <w:rFonts w:ascii="Arial" w:hAnsi="Arial" w:cs="Arial"/>
          <w:iCs/>
          <w:color w:val="000000"/>
          <w:sz w:val="20"/>
          <w:szCs w:val="20"/>
        </w:rPr>
        <w:t>”</w:t>
      </w:r>
    </w:p>
    <w:p w14:paraId="392EFE59"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t xml:space="preserve">En el asunto </w:t>
      </w:r>
      <w:proofErr w:type="spellStart"/>
      <w:r w:rsidRPr="00CD49CA">
        <w:rPr>
          <w:rFonts w:ascii="Arial" w:hAnsi="Arial" w:cs="Arial"/>
          <w:i/>
          <w:color w:val="000000"/>
          <w:sz w:val="20"/>
          <w:szCs w:val="20"/>
        </w:rPr>
        <w:t>Caixabank</w:t>
      </w:r>
      <w:proofErr w:type="spellEnd"/>
      <w:r w:rsidRPr="00CD49CA">
        <w:rPr>
          <w:rStyle w:val="Refdenotaalpie"/>
          <w:rFonts w:cs="Arial"/>
          <w:sz w:val="20"/>
          <w:szCs w:val="20"/>
        </w:rPr>
        <w:footnoteReference w:id="43"/>
      </w:r>
      <w:r w:rsidRPr="00CD49CA">
        <w:rPr>
          <w:rFonts w:ascii="Arial" w:hAnsi="Arial" w:cs="Arial"/>
          <w:iCs/>
          <w:color w:val="000000"/>
          <w:sz w:val="20"/>
          <w:szCs w:val="20"/>
        </w:rPr>
        <w:t xml:space="preserve"> el TJUE reiteró lo anterior declarando que la Directiva 93/13 era compatible con que “</w:t>
      </w:r>
      <w:r w:rsidRPr="00CD49CA">
        <w:rPr>
          <w:rFonts w:ascii="Arial" w:hAnsi="Arial" w:cs="Arial"/>
          <w:b/>
          <w:bCs/>
          <w:i/>
          <w:color w:val="000000"/>
          <w:sz w:val="20"/>
          <w:szCs w:val="20"/>
          <w:u w:val="single"/>
        </w:rPr>
        <w:t>el ejercicio de la acción dirigida a hacer valer los efectos restitutorios de la declaración de la nulidad de una cláusula contractual abusiva quede sometido a un plazo de prescripción</w:t>
      </w:r>
      <w:r w:rsidRPr="00CD49CA">
        <w:rPr>
          <w:rFonts w:ascii="Arial" w:hAnsi="Arial" w:cs="Arial"/>
          <w:i/>
          <w:color w:val="000000"/>
          <w:sz w:val="20"/>
          <w:szCs w:val="20"/>
        </w:rPr>
        <w:t>, siempre que ni el momento en que ese plazo comienza a correr ni su duración hagan imposible en la práctica o excesivamente difícil el ejercicio del derecho del consumidor a solicitar tal restitución</w:t>
      </w:r>
      <w:r w:rsidRPr="00CD49CA">
        <w:rPr>
          <w:rFonts w:ascii="Arial" w:hAnsi="Arial" w:cs="Arial"/>
          <w:color w:val="000000"/>
          <w:sz w:val="20"/>
          <w:szCs w:val="20"/>
        </w:rPr>
        <w:t>.”</w:t>
      </w:r>
    </w:p>
    <w:p w14:paraId="5AE0671C"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t xml:space="preserve">Finalmente, la reciente STJUE en el asunto </w:t>
      </w:r>
      <w:r w:rsidRPr="00CD49CA">
        <w:rPr>
          <w:rFonts w:ascii="Arial" w:hAnsi="Arial" w:cs="Arial"/>
          <w:i/>
          <w:iCs/>
          <w:color w:val="000000"/>
          <w:sz w:val="20"/>
          <w:szCs w:val="20"/>
        </w:rPr>
        <w:t xml:space="preserve">BNP </w:t>
      </w:r>
      <w:proofErr w:type="spellStart"/>
      <w:r w:rsidRPr="00CD49CA">
        <w:rPr>
          <w:rFonts w:ascii="Arial" w:hAnsi="Arial" w:cs="Arial"/>
          <w:i/>
          <w:iCs/>
          <w:color w:val="000000"/>
          <w:sz w:val="20"/>
          <w:szCs w:val="20"/>
        </w:rPr>
        <w:t>Paribas</w:t>
      </w:r>
      <w:proofErr w:type="spellEnd"/>
      <w:r w:rsidRPr="00CD49CA">
        <w:rPr>
          <w:rFonts w:ascii="Arial" w:hAnsi="Arial" w:cs="Arial"/>
          <w:color w:val="000000"/>
          <w:sz w:val="20"/>
          <w:szCs w:val="20"/>
        </w:rPr>
        <w:t>, además de reiterar los pronunciamientos anteriores, recalcó que “</w:t>
      </w:r>
      <w:r w:rsidRPr="00CD49CA">
        <w:rPr>
          <w:rFonts w:ascii="Arial" w:hAnsi="Arial" w:cs="Arial"/>
          <w:i/>
          <w:iCs/>
          <w:color w:val="000000"/>
          <w:sz w:val="20"/>
          <w:szCs w:val="20"/>
        </w:rPr>
        <w:t>procede considerar que la oposición de un plazo de prescripción a las acciones de carácter restitutorio, ejercitadas por unos consumidores con el fin de hacer valer derechos que les confiere la Directiva 93/13, no es, en sí misma, contraria al principio de efectividad siempre que su aplicación no haga imposible en la práctica o excesivamente difícil el ejercicio de los derechos conferidos en dicha Directiva</w:t>
      </w:r>
      <w:r w:rsidRPr="00CD49CA">
        <w:rPr>
          <w:rFonts w:ascii="Arial" w:hAnsi="Arial" w:cs="Arial"/>
          <w:color w:val="000000"/>
          <w:sz w:val="20"/>
          <w:szCs w:val="20"/>
        </w:rPr>
        <w:t>”</w:t>
      </w:r>
      <w:r w:rsidRPr="00CD49CA">
        <w:rPr>
          <w:rStyle w:val="Refdenotaalpie"/>
          <w:rFonts w:cs="Arial"/>
          <w:color w:val="000000"/>
          <w:sz w:val="20"/>
          <w:szCs w:val="20"/>
        </w:rPr>
        <w:footnoteReference w:id="44"/>
      </w:r>
      <w:r w:rsidRPr="00CD49CA">
        <w:rPr>
          <w:rFonts w:ascii="Arial" w:hAnsi="Arial" w:cs="Arial"/>
          <w:color w:val="000000"/>
          <w:sz w:val="20"/>
          <w:szCs w:val="20"/>
        </w:rPr>
        <w:t>.</w:t>
      </w:r>
    </w:p>
    <w:p w14:paraId="6DE081A6"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La sujeción de la acción restitutoria a un plazo de prescripción también se deprende del Derecho nacional. Como ya hemos indicado, el fundamento de la </w:t>
      </w:r>
      <w:proofErr w:type="spellStart"/>
      <w:r w:rsidRPr="00CD49CA">
        <w:rPr>
          <w:rFonts w:ascii="Arial" w:hAnsi="Arial" w:cs="Arial"/>
          <w:color w:val="000000"/>
          <w:sz w:val="20"/>
          <w:szCs w:val="20"/>
        </w:rPr>
        <w:t>prescriptibilidad</w:t>
      </w:r>
      <w:proofErr w:type="spellEnd"/>
      <w:r w:rsidRPr="00CD49CA">
        <w:rPr>
          <w:rFonts w:ascii="Arial" w:hAnsi="Arial" w:cs="Arial"/>
          <w:color w:val="000000"/>
          <w:sz w:val="20"/>
          <w:szCs w:val="20"/>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CD49CA">
        <w:rPr>
          <w:rFonts w:ascii="Arial" w:hAnsi="Arial" w:cs="Arial"/>
          <w:i/>
          <w:iCs/>
          <w:color w:val="000000"/>
          <w:sz w:val="20"/>
          <w:szCs w:val="20"/>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CD49CA">
        <w:rPr>
          <w:rFonts w:ascii="Arial" w:hAnsi="Arial" w:cs="Arial"/>
          <w:color w:val="000000"/>
          <w:sz w:val="20"/>
          <w:szCs w:val="20"/>
        </w:rPr>
        <w:t xml:space="preserve">”. Por ello, la prescripción debe ser objeto de interpretación y aplicación restrictiva ya que no se asienta en fundamentos de justicia intrínseca sino en la necesidad de limitar el ejercicio de los derechos en aras al principio de seguridad jurídica (SSTS de 27 de mayo de 1997 y 29 de octubre de 2003, entre otras muchas). </w:t>
      </w:r>
    </w:p>
    <w:p w14:paraId="58DAAD65"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lastRenderedPageBreak/>
        <w:t>Dado el carácter esencial del instituto de la prescripción, el artículo 1930.2º CC establece que los derechos y las acciones “</w:t>
      </w:r>
      <w:r w:rsidRPr="00CD49CA">
        <w:rPr>
          <w:rFonts w:ascii="Arial" w:hAnsi="Arial" w:cs="Arial"/>
          <w:i/>
          <w:color w:val="000000"/>
          <w:sz w:val="20"/>
          <w:szCs w:val="20"/>
        </w:rPr>
        <w:t>de cualquier clase que sean</w:t>
      </w:r>
      <w:r w:rsidRPr="00CD49CA">
        <w:rPr>
          <w:rFonts w:ascii="Arial" w:hAnsi="Arial" w:cs="Arial"/>
          <w:color w:val="000000"/>
          <w:sz w:val="20"/>
          <w:szCs w:val="20"/>
        </w:rPr>
        <w:t>” se extinguen por la prescripción</w:t>
      </w:r>
      <w:r w:rsidRPr="00CD49CA">
        <w:rPr>
          <w:rFonts w:ascii="Arial" w:hAnsi="Arial" w:cs="Arial"/>
          <w:i/>
          <w:color w:val="000000"/>
          <w:sz w:val="20"/>
          <w:szCs w:val="20"/>
        </w:rPr>
        <w:t>.</w:t>
      </w:r>
      <w:r w:rsidRPr="00CD49CA">
        <w:rPr>
          <w:rFonts w:ascii="Arial" w:hAnsi="Arial" w:cs="Arial"/>
          <w:color w:val="000000"/>
          <w:sz w:val="20"/>
          <w:szCs w:val="20"/>
        </w:rPr>
        <w:t xml:space="preserve"> Es decir, la prescripción es la regla y alcanza a todas la acciones,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51.2º de la Ley de Marcas). </w:t>
      </w:r>
    </w:p>
    <w:p w14:paraId="583AF1B4"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Pues bien, la normativa de transposición de la Directiva 93/13 al ordenamiento español (LCGC y LGDCU) no prevé que la acción de restitución –que es independiente y autónoma de la acción declarativa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68576373"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La jurisprudencia ha venido confirmando la carácter prescriptible de la acción de restitución. Como ya indicábamos más arriba, el Auto Cuestión Prejudicial GH pone fin a cualquier duda sobre esta cuestión al dejar claro en su párrafo 10 que “</w:t>
      </w:r>
      <w:r w:rsidRPr="00CD49CA">
        <w:rPr>
          <w:rFonts w:ascii="Arial" w:hAnsi="Arial" w:cs="Arial"/>
          <w:i/>
          <w:iCs/>
          <w:color w:val="000000"/>
          <w:sz w:val="20"/>
          <w:szCs w:val="20"/>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CD49CA">
        <w:rPr>
          <w:rFonts w:ascii="Arial" w:hAnsi="Arial" w:cs="Arial"/>
          <w:color w:val="000000"/>
          <w:sz w:val="20"/>
          <w:szCs w:val="20"/>
        </w:rPr>
        <w:t>”.</w:t>
      </w:r>
    </w:p>
    <w:p w14:paraId="7B8F238B"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 idéntico sentido se pronuncia la Sentencia de la Audiencia Provincial de Madrid nº 2473/2020, de 23 de noviembre dispuso que “</w:t>
      </w:r>
      <w:r w:rsidRPr="00CD49CA">
        <w:rPr>
          <w:rFonts w:ascii="Arial" w:hAnsi="Arial" w:cs="Arial"/>
          <w:i/>
          <w:iCs/>
          <w:color w:val="000000"/>
          <w:sz w:val="20"/>
          <w:szCs w:val="20"/>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CD49CA">
        <w:rPr>
          <w:rFonts w:ascii="Arial" w:hAnsi="Arial" w:cs="Arial"/>
          <w:color w:val="000000"/>
          <w:sz w:val="20"/>
          <w:szCs w:val="20"/>
        </w:rPr>
        <w:t>”. Con más claridad si cabe se pronuncia la Sentencia de la Audiencia Provincial de Valencia nº 1332/2020, de 24 de noviembre:</w:t>
      </w:r>
    </w:p>
    <w:p w14:paraId="3D53737F" w14:textId="77777777" w:rsidR="004364A0" w:rsidRPr="00CD49CA" w:rsidRDefault="004364A0" w:rsidP="004364A0">
      <w:pPr>
        <w:pStyle w:val="Prrafodelista"/>
        <w:spacing w:before="240" w:after="240" w:line="360" w:lineRule="auto"/>
        <w:ind w:left="1134"/>
        <w:contextualSpacing w:val="0"/>
        <w:jc w:val="both"/>
        <w:rPr>
          <w:rFonts w:ascii="Arial" w:hAnsi="Arial" w:cs="Arial"/>
          <w:i/>
          <w:iCs/>
          <w:color w:val="000000"/>
          <w:sz w:val="20"/>
          <w:szCs w:val="20"/>
        </w:rPr>
      </w:pPr>
      <w:r w:rsidRPr="00CD49CA">
        <w:rPr>
          <w:rFonts w:ascii="Arial" w:hAnsi="Arial" w:cs="Arial"/>
          <w:color w:val="000000"/>
          <w:sz w:val="20"/>
          <w:szCs w:val="20"/>
        </w:rPr>
        <w:t xml:space="preserve">“(…) </w:t>
      </w:r>
      <w:r w:rsidRPr="00CD49CA">
        <w:rPr>
          <w:rFonts w:ascii="Arial" w:hAnsi="Arial" w:cs="Arial"/>
          <w:i/>
          <w:iCs/>
          <w:color w:val="000000"/>
          <w:sz w:val="20"/>
          <w:szCs w:val="20"/>
        </w:rPr>
        <w:t>cabe señalar que esta Sección 9ª fijó su criterio respecto a la prescripción, en casos análogos, singularmente desde la Sentencia nº 66/2018, de 1 de febrero. En síntesis, en dicha resolución se examinaron tres cuestiones:</w:t>
      </w:r>
    </w:p>
    <w:p w14:paraId="4582AD79" w14:textId="77777777" w:rsidR="004364A0" w:rsidRPr="00CD49CA" w:rsidRDefault="004364A0" w:rsidP="004364A0">
      <w:pPr>
        <w:pStyle w:val="Prrafodelista"/>
        <w:spacing w:before="240" w:after="240" w:line="360" w:lineRule="auto"/>
        <w:ind w:left="1134"/>
        <w:contextualSpacing w:val="0"/>
        <w:jc w:val="both"/>
        <w:rPr>
          <w:rFonts w:ascii="Arial" w:hAnsi="Arial" w:cs="Arial"/>
          <w:i/>
          <w:iCs/>
          <w:color w:val="000000"/>
          <w:sz w:val="20"/>
          <w:szCs w:val="20"/>
        </w:rPr>
      </w:pPr>
      <w:r w:rsidRPr="00CD49CA">
        <w:rPr>
          <w:rFonts w:ascii="Arial" w:hAnsi="Arial" w:cs="Arial"/>
          <w:i/>
          <w:iCs/>
          <w:color w:val="000000"/>
          <w:sz w:val="20"/>
          <w:szCs w:val="20"/>
        </w:rPr>
        <w:t xml:space="preserve">1. </w:t>
      </w:r>
      <w:r w:rsidRPr="00CD49CA">
        <w:rPr>
          <w:rFonts w:ascii="Arial" w:hAnsi="Arial" w:cs="Arial"/>
          <w:b/>
          <w:bCs/>
          <w:i/>
          <w:iCs/>
          <w:color w:val="000000"/>
          <w:sz w:val="20"/>
          <w:szCs w:val="20"/>
          <w:u w:val="single"/>
        </w:rPr>
        <w:t>La distinción entre la acción declarativa de nulidad, imprescriptible, y la acción de restitución, sujeta a prescripción</w:t>
      </w:r>
      <w:r w:rsidRPr="00CD49CA">
        <w:rPr>
          <w:rFonts w:ascii="Arial" w:hAnsi="Arial" w:cs="Arial"/>
          <w:i/>
          <w:iCs/>
          <w:color w:val="000000"/>
          <w:sz w:val="20"/>
          <w:szCs w:val="20"/>
        </w:rPr>
        <w:t>. Señala así la indicada Sentencia nº 66/2018: “[…] En cambio</w:t>
      </w:r>
      <w:r w:rsidRPr="00CD49CA">
        <w:rPr>
          <w:rFonts w:ascii="Arial" w:hAnsi="Arial" w:cs="Arial"/>
          <w:b/>
          <w:bCs/>
          <w:i/>
          <w:iCs/>
          <w:color w:val="000000"/>
          <w:sz w:val="20"/>
          <w:szCs w:val="20"/>
          <w:u w:val="single"/>
        </w:rPr>
        <w:t xml:space="preserve">, la acción de restitución, que persigue un pronunciamiento de condena, sí está sujeta a plazo para su ejercicio, y la </w:t>
      </w:r>
      <w:r w:rsidRPr="00CD49CA">
        <w:rPr>
          <w:rFonts w:ascii="Arial" w:hAnsi="Arial" w:cs="Arial"/>
          <w:b/>
          <w:bCs/>
          <w:i/>
          <w:iCs/>
          <w:color w:val="000000"/>
          <w:sz w:val="20"/>
          <w:szCs w:val="20"/>
          <w:u w:val="single"/>
        </w:rPr>
        <w:lastRenderedPageBreak/>
        <w:t>razón fundamental de ello es la necesidad de otorgar certidumbre a las relaciones jurídicas</w:t>
      </w:r>
      <w:r w:rsidRPr="00CD49CA">
        <w:rPr>
          <w:rFonts w:ascii="Arial" w:hAnsi="Arial" w:cs="Arial"/>
          <w:i/>
          <w:iCs/>
          <w:color w:val="000000"/>
          <w:sz w:val="20"/>
          <w:szCs w:val="20"/>
        </w:rPr>
        <w:t xml:space="preserve">. </w:t>
      </w:r>
      <w:r w:rsidRPr="00CD49CA">
        <w:rPr>
          <w:rFonts w:ascii="Arial" w:hAnsi="Arial" w:cs="Arial"/>
          <w:color w:val="000000"/>
          <w:sz w:val="20"/>
          <w:szCs w:val="20"/>
        </w:rPr>
        <w:t>(…)</w:t>
      </w:r>
    </w:p>
    <w:p w14:paraId="4145C8BC" w14:textId="77777777" w:rsidR="004364A0" w:rsidRPr="00CD49CA" w:rsidRDefault="004364A0" w:rsidP="004364A0">
      <w:pPr>
        <w:pStyle w:val="Prrafodelista"/>
        <w:spacing w:before="240" w:after="240" w:line="360" w:lineRule="auto"/>
        <w:ind w:left="1134"/>
        <w:contextualSpacing w:val="0"/>
        <w:jc w:val="both"/>
        <w:rPr>
          <w:rFonts w:ascii="Arial" w:hAnsi="Arial" w:cs="Arial"/>
          <w:i/>
          <w:iCs/>
          <w:color w:val="000000"/>
          <w:sz w:val="20"/>
          <w:szCs w:val="20"/>
        </w:rPr>
      </w:pPr>
      <w:r w:rsidRPr="00CD49CA">
        <w:rPr>
          <w:rFonts w:ascii="Arial" w:hAnsi="Arial" w:cs="Arial"/>
          <w:color w:val="000000"/>
          <w:sz w:val="20"/>
          <w:szCs w:val="20"/>
        </w:rPr>
        <w:t>(…)</w:t>
      </w:r>
      <w:r w:rsidRPr="00CD49CA">
        <w:rPr>
          <w:rFonts w:ascii="Arial" w:hAnsi="Arial" w:cs="Arial"/>
          <w:i/>
          <w:iCs/>
          <w:color w:val="000000"/>
          <w:sz w:val="2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CD49CA">
        <w:rPr>
          <w:rFonts w:ascii="Arial" w:hAnsi="Arial" w:cs="Arial"/>
          <w:i/>
          <w:iCs/>
          <w:color w:val="000000"/>
          <w:sz w:val="20"/>
          <w:szCs w:val="20"/>
        </w:rPr>
        <w:t>imprescriptiblidad</w:t>
      </w:r>
      <w:proofErr w:type="spellEnd"/>
      <w:r w:rsidRPr="00CD49CA">
        <w:rPr>
          <w:rFonts w:ascii="Arial" w:hAnsi="Arial" w:cs="Arial"/>
          <w:i/>
          <w:iCs/>
          <w:color w:val="000000"/>
          <w:sz w:val="20"/>
          <w:szCs w:val="20"/>
        </w:rPr>
        <w:t xml:space="preserve"> de las acciones; y tres, entre las acciones que el Código declara imprescriptibles en el art. 1265 CC no se encuentra la acción de restitución”.</w:t>
      </w:r>
    </w:p>
    <w:p w14:paraId="2D329C9B"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sz w:val="20"/>
          <w:szCs w:val="20"/>
        </w:rPr>
        <w:t xml:space="preserve">Por tanto, </w:t>
      </w:r>
      <w:r w:rsidRPr="00CD49CA">
        <w:rPr>
          <w:rFonts w:ascii="Arial" w:hAnsi="Arial" w:cs="Arial"/>
          <w:color w:val="000000"/>
          <w:sz w:val="20"/>
          <w:szCs w:val="20"/>
        </w:rPr>
        <w:t xml:space="preserve">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09AEA4A7" w14:textId="77777777" w:rsidR="004364A0" w:rsidRPr="00CD49CA" w:rsidRDefault="004364A0" w:rsidP="004364A0">
      <w:pPr>
        <w:pStyle w:val="Prrafodelista"/>
        <w:numPr>
          <w:ilvl w:val="0"/>
          <w:numId w:val="23"/>
        </w:numPr>
        <w:spacing w:before="240" w:after="240" w:line="360" w:lineRule="auto"/>
        <w:ind w:left="567" w:hanging="567"/>
        <w:contextualSpacing w:val="0"/>
        <w:jc w:val="both"/>
        <w:rPr>
          <w:rFonts w:ascii="Arial" w:hAnsi="Arial" w:cs="Arial"/>
          <w:b/>
          <w:color w:val="000000"/>
          <w:sz w:val="20"/>
          <w:szCs w:val="20"/>
        </w:rPr>
      </w:pPr>
      <w:r w:rsidRPr="00CD49CA">
        <w:rPr>
          <w:rFonts w:ascii="Arial" w:hAnsi="Arial" w:cs="Arial"/>
          <w:b/>
          <w:color w:val="000000"/>
          <w:sz w:val="20"/>
          <w:szCs w:val="20"/>
        </w:rPr>
        <w:t>Aplicación del régimen de prescripción del artículo 1964 CC a la acción restitutoria. Respeto de los principios de equivalencia y efectividad</w:t>
      </w:r>
    </w:p>
    <w:p w14:paraId="0BEF52F1"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La Directiva 93/13 no establece un plazo de prescripción para la acción restitutoria por lo que deben aplicarse los plazos existentes en Derecho nacional, siempre que dichos plazos respeten los principios de efectividad y de equivalencia</w:t>
      </w:r>
      <w:r w:rsidRPr="00CD49CA">
        <w:rPr>
          <w:rStyle w:val="Refdenotaalpie"/>
          <w:rFonts w:eastAsia="Calibri" w:cs="Arial"/>
          <w:sz w:val="20"/>
          <w:szCs w:val="20"/>
        </w:rPr>
        <w:footnoteReference w:id="45"/>
      </w:r>
      <w:r w:rsidRPr="00CD49CA">
        <w:rPr>
          <w:rFonts w:ascii="Arial" w:hAnsi="Arial" w:cs="Arial"/>
          <w:color w:val="000000"/>
          <w:sz w:val="20"/>
          <w:szCs w:val="20"/>
        </w:rPr>
        <w:t xml:space="preserve">. </w:t>
      </w:r>
    </w:p>
    <w:p w14:paraId="774DAAD5"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A continuación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799FB1ED" w14:textId="77777777" w:rsidR="004364A0" w:rsidRPr="00CD49CA" w:rsidRDefault="004364A0" w:rsidP="004364A0">
      <w:pPr>
        <w:pStyle w:val="Prrafodelista"/>
        <w:numPr>
          <w:ilvl w:val="0"/>
          <w:numId w:val="25"/>
        </w:numPr>
        <w:spacing w:before="240" w:after="240" w:line="360" w:lineRule="auto"/>
        <w:ind w:left="1134" w:hanging="567"/>
        <w:contextualSpacing w:val="0"/>
        <w:jc w:val="both"/>
        <w:rPr>
          <w:rFonts w:ascii="Arial" w:hAnsi="Arial" w:cs="Arial"/>
          <w:b/>
          <w:color w:val="000000"/>
          <w:sz w:val="20"/>
          <w:szCs w:val="20"/>
        </w:rPr>
      </w:pPr>
      <w:r w:rsidRPr="00CD49CA">
        <w:rPr>
          <w:rFonts w:ascii="Arial" w:hAnsi="Arial" w:cs="Arial"/>
          <w:b/>
          <w:color w:val="000000"/>
          <w:sz w:val="20"/>
          <w:szCs w:val="20"/>
        </w:rPr>
        <w:t>Derecho nacional aplicable: 1964 CC</w:t>
      </w:r>
    </w:p>
    <w:p w14:paraId="7E79B75F" w14:textId="77777777" w:rsidR="004364A0" w:rsidRPr="00CD49CA" w:rsidRDefault="004364A0" w:rsidP="004364A0">
      <w:pPr>
        <w:spacing w:before="240" w:after="240" w:line="360" w:lineRule="auto"/>
        <w:jc w:val="both"/>
        <w:rPr>
          <w:rFonts w:ascii="Arial" w:hAnsi="Arial" w:cs="Arial"/>
          <w:i/>
          <w:color w:val="000000"/>
          <w:sz w:val="20"/>
          <w:szCs w:val="20"/>
        </w:rPr>
      </w:pPr>
      <w:r w:rsidRPr="00CD49CA">
        <w:rPr>
          <w:rFonts w:ascii="Arial" w:hAnsi="Arial" w:cs="Arial"/>
          <w:color w:val="000000"/>
          <w:sz w:val="20"/>
          <w:szCs w:val="20"/>
        </w:rPr>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el artículo </w:t>
      </w:r>
      <w:r w:rsidRPr="00CD49CA">
        <w:rPr>
          <w:rFonts w:ascii="Arial" w:hAnsi="Arial" w:cs="Arial"/>
          <w:sz w:val="20"/>
          <w:szCs w:val="20"/>
        </w:rPr>
        <w:t>1964.2 CC:</w:t>
      </w:r>
    </w:p>
    <w:p w14:paraId="1E7CB578" w14:textId="77777777" w:rsidR="004364A0" w:rsidRPr="00CD49CA" w:rsidRDefault="004364A0" w:rsidP="004364A0">
      <w:pPr>
        <w:spacing w:before="240" w:after="240" w:line="360" w:lineRule="auto"/>
        <w:ind w:firstLine="567"/>
        <w:jc w:val="both"/>
        <w:rPr>
          <w:rFonts w:ascii="Arial" w:hAnsi="Arial" w:cs="Arial"/>
          <w:iCs/>
          <w:color w:val="000000"/>
          <w:sz w:val="20"/>
          <w:szCs w:val="20"/>
        </w:rPr>
      </w:pPr>
      <w:r w:rsidRPr="00CD49CA">
        <w:rPr>
          <w:rFonts w:ascii="Arial" w:hAnsi="Arial" w:cs="Arial"/>
          <w:iCs/>
          <w:color w:val="000000"/>
          <w:sz w:val="20"/>
          <w:szCs w:val="20"/>
        </w:rPr>
        <w:lastRenderedPageBreak/>
        <w:t>“</w:t>
      </w:r>
      <w:r w:rsidRPr="00CD49CA">
        <w:rPr>
          <w:rFonts w:ascii="Arial" w:hAnsi="Arial" w:cs="Arial"/>
          <w:i/>
          <w:color w:val="000000"/>
          <w:sz w:val="20"/>
          <w:szCs w:val="20"/>
        </w:rPr>
        <w:t>2. Las acciones personales que no tengan plazo especial prescriben a los cinco años desde que pueda exigirse el cumplimiento de la obligación. En las obligaciones continuadas de hacer o no hacer, el plazo comenzará cada vez que se incumplan.</w:t>
      </w:r>
      <w:r w:rsidRPr="00CD49CA">
        <w:rPr>
          <w:rFonts w:ascii="Arial" w:hAnsi="Arial" w:cs="Arial"/>
          <w:iCs/>
          <w:color w:val="000000"/>
          <w:sz w:val="20"/>
          <w:szCs w:val="20"/>
        </w:rPr>
        <w:t>”</w:t>
      </w:r>
    </w:p>
    <w:p w14:paraId="314A7D1C" w14:textId="77777777" w:rsidR="004364A0" w:rsidRPr="00CD49CA" w:rsidRDefault="004364A0" w:rsidP="004364A0">
      <w:pPr>
        <w:spacing w:before="240" w:after="240" w:line="360" w:lineRule="auto"/>
        <w:jc w:val="both"/>
        <w:rPr>
          <w:rFonts w:ascii="Arial" w:hAnsi="Arial" w:cs="Arial"/>
          <w:iCs/>
          <w:color w:val="000000"/>
          <w:sz w:val="20"/>
          <w:szCs w:val="20"/>
        </w:rPr>
      </w:pPr>
      <w:r w:rsidRPr="00CD49CA">
        <w:rPr>
          <w:rFonts w:ascii="Arial" w:hAnsi="Arial" w:cs="Arial"/>
          <w:iCs/>
          <w:color w:val="000000"/>
          <w:sz w:val="20"/>
          <w:szCs w:val="20"/>
        </w:rPr>
        <w:t xml:space="preserve">La jurisprudencia ha venido considerando que la acción restitutoria fundada en la normativa de consumidores está sujeta al plazo de prescripción del artículo 1964.2 CC. Así lo </w:t>
      </w:r>
      <w:r w:rsidRPr="00CD49CA">
        <w:rPr>
          <w:rFonts w:ascii="Arial" w:hAnsi="Arial" w:cs="Arial"/>
          <w:color w:val="000000"/>
          <w:sz w:val="20"/>
          <w:szCs w:val="20"/>
        </w:rPr>
        <w:t>establece de forma definitiva</w:t>
      </w:r>
      <w:r w:rsidRPr="00CD49CA">
        <w:rPr>
          <w:rFonts w:ascii="Arial" w:hAnsi="Arial" w:cs="Arial"/>
          <w:sz w:val="20"/>
          <w:szCs w:val="20"/>
        </w:rPr>
        <w:t xml:space="preserve"> el Tribunal Supremo en el Auto Cuestión Prejudicial GH, confirmando lo que ya venían estableciendo las Audiencias Provinciales y el TJUE, esto es, que dicho plazo no es contrario a la Directiva 93/13. Citamos</w:t>
      </w:r>
      <w:r w:rsidRPr="00CD49CA">
        <w:rPr>
          <w:rFonts w:ascii="Arial" w:hAnsi="Arial" w:cs="Arial"/>
          <w:iCs/>
          <w:color w:val="000000"/>
          <w:sz w:val="20"/>
          <w:szCs w:val="20"/>
        </w:rPr>
        <w:t xml:space="preserve">, por ejemplo, la ya mencionada </w:t>
      </w:r>
      <w:r w:rsidRPr="00CD49CA">
        <w:rPr>
          <w:rFonts w:ascii="Arial" w:hAnsi="Arial" w:cs="Arial"/>
          <w:color w:val="000000"/>
          <w:sz w:val="20"/>
          <w:szCs w:val="20"/>
        </w:rPr>
        <w:t>Sentencia de la Audiencia Provincial de Valencia nº 1332/2020, de 24 de noviembre:</w:t>
      </w:r>
    </w:p>
    <w:p w14:paraId="11AE5DB6" w14:textId="77777777" w:rsidR="004364A0" w:rsidRPr="00CD49CA" w:rsidRDefault="004364A0" w:rsidP="004364A0">
      <w:pPr>
        <w:spacing w:before="240" w:after="240" w:line="360" w:lineRule="auto"/>
        <w:ind w:firstLine="708"/>
        <w:jc w:val="both"/>
        <w:rPr>
          <w:rFonts w:ascii="Arial" w:hAnsi="Arial" w:cs="Arial"/>
          <w:i/>
          <w:iCs/>
          <w:color w:val="000000"/>
          <w:sz w:val="20"/>
          <w:szCs w:val="20"/>
        </w:rPr>
      </w:pPr>
      <w:r w:rsidRPr="00CD49CA">
        <w:rPr>
          <w:rFonts w:ascii="Arial" w:hAnsi="Arial" w:cs="Arial"/>
          <w:color w:val="000000"/>
          <w:sz w:val="20"/>
          <w:szCs w:val="20"/>
        </w:rPr>
        <w:t>“</w:t>
      </w:r>
      <w:r w:rsidRPr="00CD49CA">
        <w:rPr>
          <w:rFonts w:ascii="Arial" w:hAnsi="Arial" w:cs="Arial"/>
          <w:i/>
          <w:iCs/>
          <w:color w:val="000000"/>
          <w:sz w:val="20"/>
          <w:szCs w:val="20"/>
        </w:rPr>
        <w:t xml:space="preserve">2. El plazo de prescripción. </w:t>
      </w:r>
      <w:r w:rsidRPr="00CD49CA">
        <w:rPr>
          <w:rFonts w:ascii="Arial" w:hAnsi="Arial" w:cs="Arial"/>
          <w:color w:val="000000"/>
          <w:sz w:val="20"/>
          <w:szCs w:val="20"/>
        </w:rPr>
        <w:t>(…)</w:t>
      </w:r>
      <w:r w:rsidRPr="00CD49CA">
        <w:rPr>
          <w:rFonts w:ascii="Arial" w:hAnsi="Arial" w:cs="Arial"/>
          <w:i/>
          <w:iCs/>
          <w:color w:val="000000"/>
          <w:sz w:val="20"/>
          <w:szCs w:val="20"/>
        </w:rPr>
        <w:t xml:space="preserve"> </w:t>
      </w:r>
      <w:r w:rsidRPr="00CD49CA">
        <w:rPr>
          <w:rFonts w:ascii="Arial" w:hAnsi="Arial" w:cs="Arial"/>
          <w:i/>
          <w:iCs/>
          <w:color w:val="000000"/>
          <w:sz w:val="20"/>
          <w:szCs w:val="20"/>
          <w:u w:val="single"/>
        </w:rPr>
        <w:t>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CC )</w:t>
      </w:r>
      <w:r w:rsidRPr="00CD49CA">
        <w:rPr>
          <w:rFonts w:ascii="Arial" w:hAnsi="Arial" w:cs="Arial"/>
          <w:i/>
          <w:iCs/>
          <w:color w:val="000000"/>
          <w:sz w:val="20"/>
          <w:szCs w:val="20"/>
        </w:rPr>
        <w:t xml:space="preserve"> </w:t>
      </w:r>
    </w:p>
    <w:p w14:paraId="694DCDFB" w14:textId="77777777" w:rsidR="004364A0" w:rsidRPr="00CD49CA" w:rsidRDefault="004364A0" w:rsidP="004364A0">
      <w:pPr>
        <w:pStyle w:val="Prrafodelista"/>
        <w:spacing w:before="240" w:after="240" w:line="360" w:lineRule="auto"/>
        <w:ind w:left="1134"/>
        <w:jc w:val="both"/>
        <w:rPr>
          <w:rFonts w:ascii="Arial" w:hAnsi="Arial" w:cs="Arial"/>
          <w:color w:val="000000"/>
          <w:sz w:val="20"/>
          <w:szCs w:val="20"/>
        </w:rPr>
      </w:pPr>
      <w:r w:rsidRPr="00CD49CA">
        <w:rPr>
          <w:rFonts w:ascii="Arial" w:hAnsi="Arial" w:cs="Arial"/>
          <w:color w:val="000000"/>
          <w:sz w:val="20"/>
          <w:szCs w:val="20"/>
        </w:rPr>
        <w:t xml:space="preserve">(…) </w:t>
      </w:r>
    </w:p>
    <w:p w14:paraId="68E3FF3B" w14:textId="77777777" w:rsidR="004364A0" w:rsidRPr="00CD49CA" w:rsidRDefault="004364A0" w:rsidP="004364A0">
      <w:pPr>
        <w:pStyle w:val="Prrafodelista"/>
        <w:spacing w:before="240" w:after="240" w:line="360" w:lineRule="auto"/>
        <w:ind w:left="1134"/>
        <w:jc w:val="both"/>
        <w:rPr>
          <w:rFonts w:ascii="Arial" w:hAnsi="Arial" w:cs="Arial"/>
          <w:color w:val="000000"/>
          <w:sz w:val="20"/>
          <w:szCs w:val="20"/>
        </w:rPr>
      </w:pPr>
    </w:p>
    <w:p w14:paraId="0DC36D9A" w14:textId="77777777" w:rsidR="004364A0" w:rsidRPr="00CD49CA" w:rsidRDefault="004364A0" w:rsidP="004364A0">
      <w:pPr>
        <w:spacing w:before="240" w:after="240" w:line="360" w:lineRule="auto"/>
        <w:jc w:val="both"/>
        <w:rPr>
          <w:rFonts w:ascii="Arial" w:hAnsi="Arial" w:cs="Arial"/>
          <w:b/>
          <w:bCs/>
          <w:color w:val="000000"/>
          <w:sz w:val="20"/>
          <w:szCs w:val="20"/>
        </w:rPr>
      </w:pPr>
      <w:r w:rsidRPr="00CD49CA">
        <w:rPr>
          <w:rFonts w:ascii="Arial" w:hAnsi="Arial" w:cs="Arial"/>
          <w:color w:val="000000"/>
          <w:sz w:val="20"/>
          <w:szCs w:val="20"/>
        </w:rPr>
        <w:t xml:space="preserve">(…) </w:t>
      </w:r>
      <w:r w:rsidRPr="00CD49CA">
        <w:rPr>
          <w:rFonts w:ascii="Arial" w:hAnsi="Arial" w:cs="Arial"/>
          <w:i/>
          <w:iCs/>
          <w:color w:val="000000"/>
          <w:sz w:val="20"/>
          <w:szCs w:val="20"/>
        </w:rPr>
        <w:t xml:space="preserve">A la luz de lo expuesto, y a efectos del presente caso, </w:t>
      </w:r>
      <w:r w:rsidRPr="00CD49CA">
        <w:rPr>
          <w:rFonts w:ascii="Arial" w:hAnsi="Arial" w:cs="Arial"/>
          <w:b/>
          <w:i/>
          <w:iCs/>
          <w:color w:val="000000"/>
          <w:sz w:val="20"/>
          <w:szCs w:val="20"/>
        </w:rPr>
        <w:t xml:space="preserve">el plazo de quince años no es menos favorable que el aplicable a acciones similares de derecho interno (artículo 1964 del Código Civil). </w:t>
      </w:r>
      <w:r w:rsidRPr="00CD49CA">
        <w:rPr>
          <w:rFonts w:ascii="Arial" w:hAnsi="Arial" w:cs="Arial"/>
          <w:b/>
          <w:i/>
          <w:iCs/>
          <w:color w:val="000000"/>
          <w:sz w:val="20"/>
          <w:szCs w:val="20"/>
          <w:u w:val="single"/>
        </w:rPr>
        <w:t>Atendiendo a su propia extensión, a su cómputo no desde la celebración del contrato sino desde que se efectúan los concretos pagos</w:t>
      </w:r>
      <w:r w:rsidRPr="00CD49CA">
        <w:rPr>
          <w:rFonts w:ascii="Arial" w:hAnsi="Arial" w:cs="Arial"/>
          <w:b/>
          <w:i/>
          <w:iCs/>
          <w:color w:val="000000"/>
          <w:sz w:val="20"/>
          <w:szCs w:val="20"/>
        </w:rPr>
        <w:t xml:space="preserve">, y a la propia posibilidad de interrupción mediante reclamación extrajudicial (artículo 1973 del Código Civil), </w:t>
      </w:r>
      <w:r w:rsidRPr="00CD49CA">
        <w:rPr>
          <w:rFonts w:ascii="Arial" w:hAnsi="Arial" w:cs="Arial"/>
          <w:b/>
          <w:i/>
          <w:iCs/>
          <w:color w:val="000000"/>
          <w:sz w:val="20"/>
          <w:szCs w:val="20"/>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CD49CA">
        <w:rPr>
          <w:rFonts w:ascii="Arial" w:hAnsi="Arial" w:cs="Arial"/>
          <w:i/>
          <w:iCs/>
          <w:color w:val="000000"/>
          <w:sz w:val="20"/>
          <w:szCs w:val="20"/>
        </w:rPr>
        <w:t>.</w:t>
      </w:r>
      <w:r w:rsidRPr="00CD49CA">
        <w:rPr>
          <w:rFonts w:ascii="Arial" w:hAnsi="Arial" w:cs="Arial"/>
          <w:color w:val="000000"/>
          <w:sz w:val="20"/>
          <w:szCs w:val="20"/>
        </w:rPr>
        <w:t>”</w:t>
      </w:r>
    </w:p>
    <w:p w14:paraId="1D506764" w14:textId="77777777" w:rsidR="004364A0" w:rsidRPr="00CD49CA" w:rsidRDefault="004364A0" w:rsidP="004364A0">
      <w:pPr>
        <w:spacing w:before="240" w:after="240" w:line="360" w:lineRule="auto"/>
        <w:jc w:val="both"/>
        <w:rPr>
          <w:rFonts w:ascii="Arial" w:hAnsi="Arial" w:cs="Arial"/>
          <w:bCs/>
          <w:color w:val="000000"/>
          <w:sz w:val="20"/>
          <w:szCs w:val="20"/>
        </w:rPr>
      </w:pPr>
      <w:r w:rsidRPr="00CD49CA">
        <w:rPr>
          <w:rFonts w:ascii="Arial" w:hAnsi="Arial" w:cs="Arial"/>
          <w:iCs/>
          <w:color w:val="000000"/>
          <w:sz w:val="20"/>
          <w:szCs w:val="20"/>
        </w:rPr>
        <w:t>En idéntico sentido se pronuncia la Sentencia de la Audiencia Provincial de A Coruña nº 447/2020, de 19 de noviembre, al indicar que “</w:t>
      </w:r>
      <w:r w:rsidRPr="00CD49CA">
        <w:rPr>
          <w:rFonts w:ascii="Arial" w:hAnsi="Arial" w:cs="Arial"/>
          <w:i/>
          <w:iCs/>
          <w:color w:val="000000"/>
          <w:sz w:val="20"/>
          <w:szCs w:val="20"/>
        </w:rPr>
        <w:t>mantenemos que la acción de remoción o reembolso del consumidor está sometida al plazo prescriptivo del artículo 1964 del Código civil, previsto para las acciones personales que no tengan señalado término especial de prescripción</w:t>
      </w:r>
      <w:r w:rsidRPr="00CD49CA">
        <w:rPr>
          <w:rFonts w:ascii="Arial" w:hAnsi="Arial" w:cs="Arial"/>
          <w:color w:val="000000"/>
          <w:sz w:val="20"/>
          <w:szCs w:val="20"/>
        </w:rPr>
        <w:t>”; la Sentencia de la Audiencia Provincial de Murcia nº 721/2020, de 3 de septiembre; la Sentencia de la Audiencia Provincial de Palencia nº 207/2020, de 2 de julio, que indica que “</w:t>
      </w:r>
      <w:r w:rsidRPr="00CD49CA">
        <w:rPr>
          <w:rFonts w:ascii="Arial" w:hAnsi="Arial" w:cs="Arial"/>
          <w:bCs/>
          <w:i/>
          <w:color w:val="000000"/>
          <w:sz w:val="20"/>
          <w:szCs w:val="20"/>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CD49CA">
        <w:rPr>
          <w:rFonts w:ascii="Arial" w:hAnsi="Arial" w:cs="Arial"/>
          <w:bCs/>
          <w:iCs/>
          <w:color w:val="000000"/>
          <w:sz w:val="20"/>
          <w:szCs w:val="20"/>
        </w:rPr>
        <w:t>”; o la Sentencia de 26 de junio de 2020 de la Audiencia Provincial de Palma de Mallorca (Secc. 5ª).</w:t>
      </w:r>
    </w:p>
    <w:p w14:paraId="309B34E1" w14:textId="77777777" w:rsidR="004364A0" w:rsidRPr="00CD49CA" w:rsidRDefault="004364A0" w:rsidP="004364A0">
      <w:pPr>
        <w:spacing w:before="240" w:after="240" w:line="360" w:lineRule="auto"/>
        <w:jc w:val="both"/>
        <w:rPr>
          <w:rFonts w:ascii="Arial" w:hAnsi="Arial" w:cs="Arial"/>
          <w:iCs/>
          <w:color w:val="000000"/>
          <w:sz w:val="20"/>
          <w:szCs w:val="20"/>
        </w:rPr>
      </w:pPr>
      <w:r w:rsidRPr="00CD49CA">
        <w:rPr>
          <w:rFonts w:ascii="Arial" w:hAnsi="Arial" w:cs="Arial"/>
          <w:iCs/>
          <w:color w:val="000000"/>
          <w:sz w:val="20"/>
          <w:szCs w:val="20"/>
        </w:rPr>
        <w:t xml:space="preserve">Por su parte, el TJUE en la Sentencia en el asunto </w:t>
      </w:r>
      <w:proofErr w:type="spellStart"/>
      <w:r w:rsidRPr="00CD49CA">
        <w:rPr>
          <w:rFonts w:ascii="Arial" w:hAnsi="Arial" w:cs="Arial"/>
          <w:i/>
          <w:color w:val="000000"/>
          <w:sz w:val="20"/>
          <w:szCs w:val="20"/>
        </w:rPr>
        <w:t>Caixabank</w:t>
      </w:r>
      <w:proofErr w:type="spellEnd"/>
      <w:r w:rsidRPr="00CD49CA">
        <w:rPr>
          <w:rFonts w:ascii="Arial" w:hAnsi="Arial" w:cs="Arial"/>
          <w:i/>
          <w:color w:val="000000"/>
          <w:sz w:val="20"/>
          <w:szCs w:val="20"/>
        </w:rPr>
        <w:t xml:space="preserve"> </w:t>
      </w:r>
      <w:r w:rsidRPr="00CD49CA">
        <w:rPr>
          <w:rFonts w:ascii="Arial" w:hAnsi="Arial" w:cs="Arial"/>
          <w:iCs/>
          <w:color w:val="000000"/>
          <w:sz w:val="20"/>
          <w:szCs w:val="20"/>
        </w:rPr>
        <w:t xml:space="preserve">ha declarado </w:t>
      </w:r>
      <w:r w:rsidRPr="00CD49CA">
        <w:rPr>
          <w:rFonts w:ascii="Arial" w:hAnsi="Arial" w:cs="Arial"/>
          <w:color w:val="000000"/>
          <w:sz w:val="20"/>
          <w:szCs w:val="20"/>
        </w:rPr>
        <w:t xml:space="preserve">adecuada la aplicación del plazo previsto en el artículo 1964 CC a los efectos restitutorios derivados de una </w:t>
      </w:r>
      <w:r w:rsidRPr="00CD49CA">
        <w:rPr>
          <w:rFonts w:ascii="Arial" w:hAnsi="Arial" w:cs="Arial"/>
          <w:color w:val="000000"/>
          <w:sz w:val="20"/>
          <w:szCs w:val="20"/>
        </w:rPr>
        <w:lastRenderedPageBreak/>
        <w:t xml:space="preserve">declaración de nulidad por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siempre y cuando el cómputo de ese plazo cumpla determinadas características que, como veremos a continuación, concurren en este caso</w:t>
      </w:r>
      <w:r w:rsidRPr="00CD49CA">
        <w:rPr>
          <w:rStyle w:val="Refdenotaalpie"/>
          <w:rFonts w:cs="Arial"/>
          <w:sz w:val="20"/>
          <w:szCs w:val="20"/>
        </w:rPr>
        <w:footnoteReference w:id="46"/>
      </w:r>
      <w:r w:rsidRPr="00CD49CA">
        <w:rPr>
          <w:rFonts w:ascii="Arial" w:hAnsi="Arial" w:cs="Arial"/>
          <w:sz w:val="20"/>
          <w:szCs w:val="20"/>
        </w:rPr>
        <w:t>.</w:t>
      </w:r>
    </w:p>
    <w:p w14:paraId="4D487580" w14:textId="77777777" w:rsidR="004364A0" w:rsidRPr="00CD49CA" w:rsidRDefault="004364A0" w:rsidP="004364A0">
      <w:pPr>
        <w:spacing w:before="240" w:after="240" w:line="360" w:lineRule="auto"/>
        <w:jc w:val="both"/>
        <w:rPr>
          <w:rFonts w:ascii="Arial" w:hAnsi="Arial" w:cs="Arial"/>
          <w:i/>
          <w:color w:val="000000"/>
          <w:sz w:val="20"/>
          <w:szCs w:val="20"/>
        </w:rPr>
      </w:pPr>
      <w:r w:rsidRPr="00CD49CA">
        <w:rPr>
          <w:rFonts w:ascii="Arial" w:hAnsi="Arial" w:cs="Arial"/>
          <w:sz w:val="20"/>
          <w:szCs w:val="20"/>
        </w:rPr>
        <w:t xml:space="preserve">De hecho, </w:t>
      </w:r>
      <w:r w:rsidRPr="00CD49CA">
        <w:rPr>
          <w:rFonts w:ascii="Arial" w:hAnsi="Arial" w:cs="Arial"/>
          <w:color w:val="000000"/>
          <w:sz w:val="20"/>
          <w:szCs w:val="20"/>
        </w:rPr>
        <w:t>el Ministerio de Consumo en su “</w:t>
      </w:r>
      <w:r w:rsidRPr="00CD49CA">
        <w:rPr>
          <w:rFonts w:ascii="Arial" w:hAnsi="Arial" w:cs="Arial"/>
          <w:i/>
          <w:iCs/>
          <w:color w:val="000000"/>
          <w:sz w:val="20"/>
          <w:szCs w:val="20"/>
        </w:rPr>
        <w:t>Nota informativa sobre los derechos que asisten a las personas consumidoras en relación con gastos derivados de las hipotecas y otras cuestiones de ámbito financiero</w:t>
      </w:r>
      <w:r w:rsidRPr="00CD49CA">
        <w:rPr>
          <w:rFonts w:ascii="Arial" w:hAnsi="Arial" w:cs="Arial"/>
          <w:color w:val="000000"/>
          <w:sz w:val="20"/>
          <w:szCs w:val="20"/>
        </w:rPr>
        <w:t>”, cuya primera versión se emitió en enero de 2021 y la segunda el 4 de marzo de 2021, confirmó que el “</w:t>
      </w:r>
      <w:r w:rsidRPr="00CD49CA">
        <w:rPr>
          <w:rFonts w:ascii="Arial" w:hAnsi="Arial" w:cs="Arial"/>
          <w:i/>
          <w:iCs/>
          <w:color w:val="000000"/>
          <w:sz w:val="20"/>
          <w:szCs w:val="20"/>
        </w:rPr>
        <w:t>plazo para solicitar la devolución de gastos</w:t>
      </w:r>
      <w:r w:rsidRPr="00CD49CA">
        <w:rPr>
          <w:rFonts w:ascii="Arial" w:hAnsi="Arial" w:cs="Arial"/>
          <w:i/>
          <w:color w:val="000000"/>
          <w:sz w:val="20"/>
          <w:szCs w:val="20"/>
        </w:rPr>
        <w:t xml:space="preserve"> derivados de una cláusula declarada abusiva es de cinco años</w:t>
      </w:r>
      <w:r w:rsidRPr="00CD49CA">
        <w:rPr>
          <w:rFonts w:ascii="Arial" w:hAnsi="Arial" w:cs="Arial"/>
          <w:iCs/>
          <w:color w:val="000000"/>
          <w:sz w:val="20"/>
          <w:szCs w:val="20"/>
        </w:rPr>
        <w:t>”.</w:t>
      </w:r>
    </w:p>
    <w:p w14:paraId="6FD0A090"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de las cláusulas del préstamo </w:t>
      </w:r>
      <w:proofErr w:type="spellStart"/>
      <w:r w:rsidRPr="00CD49CA">
        <w:rPr>
          <w:rFonts w:ascii="Arial" w:hAnsi="Arial" w:cs="Arial"/>
          <w:color w:val="000000"/>
          <w:sz w:val="20"/>
          <w:szCs w:val="20"/>
        </w:rPr>
        <w:t>multidivisa</w:t>
      </w:r>
      <w:proofErr w:type="spellEnd"/>
      <w:r w:rsidRPr="00CD49CA">
        <w:rPr>
          <w:rFonts w:ascii="Arial" w:hAnsi="Arial" w:cs="Arial"/>
          <w:color w:val="000000"/>
          <w:sz w:val="20"/>
          <w:szCs w:val="20"/>
        </w:rPr>
        <w:t xml:space="preserve"> impugnadas de contrario.</w:t>
      </w:r>
    </w:p>
    <w:p w14:paraId="31ACB830" w14:textId="77777777" w:rsidR="004364A0" w:rsidRPr="00CD49CA" w:rsidRDefault="004364A0" w:rsidP="004364A0">
      <w:pPr>
        <w:pStyle w:val="Prrafodelista"/>
        <w:numPr>
          <w:ilvl w:val="0"/>
          <w:numId w:val="25"/>
        </w:numPr>
        <w:spacing w:before="240" w:after="240" w:line="360" w:lineRule="auto"/>
        <w:ind w:left="1134" w:hanging="567"/>
        <w:contextualSpacing w:val="0"/>
        <w:jc w:val="both"/>
        <w:rPr>
          <w:rFonts w:ascii="Arial" w:hAnsi="Arial" w:cs="Arial"/>
          <w:b/>
          <w:color w:val="000000"/>
          <w:sz w:val="20"/>
          <w:szCs w:val="20"/>
        </w:rPr>
      </w:pPr>
      <w:r w:rsidRPr="00CD49CA">
        <w:rPr>
          <w:rFonts w:ascii="Arial" w:hAnsi="Arial" w:cs="Arial"/>
          <w:b/>
          <w:color w:val="000000"/>
          <w:sz w:val="20"/>
          <w:szCs w:val="20"/>
        </w:rPr>
        <w:t>La aplicación del artículo 1964 respeta los principios de equivalencia y efectividad</w:t>
      </w:r>
    </w:p>
    <w:p w14:paraId="4A22D74A"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En el apartado </w:t>
      </w:r>
      <w:r w:rsidRPr="00CD49CA">
        <w:rPr>
          <w:rFonts w:ascii="Arial" w:hAnsi="Arial" w:cs="Arial"/>
          <w:color w:val="000000"/>
          <w:sz w:val="20"/>
          <w:szCs w:val="20"/>
        </w:rPr>
        <w:fldChar w:fldCharType="begin"/>
      </w:r>
      <w:r w:rsidRPr="00CD49CA">
        <w:rPr>
          <w:rFonts w:ascii="Arial" w:hAnsi="Arial" w:cs="Arial"/>
          <w:color w:val="000000"/>
          <w:sz w:val="20"/>
          <w:szCs w:val="20"/>
        </w:rPr>
        <w:instrText xml:space="preserve"> REF _Ref74758751 \r \h  \* MERGEFORMAT </w:instrText>
      </w:r>
      <w:r w:rsidRPr="00CD49CA">
        <w:rPr>
          <w:rFonts w:ascii="Arial" w:hAnsi="Arial" w:cs="Arial"/>
          <w:color w:val="000000"/>
          <w:sz w:val="20"/>
          <w:szCs w:val="20"/>
        </w:rPr>
      </w:r>
      <w:r w:rsidRPr="00CD49CA">
        <w:rPr>
          <w:rFonts w:ascii="Arial" w:hAnsi="Arial" w:cs="Arial"/>
          <w:color w:val="000000"/>
          <w:sz w:val="20"/>
          <w:szCs w:val="20"/>
        </w:rPr>
        <w:fldChar w:fldCharType="separate"/>
      </w:r>
      <w:r w:rsidRPr="00CD49CA">
        <w:rPr>
          <w:rFonts w:ascii="Arial" w:hAnsi="Arial" w:cs="Arial"/>
          <w:color w:val="000000"/>
          <w:sz w:val="20"/>
          <w:szCs w:val="20"/>
        </w:rPr>
        <w:t>17</w:t>
      </w:r>
      <w:r w:rsidRPr="00CD49CA">
        <w:rPr>
          <w:rFonts w:ascii="Arial" w:hAnsi="Arial" w:cs="Arial"/>
          <w:color w:val="000000"/>
          <w:sz w:val="20"/>
          <w:szCs w:val="20"/>
        </w:rPr>
        <w:fldChar w:fldCharType="end"/>
      </w:r>
      <w:r w:rsidRPr="00CD49CA">
        <w:rPr>
          <w:rFonts w:ascii="Arial" w:hAnsi="Arial" w:cs="Arial"/>
          <w:color w:val="000000"/>
          <w:sz w:val="20"/>
          <w:szCs w:val="20"/>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35AA0128"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55FB3C1D"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CD49CA">
        <w:rPr>
          <w:rFonts w:ascii="Arial" w:hAnsi="Arial" w:cs="Arial"/>
          <w:i/>
          <w:color w:val="000000"/>
          <w:sz w:val="20"/>
          <w:szCs w:val="20"/>
        </w:rPr>
        <w:t>persigue reequilibrar la economía del consumidor tras el daño patrimonial sufrido por causa del incumplimiento del deber de información</w:t>
      </w:r>
      <w:r w:rsidRPr="00CD49CA">
        <w:rPr>
          <w:rFonts w:ascii="Arial" w:hAnsi="Arial" w:cs="Arial"/>
          <w:color w:val="000000"/>
          <w:sz w:val="20"/>
          <w:szCs w:val="20"/>
        </w:rPr>
        <w:t>”</w:t>
      </w:r>
      <w:r w:rsidRPr="00CD49CA">
        <w:rPr>
          <w:rStyle w:val="Refdenotaalpie"/>
          <w:rFonts w:cs="Arial"/>
          <w:color w:val="000000"/>
          <w:sz w:val="20"/>
          <w:szCs w:val="20"/>
        </w:rPr>
        <w:t xml:space="preserve"> </w:t>
      </w:r>
      <w:r w:rsidRPr="00CD49CA">
        <w:rPr>
          <w:rStyle w:val="Refdenotaalpie"/>
          <w:rFonts w:cs="Arial"/>
          <w:color w:val="000000"/>
          <w:sz w:val="20"/>
          <w:szCs w:val="20"/>
        </w:rPr>
        <w:footnoteReference w:id="47"/>
      </w:r>
      <w:r w:rsidRPr="00CD49CA">
        <w:rPr>
          <w:rFonts w:ascii="Arial" w:hAnsi="Arial" w:cs="Arial"/>
          <w:color w:val="000000"/>
          <w:sz w:val="20"/>
          <w:szCs w:val="20"/>
        </w:rPr>
        <w:t>, quedando el contrato en vigor.</w:t>
      </w:r>
    </w:p>
    <w:p w14:paraId="223E038C"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t xml:space="preserve">Con carácter general, las obligaciones personales de todo tipo que no tengan un plazo de prescripción específico fijado legalmente están también sujetas al plazo de 5 años del artículo 1964.2 CC. </w:t>
      </w:r>
    </w:p>
    <w:p w14:paraId="401AD1A0"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rPr>
      </w:pPr>
      <w:r w:rsidRPr="00CD49CA">
        <w:rPr>
          <w:rFonts w:ascii="Arial" w:hAnsi="Arial" w:cs="Arial"/>
          <w:color w:val="000000"/>
          <w:sz w:val="20"/>
          <w:szCs w:val="20"/>
        </w:rPr>
        <w:lastRenderedPageBreak/>
        <w:t>De igual modo, la acción de indemnización derivada de la responsabilidad extracontractual (artículo 1902 CC) está sujeta también a un plazo de prescripción, más restrictivo si cabe, ya que el artículo 1968 CC prevé un plazo de un año.</w:t>
      </w:r>
    </w:p>
    <w:p w14:paraId="5FE8B0B4"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color w:val="000000"/>
          <w:sz w:val="20"/>
          <w:szCs w:val="20"/>
          <w:lang w:val="es-ES_tradnl"/>
        </w:rPr>
      </w:pPr>
      <w:r w:rsidRPr="00CD49CA">
        <w:rPr>
          <w:rFonts w:ascii="Arial" w:hAnsi="Arial" w:cs="Arial"/>
          <w:color w:val="000000"/>
          <w:sz w:val="20"/>
          <w:szCs w:val="20"/>
          <w:lang w:val="es-ES_tradnl"/>
        </w:rPr>
        <w:t xml:space="preserve">Por último resulta altamente ilustrativo atender a los plazos para ejercitar acciones que buscan dejar sin efecto contratos en su integridad, por ser un supuesto si cabe más grave que el perseguido por la declaración de </w:t>
      </w:r>
      <w:proofErr w:type="spellStart"/>
      <w:r w:rsidRPr="00CD49CA">
        <w:rPr>
          <w:rFonts w:ascii="Arial" w:hAnsi="Arial" w:cs="Arial"/>
          <w:color w:val="000000"/>
          <w:sz w:val="20"/>
          <w:szCs w:val="20"/>
          <w:lang w:val="es-ES_tradnl"/>
        </w:rPr>
        <w:t>abusividad</w:t>
      </w:r>
      <w:proofErr w:type="spellEnd"/>
      <w:r w:rsidRPr="00CD49CA">
        <w:rPr>
          <w:rFonts w:ascii="Arial" w:hAnsi="Arial" w:cs="Arial"/>
          <w:color w:val="000000"/>
          <w:sz w:val="2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CD49CA">
        <w:rPr>
          <w:rFonts w:ascii="Arial" w:hAnsi="Arial" w:cs="Arial"/>
          <w:color w:val="000000"/>
          <w:sz w:val="20"/>
          <w:szCs w:val="20"/>
          <w:lang w:val="es-ES_tradnl"/>
        </w:rPr>
        <w:t>abusividad</w:t>
      </w:r>
      <w:proofErr w:type="spellEnd"/>
      <w:r w:rsidRPr="00CD49CA">
        <w:rPr>
          <w:rFonts w:ascii="Arial" w:hAnsi="Arial" w:cs="Arial"/>
          <w:color w:val="000000"/>
          <w:sz w:val="20"/>
          <w:szCs w:val="20"/>
          <w:lang w:val="es-ES_tradnl"/>
        </w:rPr>
        <w:t xml:space="preserve"> donde dicha remoción no es automática y necesita el ejercicio de una acción separada), están sujetas a plazos mucho más estrictos que los que analizamos en este caso.</w:t>
      </w:r>
    </w:p>
    <w:p w14:paraId="7CCFD176" w14:textId="77777777" w:rsidR="004364A0" w:rsidRPr="00CD49CA" w:rsidRDefault="004364A0" w:rsidP="004364A0">
      <w:pPr>
        <w:pStyle w:val="Prrafodelista"/>
        <w:spacing w:before="240" w:after="240" w:line="360" w:lineRule="auto"/>
        <w:ind w:left="1134"/>
        <w:contextualSpacing w:val="0"/>
        <w:jc w:val="both"/>
        <w:rPr>
          <w:rFonts w:ascii="Arial" w:hAnsi="Arial" w:cs="Arial"/>
          <w:color w:val="000000"/>
          <w:sz w:val="20"/>
          <w:szCs w:val="20"/>
          <w:lang w:val="es-ES_tradnl"/>
        </w:rPr>
      </w:pPr>
      <w:r w:rsidRPr="00CD49CA">
        <w:rPr>
          <w:rFonts w:ascii="Arial" w:hAnsi="Arial" w:cs="Arial"/>
          <w:color w:val="000000"/>
          <w:sz w:val="20"/>
          <w:szCs w:val="20"/>
          <w:lang w:val="es-ES_tradnl"/>
        </w:rPr>
        <w:t xml:space="preserve">Por ejemplo, la acción pauliana </w:t>
      </w:r>
      <w:r w:rsidRPr="00CD49CA">
        <w:rPr>
          <w:rFonts w:ascii="Arial" w:hAnsi="Arial" w:cs="Arial"/>
          <w:i/>
          <w:iCs/>
          <w:color w:val="000000"/>
          <w:sz w:val="20"/>
          <w:szCs w:val="20"/>
          <w:lang w:val="es-ES_tradnl"/>
        </w:rPr>
        <w:t xml:space="preserve">ex </w:t>
      </w:r>
      <w:r w:rsidRPr="00CD49CA">
        <w:rPr>
          <w:rFonts w:ascii="Arial" w:hAnsi="Arial" w:cs="Arial"/>
          <w:color w:val="000000"/>
          <w:sz w:val="2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el artículo 1299 CC. Dichas acciones rescisorias, de conformidad con el artículo 1295 CC, llevan aparejada la remoción de efectos </w:t>
      </w:r>
      <w:r w:rsidRPr="00CD49CA">
        <w:rPr>
          <w:rFonts w:ascii="Arial" w:hAnsi="Arial" w:cs="Arial"/>
          <w:color w:val="000000"/>
          <w:sz w:val="20"/>
          <w:szCs w:val="20"/>
        </w:rPr>
        <w:t xml:space="preserve">(sin necesidad de ejercitar una acción separada como sí ocurre en la nulidad por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w:t>
      </w:r>
      <w:r w:rsidRPr="00CD49CA">
        <w:rPr>
          <w:rFonts w:ascii="Arial" w:hAnsi="Arial" w:cs="Arial"/>
          <w:color w:val="000000"/>
          <w:sz w:val="20"/>
          <w:szCs w:val="20"/>
          <w:lang w:val="es-ES_tradnl"/>
        </w:rPr>
        <w:t>por lo que dicha restitución queda subsumida en el referido plazo de caducidad.</w:t>
      </w:r>
    </w:p>
    <w:p w14:paraId="4BA3A788" w14:textId="77777777" w:rsidR="004364A0" w:rsidRPr="00CD49CA" w:rsidRDefault="004364A0" w:rsidP="004364A0">
      <w:pPr>
        <w:pStyle w:val="Prrafodelista"/>
        <w:spacing w:before="240" w:after="240" w:line="360" w:lineRule="auto"/>
        <w:ind w:left="1134"/>
        <w:contextualSpacing w:val="0"/>
        <w:jc w:val="both"/>
        <w:rPr>
          <w:rFonts w:ascii="Arial" w:hAnsi="Arial" w:cs="Arial"/>
          <w:color w:val="000000"/>
          <w:sz w:val="20"/>
          <w:szCs w:val="20"/>
        </w:rPr>
      </w:pPr>
      <w:r w:rsidRPr="00CD49CA">
        <w:rPr>
          <w:rFonts w:ascii="Arial" w:hAnsi="Arial" w:cs="Arial"/>
          <w:color w:val="000000"/>
          <w:sz w:val="20"/>
          <w:szCs w:val="20"/>
        </w:rPr>
        <w:t xml:space="preserve">Al mismo plazo de caducidad de 4 años se sujeta la acción de nulidad de los contratos por intimidación, violencia, error, dolo o falsedad en la causa </w:t>
      </w:r>
      <w:r w:rsidRPr="00CD49CA">
        <w:rPr>
          <w:rFonts w:ascii="Arial" w:hAnsi="Arial" w:cs="Arial"/>
          <w:i/>
          <w:iCs/>
          <w:color w:val="000000"/>
          <w:sz w:val="20"/>
          <w:szCs w:val="20"/>
        </w:rPr>
        <w:t xml:space="preserve">ex </w:t>
      </w:r>
      <w:r w:rsidRPr="00CD49CA">
        <w:rPr>
          <w:rFonts w:ascii="Arial" w:hAnsi="Arial" w:cs="Arial"/>
          <w:color w:val="000000"/>
          <w:sz w:val="2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605EFC6C" w14:textId="77777777" w:rsidR="004364A0" w:rsidRPr="00CD49CA" w:rsidRDefault="004364A0" w:rsidP="004364A0">
      <w:pPr>
        <w:pStyle w:val="Prrafodelista"/>
        <w:spacing w:before="240" w:after="240" w:line="360" w:lineRule="auto"/>
        <w:ind w:left="1134"/>
        <w:contextualSpacing w:val="0"/>
        <w:jc w:val="both"/>
        <w:rPr>
          <w:rFonts w:ascii="Arial" w:hAnsi="Arial" w:cs="Arial"/>
          <w:color w:val="000000"/>
          <w:sz w:val="20"/>
          <w:szCs w:val="20"/>
        </w:rPr>
      </w:pPr>
      <w:r w:rsidRPr="00CD49CA">
        <w:rPr>
          <w:rFonts w:ascii="Arial" w:hAnsi="Arial" w:cs="Arial"/>
          <w:color w:val="000000"/>
          <w:sz w:val="20"/>
          <w:szCs w:val="20"/>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3706AA47"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Las anteriores acciones protegen los mismos derechos que la acción restitutoria derivada de la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cuando se ejercita con base en la Directiva 93/13, no puede estar sujeta a un tratamiento no equivalente y debe estar también sometida a plazo. </w:t>
      </w:r>
    </w:p>
    <w:p w14:paraId="15BF46FA" w14:textId="77777777" w:rsidR="004364A0" w:rsidRPr="00CD49CA" w:rsidRDefault="004364A0" w:rsidP="004364A0">
      <w:pPr>
        <w:spacing w:before="240" w:after="240" w:line="360" w:lineRule="auto"/>
        <w:jc w:val="both"/>
        <w:rPr>
          <w:rFonts w:ascii="Arial" w:hAnsi="Arial" w:cs="Arial"/>
          <w:i/>
          <w:color w:val="000000"/>
          <w:sz w:val="20"/>
          <w:szCs w:val="20"/>
        </w:rPr>
      </w:pPr>
      <w:r w:rsidRPr="00CD49CA">
        <w:rPr>
          <w:rFonts w:ascii="Arial" w:hAnsi="Arial" w:cs="Arial"/>
          <w:color w:val="000000"/>
          <w:sz w:val="20"/>
          <w:szCs w:val="20"/>
        </w:rPr>
        <w:t xml:space="preserve">Al respecto, la ya mencionada Sentencia nº 447/2020 de la Audiencia Provincial de A Coruña (Secc. 4ª) , de 19 de noviembre, considera que la aplicación del artículo 1964 CC respeta el </w:t>
      </w:r>
      <w:r w:rsidRPr="00CD49CA">
        <w:rPr>
          <w:rFonts w:ascii="Arial" w:hAnsi="Arial" w:cs="Arial"/>
          <w:color w:val="000000"/>
          <w:sz w:val="20"/>
          <w:szCs w:val="20"/>
        </w:rPr>
        <w:lastRenderedPageBreak/>
        <w:t>principio de equivalencia ya que “</w:t>
      </w:r>
      <w:r w:rsidRPr="00CD49CA">
        <w:rPr>
          <w:rFonts w:ascii="Arial" w:hAnsi="Arial" w:cs="Arial"/>
          <w:i/>
          <w:color w:val="000000"/>
          <w:sz w:val="20"/>
          <w:szCs w:val="20"/>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CD49CA">
        <w:rPr>
          <w:rFonts w:ascii="Arial" w:hAnsi="Arial" w:cs="Arial"/>
          <w:iCs/>
          <w:color w:val="000000"/>
          <w:sz w:val="20"/>
          <w:szCs w:val="20"/>
        </w:rPr>
        <w:t xml:space="preserve">”. </w:t>
      </w:r>
    </w:p>
    <w:p w14:paraId="6612AED9"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nº 2473/2020 de la Audiencia Provincial de Madrid (Secc. 28ª Refuerzo), de 23 de noviembre, también considera que el principio de efectividad no se ve afectado por la aplicación de dicho precepto ya que “</w:t>
      </w:r>
      <w:r w:rsidRPr="00CD49CA">
        <w:rPr>
          <w:rFonts w:ascii="Arial" w:hAnsi="Arial" w:cs="Arial"/>
          <w:i/>
          <w:iCs/>
          <w:color w:val="000000"/>
          <w:sz w:val="20"/>
          <w:szCs w:val="20"/>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CD49CA">
        <w:rPr>
          <w:rFonts w:ascii="Arial" w:hAnsi="Arial" w:cs="Arial"/>
          <w:color w:val="000000"/>
          <w:sz w:val="20"/>
          <w:szCs w:val="20"/>
        </w:rPr>
        <w:t>”.</w:t>
      </w:r>
    </w:p>
    <w:p w14:paraId="75CAA65A"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Efectivamente, el TJUE considera que la clave para entender que el principio de efectividad se respeta es garantizar que el plazo de prescripción aplicado “</w:t>
      </w:r>
      <w:r w:rsidRPr="00CD49CA">
        <w:rPr>
          <w:rFonts w:ascii="Arial" w:hAnsi="Arial" w:cs="Arial"/>
          <w:i/>
          <w:iCs/>
          <w:color w:val="000000"/>
          <w:sz w:val="20"/>
          <w:szCs w:val="20"/>
        </w:rPr>
        <w:t>no haga imposible en la práctica o excesivamente difícil el ejercicio de los derechos conferidos en dicha Directiva</w:t>
      </w:r>
      <w:r w:rsidRPr="00CD49CA">
        <w:rPr>
          <w:rFonts w:ascii="Arial" w:hAnsi="Arial" w:cs="Arial"/>
          <w:color w:val="000000"/>
          <w:sz w:val="20"/>
          <w:szCs w:val="20"/>
        </w:rPr>
        <w:t>”</w:t>
      </w:r>
      <w:r w:rsidRPr="00CD49CA">
        <w:rPr>
          <w:rStyle w:val="Refdenotaalpie"/>
          <w:rFonts w:cs="Arial"/>
          <w:color w:val="000000"/>
          <w:sz w:val="20"/>
          <w:szCs w:val="20"/>
        </w:rPr>
        <w:footnoteReference w:id="48"/>
      </w:r>
      <w:r w:rsidRPr="00CD49CA">
        <w:rPr>
          <w:rFonts w:ascii="Arial" w:hAnsi="Arial" w:cs="Arial"/>
          <w:color w:val="000000"/>
          <w:sz w:val="20"/>
          <w:szCs w:val="20"/>
        </w:rPr>
        <w:t xml:space="preserve">. Y, precisamente, el TJUE ha tenido la oportunidad de analizar el plazo de 5 años </w:t>
      </w:r>
      <w:r w:rsidRPr="00CD49CA">
        <w:rPr>
          <w:rFonts w:ascii="Arial" w:hAnsi="Arial" w:cs="Arial"/>
          <w:i/>
          <w:sz w:val="20"/>
          <w:szCs w:val="20"/>
        </w:rPr>
        <w:t>ex</w:t>
      </w:r>
      <w:r w:rsidRPr="00CD49CA">
        <w:rPr>
          <w:rFonts w:ascii="Arial" w:hAnsi="Arial" w:cs="Arial"/>
          <w:sz w:val="20"/>
          <w:szCs w:val="20"/>
        </w:rPr>
        <w:t xml:space="preserve"> artículo 1964 CC y ha determinado que su duración respeta el principio de efectividad. Lo ha hecho en la sentencia dictada en el asunto </w:t>
      </w:r>
      <w:proofErr w:type="spellStart"/>
      <w:r w:rsidRPr="00CD49CA">
        <w:rPr>
          <w:rFonts w:ascii="Arial" w:hAnsi="Arial" w:cs="Arial"/>
          <w:i/>
          <w:sz w:val="20"/>
          <w:szCs w:val="20"/>
        </w:rPr>
        <w:t>Caixabank</w:t>
      </w:r>
      <w:proofErr w:type="spellEnd"/>
      <w:r w:rsidRPr="00CD49CA">
        <w:rPr>
          <w:rFonts w:ascii="Arial" w:hAnsi="Arial" w:cs="Arial"/>
          <w:sz w:val="20"/>
          <w:szCs w:val="20"/>
        </w:rPr>
        <w:t>, recordando que en otros asuntos ya se habían declarado conformes plazos de prescripción de tres y dos años</w:t>
      </w:r>
      <w:r w:rsidRPr="00CD49CA">
        <w:rPr>
          <w:rStyle w:val="Refdenotaalpie"/>
          <w:rFonts w:cs="Arial"/>
          <w:sz w:val="20"/>
          <w:szCs w:val="20"/>
        </w:rPr>
        <w:footnoteReference w:id="49"/>
      </w:r>
      <w:r w:rsidRPr="00CD49CA">
        <w:rPr>
          <w:rFonts w:ascii="Arial" w:hAnsi="Arial" w:cs="Arial"/>
          <w:sz w:val="20"/>
          <w:szCs w:val="20"/>
        </w:rPr>
        <w:t xml:space="preserve">. De igual forma el reciente en el Auto Cuestión Prejudicial GH, el TS también confirma que el plazo de 5 años del artículo 1964 CC es el aplicable a la acción restitutoria vinculada a la reclamación de reembolso de gastos de constitución de hipoteca derivada de una declaración de </w:t>
      </w:r>
      <w:proofErr w:type="spellStart"/>
      <w:r w:rsidRPr="00CD49CA">
        <w:rPr>
          <w:rFonts w:ascii="Arial" w:hAnsi="Arial" w:cs="Arial"/>
          <w:sz w:val="20"/>
          <w:szCs w:val="20"/>
        </w:rPr>
        <w:t>abusividad</w:t>
      </w:r>
      <w:proofErr w:type="spellEnd"/>
      <w:r w:rsidRPr="00CD49CA">
        <w:rPr>
          <w:rFonts w:ascii="Arial" w:hAnsi="Arial" w:cs="Arial"/>
          <w:sz w:val="20"/>
          <w:szCs w:val="20"/>
        </w:rPr>
        <w:t>.</w:t>
      </w:r>
    </w:p>
    <w:p w14:paraId="7A5CBDA2" w14:textId="77777777" w:rsidR="004364A0" w:rsidRPr="00CD49CA" w:rsidRDefault="004364A0" w:rsidP="004364A0">
      <w:pPr>
        <w:spacing w:before="240" w:after="240" w:line="360" w:lineRule="auto"/>
        <w:jc w:val="both"/>
        <w:rPr>
          <w:rFonts w:ascii="Arial" w:hAnsi="Arial" w:cs="Arial"/>
          <w:color w:val="000000"/>
          <w:sz w:val="20"/>
          <w:szCs w:val="20"/>
          <w:lang w:val="es-ES_tradnl"/>
        </w:rPr>
      </w:pPr>
      <w:r w:rsidRPr="00CD49CA">
        <w:rPr>
          <w:rFonts w:ascii="Arial" w:hAnsi="Arial" w:cs="Arial"/>
          <w:sz w:val="20"/>
          <w:szCs w:val="20"/>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52E3E244" w14:textId="77777777" w:rsidR="004364A0" w:rsidRPr="00CD49CA" w:rsidRDefault="004364A0" w:rsidP="004364A0">
      <w:pPr>
        <w:spacing w:before="240" w:after="240" w:line="360" w:lineRule="auto"/>
        <w:ind w:left="-11"/>
        <w:jc w:val="both"/>
        <w:rPr>
          <w:rFonts w:ascii="Arial" w:hAnsi="Arial" w:cs="Arial"/>
          <w:bCs/>
          <w:color w:val="000000"/>
          <w:sz w:val="20"/>
          <w:szCs w:val="20"/>
        </w:rPr>
      </w:pPr>
      <w:r w:rsidRPr="00CD49CA">
        <w:rPr>
          <w:rFonts w:ascii="Arial" w:hAnsi="Arial" w:cs="Arial"/>
          <w:bCs/>
          <w:color w:val="000000"/>
          <w:sz w:val="20"/>
          <w:szCs w:val="20"/>
        </w:rPr>
        <w:t xml:space="preserve">correcta aplicación del artículo 1964.2 CC es necesario abordar el régimen transitorio de la Ley 42/2015 y cómo afecta al cómputo del plazo, así como los criterios para fijar el </w:t>
      </w:r>
      <w:proofErr w:type="spellStart"/>
      <w:r w:rsidRPr="00CD49CA">
        <w:rPr>
          <w:rFonts w:ascii="Arial" w:hAnsi="Arial" w:cs="Arial"/>
          <w:bCs/>
          <w:i/>
          <w:iCs/>
          <w:color w:val="000000"/>
          <w:sz w:val="20"/>
          <w:szCs w:val="20"/>
        </w:rPr>
        <w:t>dies</w:t>
      </w:r>
      <w:proofErr w:type="spellEnd"/>
      <w:r w:rsidRPr="00CD49CA">
        <w:rPr>
          <w:rFonts w:ascii="Arial" w:hAnsi="Arial" w:cs="Arial"/>
          <w:bCs/>
          <w:i/>
          <w:iCs/>
          <w:color w:val="000000"/>
          <w:sz w:val="20"/>
          <w:szCs w:val="20"/>
        </w:rPr>
        <w:t xml:space="preserve"> a quo</w:t>
      </w:r>
      <w:r w:rsidRPr="00CD49CA">
        <w:rPr>
          <w:rFonts w:ascii="Arial" w:hAnsi="Arial" w:cs="Arial"/>
          <w:bCs/>
          <w:color w:val="000000"/>
          <w:sz w:val="20"/>
          <w:szCs w:val="20"/>
        </w:rPr>
        <w:t>.</w:t>
      </w:r>
    </w:p>
    <w:p w14:paraId="0B6C32A2" w14:textId="77777777" w:rsidR="004364A0" w:rsidRPr="00CD49CA" w:rsidRDefault="004364A0" w:rsidP="004364A0">
      <w:pPr>
        <w:pStyle w:val="Prrafodelista"/>
        <w:numPr>
          <w:ilvl w:val="0"/>
          <w:numId w:val="26"/>
        </w:numPr>
        <w:spacing w:before="240" w:after="240" w:line="360" w:lineRule="auto"/>
        <w:ind w:left="1134" w:hanging="567"/>
        <w:contextualSpacing w:val="0"/>
        <w:jc w:val="both"/>
        <w:rPr>
          <w:rFonts w:ascii="Arial" w:hAnsi="Arial" w:cs="Arial"/>
          <w:b/>
          <w:color w:val="000000"/>
          <w:sz w:val="20"/>
          <w:szCs w:val="20"/>
        </w:rPr>
      </w:pPr>
      <w:r w:rsidRPr="00CD49CA">
        <w:rPr>
          <w:rFonts w:ascii="Arial" w:hAnsi="Arial" w:cs="Arial"/>
          <w:b/>
          <w:color w:val="000000"/>
          <w:sz w:val="20"/>
          <w:szCs w:val="20"/>
        </w:rPr>
        <w:t>Correcta aplicación del régimen transitorio relativo a la modificación operada en el artículo 1964 CC</w:t>
      </w:r>
    </w:p>
    <w:p w14:paraId="50DF21DB"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La Ley 42/2015, mediante su Disposición final primera, reformó el </w:t>
      </w:r>
      <w:hyperlink r:id="rId14" w:anchor="I4363')" w:tooltip="enlace" w:history="1">
        <w:r w:rsidRPr="00CD49CA">
          <w:rPr>
            <w:rFonts w:ascii="Arial" w:hAnsi="Arial" w:cs="Arial"/>
            <w:color w:val="000000"/>
            <w:sz w:val="20"/>
            <w:szCs w:val="20"/>
          </w:rPr>
          <w:t>artículo 1964 CC</w:t>
        </w:r>
      </w:hyperlink>
      <w:r w:rsidRPr="00CD49CA">
        <w:rPr>
          <w:rFonts w:ascii="Arial" w:hAnsi="Arial" w:cs="Arial"/>
          <w:color w:val="000000"/>
          <w:sz w:val="20"/>
          <w:szCs w:val="20"/>
        </w:rPr>
        <w:t xml:space="preserve"> en el sentido de reducir de 15 a 5 años el plazo de prescripción de las acciones personales. Para </w:t>
      </w:r>
      <w:r w:rsidRPr="00CD49CA">
        <w:rPr>
          <w:rFonts w:ascii="Arial" w:hAnsi="Arial" w:cs="Arial"/>
          <w:sz w:val="20"/>
          <w:szCs w:val="20"/>
          <w:lang w:val="es-ES_tradnl"/>
        </w:rPr>
        <w:t>las</w:t>
      </w:r>
      <w:r w:rsidRPr="00CD49CA">
        <w:rPr>
          <w:rFonts w:ascii="Arial" w:hAnsi="Arial" w:cs="Arial"/>
          <w:color w:val="000000"/>
          <w:sz w:val="20"/>
          <w:szCs w:val="20"/>
        </w:rPr>
        <w:t xml:space="preserve"> acciones nacidas con anterioridad, la propia Ley previó un </w:t>
      </w:r>
      <w:r w:rsidRPr="00CD49CA">
        <w:rPr>
          <w:rFonts w:ascii="Arial" w:hAnsi="Arial" w:cs="Arial"/>
          <w:sz w:val="20"/>
          <w:szCs w:val="20"/>
          <w:lang w:val="es-ES_tradnl"/>
        </w:rPr>
        <w:t>sistema</w:t>
      </w:r>
      <w:r w:rsidRPr="00CD49CA">
        <w:rPr>
          <w:rFonts w:ascii="Arial" w:hAnsi="Arial" w:cs="Arial"/>
          <w:color w:val="000000"/>
          <w:sz w:val="20"/>
          <w:szCs w:val="20"/>
        </w:rPr>
        <w:t xml:space="preserve"> transitorio en los siguientes términos:</w:t>
      </w:r>
    </w:p>
    <w:p w14:paraId="1B22A075" w14:textId="77777777" w:rsidR="004364A0" w:rsidRPr="00CD49CA" w:rsidRDefault="004364A0" w:rsidP="004364A0">
      <w:pPr>
        <w:spacing w:before="240" w:after="240" w:line="360" w:lineRule="auto"/>
        <w:jc w:val="both"/>
        <w:rPr>
          <w:rFonts w:ascii="Arial" w:hAnsi="Arial" w:cs="Arial"/>
          <w:i/>
          <w:color w:val="000000"/>
          <w:sz w:val="20"/>
          <w:szCs w:val="20"/>
        </w:rPr>
      </w:pPr>
      <w:r w:rsidRPr="00CD49CA">
        <w:rPr>
          <w:rFonts w:ascii="Arial" w:hAnsi="Arial" w:cs="Arial"/>
          <w:color w:val="000000"/>
          <w:sz w:val="20"/>
          <w:szCs w:val="20"/>
        </w:rPr>
        <w:lastRenderedPageBreak/>
        <w:t>“</w:t>
      </w:r>
      <w:r w:rsidRPr="00CD49CA">
        <w:rPr>
          <w:rFonts w:ascii="Arial" w:hAnsi="Arial" w:cs="Arial"/>
          <w:i/>
          <w:color w:val="000000"/>
          <w:sz w:val="20"/>
          <w:szCs w:val="20"/>
        </w:rPr>
        <w:t>Disposición transitoria quinta. Régimen de prescripción aplicable a las relaciones ya existentes.</w:t>
      </w:r>
    </w:p>
    <w:p w14:paraId="1A727070"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i/>
          <w:color w:val="000000"/>
          <w:sz w:val="20"/>
          <w:szCs w:val="20"/>
        </w:rPr>
        <w:t>El tiempo de prescripción de las acciones personales que no tengan señalado término especial de prescripción, nacidas antes de la fecha de entrada en vigor de esta Ley, se regirá por lo dispuesto en el artículo 1939 del Código Civil</w:t>
      </w:r>
      <w:r w:rsidRPr="00CD49CA">
        <w:rPr>
          <w:rFonts w:ascii="Arial" w:hAnsi="Arial" w:cs="Arial"/>
          <w:color w:val="000000"/>
          <w:sz w:val="20"/>
          <w:szCs w:val="20"/>
        </w:rPr>
        <w:t>.”</w:t>
      </w:r>
    </w:p>
    <w:p w14:paraId="33503A8D"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A su vez, el </w:t>
      </w:r>
      <w:hyperlink r:id="rId15" w:anchor="I2095')" w:tooltip="enlace" w:history="1">
        <w:r w:rsidRPr="00CD49CA">
          <w:rPr>
            <w:rFonts w:ascii="Arial" w:hAnsi="Arial" w:cs="Arial"/>
            <w:color w:val="000000"/>
            <w:sz w:val="20"/>
            <w:szCs w:val="20"/>
          </w:rPr>
          <w:t>artículo 1939 CC</w:t>
        </w:r>
      </w:hyperlink>
      <w:r w:rsidRPr="00CD49CA">
        <w:rPr>
          <w:rFonts w:ascii="Arial" w:hAnsi="Arial" w:cs="Arial"/>
          <w:color w:val="000000"/>
          <w:sz w:val="20"/>
          <w:szCs w:val="20"/>
        </w:rPr>
        <w:t> dispone:</w:t>
      </w:r>
    </w:p>
    <w:p w14:paraId="27E3001A" w14:textId="77777777" w:rsidR="004364A0" w:rsidRPr="00CD49CA" w:rsidRDefault="004364A0" w:rsidP="004364A0">
      <w:pPr>
        <w:spacing w:before="240" w:after="240" w:line="360" w:lineRule="auto"/>
        <w:jc w:val="both"/>
        <w:rPr>
          <w:rFonts w:ascii="Arial" w:hAnsi="Arial" w:cs="Arial"/>
          <w:color w:val="000000"/>
          <w:sz w:val="20"/>
          <w:szCs w:val="20"/>
        </w:rPr>
      </w:pPr>
      <w:bookmarkStart w:id="36" w:name="_Hlk80787668"/>
      <w:r w:rsidRPr="00CD49CA">
        <w:rPr>
          <w:rFonts w:ascii="Arial" w:hAnsi="Arial" w:cs="Arial"/>
          <w:color w:val="000000"/>
          <w:sz w:val="20"/>
          <w:szCs w:val="20"/>
        </w:rPr>
        <w:t>“</w:t>
      </w:r>
      <w:r w:rsidRPr="00CD49CA">
        <w:rPr>
          <w:rFonts w:ascii="Arial" w:hAnsi="Arial" w:cs="Arial"/>
          <w:b/>
          <w:bCs/>
          <w:i/>
          <w:color w:val="000000"/>
          <w:sz w:val="20"/>
          <w:szCs w:val="20"/>
          <w:u w:val="single"/>
        </w:rPr>
        <w:t>La prescripción comenzada</w:t>
      </w:r>
      <w:r w:rsidRPr="00CD49CA">
        <w:rPr>
          <w:rFonts w:ascii="Arial" w:hAnsi="Arial" w:cs="Arial"/>
          <w:i/>
          <w:color w:val="000000"/>
          <w:sz w:val="20"/>
          <w:szCs w:val="20"/>
        </w:rPr>
        <w:t xml:space="preserve"> antes de la publicación de este Código se regirá por las leyes anteriores al mismo; pero si desde que fuere puesto en observancia transcurriese todo el tiempo en él exigido para la prescripción, surtirá ésta su efecto, aunque por dichas leyes anteriores se requiriese mayor lapso de tiempo</w:t>
      </w:r>
      <w:r w:rsidRPr="00CD49CA">
        <w:rPr>
          <w:rFonts w:ascii="Arial" w:hAnsi="Arial" w:cs="Arial"/>
          <w:color w:val="000000"/>
          <w:sz w:val="20"/>
          <w:szCs w:val="20"/>
        </w:rPr>
        <w:t>.”</w:t>
      </w:r>
    </w:p>
    <w:p w14:paraId="4A87A6DB"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El Tribunal Supremo ya ha tenido ocasión de interpretar este régimen transitorio en su sentencia núm. 29/2020, de 20 de enero de 2020</w:t>
      </w:r>
      <w:r w:rsidRPr="00CD49CA">
        <w:rPr>
          <w:rStyle w:val="Refdenotaalpie"/>
          <w:rFonts w:cs="Arial"/>
          <w:color w:val="000000"/>
          <w:sz w:val="20"/>
          <w:szCs w:val="20"/>
        </w:rPr>
        <w:footnoteReference w:id="50"/>
      </w:r>
      <w:r w:rsidRPr="00CD49CA">
        <w:rPr>
          <w:rFonts w:ascii="Arial" w:hAnsi="Arial" w:cs="Arial"/>
          <w:color w:val="000000"/>
          <w:sz w:val="20"/>
          <w:szCs w:val="20"/>
        </w:rPr>
        <w:t xml:space="preserve"> y ha señalado que el anterior </w:t>
      </w:r>
      <w:r w:rsidRPr="00CD49CA">
        <w:rPr>
          <w:rFonts w:ascii="Arial" w:hAnsi="Arial" w:cs="Arial"/>
          <w:sz w:val="20"/>
          <w:szCs w:val="20"/>
          <w:lang w:val="es-ES_tradnl"/>
        </w:rPr>
        <w:t>precepto</w:t>
      </w:r>
      <w:r w:rsidRPr="00CD49CA">
        <w:rPr>
          <w:rFonts w:ascii="Arial" w:hAnsi="Arial" w:cs="Arial"/>
          <w:color w:val="000000"/>
          <w:sz w:val="20"/>
          <w:szCs w:val="20"/>
        </w:rPr>
        <w:t xml:space="preserve"> establece una regla general (que la prescripción se rige por la ley vigente en la fecha en que se inicia el plazo prescriptivo, por lo que la ley nueva no se aplica a las </w:t>
      </w:r>
      <w:r w:rsidRPr="00CD49CA">
        <w:rPr>
          <w:rFonts w:ascii="Arial" w:hAnsi="Arial" w:cs="Arial"/>
          <w:sz w:val="20"/>
          <w:szCs w:val="20"/>
          <w:lang w:val="es-ES_tradnl"/>
        </w:rPr>
        <w:t>prescripciones</w:t>
      </w:r>
      <w:r w:rsidRPr="00CD49CA">
        <w:rPr>
          <w:rFonts w:ascii="Arial" w:hAnsi="Arial" w:cs="Arial"/>
          <w:color w:val="000000"/>
          <w:sz w:val="20"/>
          <w:szCs w:val="20"/>
        </w:rPr>
        <w:t xml:space="preserve"> que estaban en curso a su entrada en vigor); y una excepción (la prescripción se entiende consumada si la ley nueva acorta el plazo de prescripción anteriormente previsto y dicho nuevo plazo transcurre por entero tras la puesta en vigor de la ley nueva).</w:t>
      </w:r>
    </w:p>
    <w:bookmarkEnd w:id="36"/>
    <w:p w14:paraId="51190F5A"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En particular, y asumiendo que no existen actos que interrumpan el cómputo del plazo de prescripción, existirían las siguientes situaciones en función de cuándo se inició la prescripción: “</w:t>
      </w:r>
      <w:r w:rsidRPr="00CD49CA">
        <w:rPr>
          <w:rFonts w:ascii="Arial" w:hAnsi="Arial" w:cs="Arial"/>
          <w:i/>
          <w:iCs/>
          <w:color w:val="000000"/>
          <w:sz w:val="20"/>
          <w:szCs w:val="20"/>
        </w:rPr>
        <w:t xml:space="preserve">teniendo en cuenta que la </w:t>
      </w:r>
      <w:r w:rsidRPr="00CD49CA">
        <w:rPr>
          <w:rFonts w:ascii="Arial" w:hAnsi="Arial" w:cs="Arial"/>
          <w:i/>
          <w:iCs/>
          <w:color w:val="000000"/>
          <w:sz w:val="20"/>
          <w:szCs w:val="20"/>
          <w:u w:val="single"/>
        </w:rPr>
        <w:t>prescripción iniciada</w:t>
      </w:r>
      <w:r w:rsidRPr="00CD49CA">
        <w:rPr>
          <w:rFonts w:ascii="Arial" w:hAnsi="Arial" w:cs="Arial"/>
          <w:i/>
          <w:iCs/>
          <w:color w:val="000000"/>
          <w:sz w:val="20"/>
          <w:szCs w:val="20"/>
        </w:rPr>
        <w:t xml:space="preserve"> antes de la referida entrada en vigor se regirá por el plazo anteriormente fijado (quince años), si bien, si desde dicha entrada en vigor transcurriese todo el plazo requerido por la nueva norma (cinco años) surtirá efecto la prescripción incluso aunque anteriormente hubiera un plazo de quince años:</w:t>
      </w:r>
    </w:p>
    <w:p w14:paraId="496EC9D5"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i/>
          <w:iCs/>
          <w:color w:val="000000"/>
          <w:sz w:val="20"/>
          <w:szCs w:val="20"/>
        </w:rPr>
      </w:pPr>
      <w:r w:rsidRPr="00CD49CA">
        <w:rPr>
          <w:rFonts w:ascii="Arial" w:hAnsi="Arial" w:cs="Arial"/>
          <w:i/>
          <w:iCs/>
          <w:color w:val="000000"/>
          <w:sz w:val="20"/>
          <w:szCs w:val="20"/>
        </w:rPr>
        <w:t xml:space="preserve">Relaciones jurídicas nacidas antes del 7 de octubre de 2000: estarían prescritas a la entrada en vigor de nueva Ley. </w:t>
      </w:r>
    </w:p>
    <w:p w14:paraId="3A41DDED"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i/>
          <w:iCs/>
          <w:color w:val="000000"/>
          <w:sz w:val="20"/>
          <w:szCs w:val="20"/>
        </w:rPr>
      </w:pPr>
      <w:r w:rsidRPr="00CD49CA">
        <w:rPr>
          <w:rFonts w:ascii="Arial" w:hAnsi="Arial" w:cs="Arial"/>
          <w:i/>
          <w:iCs/>
          <w:color w:val="000000"/>
          <w:sz w:val="20"/>
          <w:szCs w:val="20"/>
        </w:rPr>
        <w:t>Relaciones jurídicas nacidas entre el 7 de octubre de 2000 y el 7 de octubre de 2005: se les aplica el plazo de 15 años previsto en la redacción original del art. 1964 CC.</w:t>
      </w:r>
    </w:p>
    <w:p w14:paraId="0BEB9602"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i/>
          <w:iCs/>
          <w:color w:val="000000"/>
          <w:sz w:val="20"/>
          <w:szCs w:val="20"/>
        </w:rPr>
      </w:pPr>
      <w:bookmarkStart w:id="37" w:name="_Ref77333687"/>
      <w:r w:rsidRPr="00CD49CA">
        <w:rPr>
          <w:rFonts w:ascii="Arial" w:hAnsi="Arial" w:cs="Arial"/>
          <w:i/>
          <w:iCs/>
          <w:color w:val="000000"/>
          <w:sz w:val="20"/>
          <w:szCs w:val="20"/>
        </w:rPr>
        <w:t>Relaciones jurídicas nacidas entre el 7 de octubre de 2005 y el 7 de octubre de 2015: en aplicación de la regla de transitoriedad del art. 1939 CC, no prescriben hasta el 7 de octubre de 2020.</w:t>
      </w:r>
      <w:bookmarkEnd w:id="37"/>
    </w:p>
    <w:p w14:paraId="67E67416"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i/>
          <w:iCs/>
          <w:color w:val="000000"/>
          <w:sz w:val="20"/>
          <w:szCs w:val="20"/>
        </w:rPr>
      </w:pPr>
      <w:bookmarkStart w:id="38" w:name="_Ref80261684"/>
      <w:r w:rsidRPr="00CD49CA">
        <w:rPr>
          <w:rFonts w:ascii="Arial" w:hAnsi="Arial" w:cs="Arial"/>
          <w:i/>
          <w:iCs/>
          <w:color w:val="000000"/>
          <w:sz w:val="20"/>
          <w:szCs w:val="20"/>
        </w:rPr>
        <w:t>Relaciones jurídicas nacidas después del 7 de octubre de 2015: se les aplica el nuevo plazo de cinco años, conforme a la vigente redacción del art. 1964 CC.</w:t>
      </w:r>
      <w:bookmarkEnd w:id="38"/>
    </w:p>
    <w:p w14:paraId="0F005406" w14:textId="77777777" w:rsidR="004364A0" w:rsidRPr="00CD49CA" w:rsidRDefault="004364A0" w:rsidP="004364A0">
      <w:pPr>
        <w:spacing w:before="240" w:after="240" w:line="360" w:lineRule="auto"/>
        <w:jc w:val="both"/>
        <w:rPr>
          <w:rFonts w:ascii="Arial" w:hAnsi="Arial" w:cs="Arial"/>
          <w:i/>
          <w:iCs/>
          <w:color w:val="000000"/>
          <w:sz w:val="20"/>
          <w:szCs w:val="20"/>
        </w:rPr>
      </w:pPr>
      <w:r w:rsidRPr="00CD49CA">
        <w:rPr>
          <w:rFonts w:ascii="Arial" w:hAnsi="Arial" w:cs="Arial"/>
          <w:color w:val="000000"/>
          <w:sz w:val="20"/>
          <w:szCs w:val="20"/>
        </w:rPr>
        <w:lastRenderedPageBreak/>
        <w:t>A lo anterior debe realizarse dos matizaciones. En primer lugar, debemos entender por “relaciones jurídicas nacidas” el momento en que se inicia el plazo de prescripción, como se desprende del artículo 1939 CC y como el propio Tribunal Supremo indica en la resolución. En función de este momento variará el régimen aplicable. Así, si la prescripción quedó iniciada antes del 7 de octubre de 2015 y no se ha ejercitado la acción antes del 7 de octubre de 2020 (5 años después), la acción en cuestión habría prescrito.</w:t>
      </w:r>
    </w:p>
    <w:p w14:paraId="1AA43077"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La segunda matización que debe realizarse es que debe tenerse en cuenta la suspensión de plazos acordada con </w:t>
      </w:r>
      <w:r w:rsidRPr="00CD49CA">
        <w:rPr>
          <w:rFonts w:ascii="Arial" w:hAnsi="Arial" w:cs="Arial"/>
          <w:sz w:val="20"/>
          <w:szCs w:val="20"/>
        </w:rPr>
        <w:t>ocasión del estado de alarma declarado como consecuencia del Covid-19, que entró en vigor el 14 de marzo de 2020</w:t>
      </w:r>
      <w:r w:rsidRPr="00CD49CA">
        <w:rPr>
          <w:rStyle w:val="Refdenotaalpie"/>
          <w:rFonts w:cs="Arial"/>
          <w:sz w:val="20"/>
          <w:szCs w:val="20"/>
        </w:rPr>
        <w:footnoteReference w:id="51"/>
      </w:r>
      <w:r w:rsidRPr="00CD49CA">
        <w:rPr>
          <w:rFonts w:ascii="Arial" w:hAnsi="Arial" w:cs="Arial"/>
          <w:sz w:val="20"/>
          <w:szCs w:val="20"/>
        </w:rPr>
        <w:t xml:space="preserve"> y finalizó el 4 de junio de 2020</w:t>
      </w:r>
      <w:r w:rsidRPr="00CD49CA">
        <w:rPr>
          <w:rStyle w:val="Refdenotaalpie"/>
          <w:rFonts w:cs="Arial"/>
          <w:sz w:val="20"/>
          <w:szCs w:val="20"/>
        </w:rPr>
        <w:footnoteReference w:id="52"/>
      </w:r>
      <w:r w:rsidRPr="00CD49CA">
        <w:rPr>
          <w:rFonts w:ascii="Arial" w:hAnsi="Arial" w:cs="Arial"/>
          <w:sz w:val="20"/>
          <w:szCs w:val="20"/>
        </w:rPr>
        <w:t xml:space="preserve">. Dicha suspensión ha </w:t>
      </w:r>
      <w:r w:rsidRPr="00CD49CA">
        <w:rPr>
          <w:rFonts w:ascii="Arial" w:hAnsi="Arial" w:cs="Arial"/>
          <w:sz w:val="20"/>
          <w:szCs w:val="20"/>
          <w:lang w:val="es-ES_tradnl"/>
        </w:rPr>
        <w:t>operado</w:t>
      </w:r>
      <w:r w:rsidRPr="00CD49CA">
        <w:rPr>
          <w:rFonts w:ascii="Arial" w:hAnsi="Arial" w:cs="Arial"/>
          <w:sz w:val="20"/>
          <w:szCs w:val="20"/>
        </w:rPr>
        <w:t xml:space="preserve"> durante 82 días naturales, por lo que, usando el ejemplo anterior, en lugar de estar a la fecha de 7 de octubre 2020, el análisis debe extenderse al 28 de diciembre de 2020.</w:t>
      </w:r>
    </w:p>
    <w:p w14:paraId="27E4073E"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La consideración conjunta del régimen transitorio y de la suspensión de plazos por el </w:t>
      </w:r>
      <w:r w:rsidRPr="00CD49CA">
        <w:rPr>
          <w:rFonts w:ascii="Arial" w:hAnsi="Arial" w:cs="Arial"/>
          <w:sz w:val="20"/>
          <w:szCs w:val="20"/>
          <w:lang w:val="es-ES_tradnl"/>
        </w:rPr>
        <w:t>estado</w:t>
      </w:r>
      <w:r w:rsidRPr="00CD49CA">
        <w:rPr>
          <w:rFonts w:ascii="Arial" w:hAnsi="Arial" w:cs="Arial"/>
          <w:color w:val="000000"/>
          <w:sz w:val="20"/>
          <w:szCs w:val="20"/>
        </w:rPr>
        <w:t xml:space="preserve"> de alarma determina que, cuando el inicio del plazo de prescripción sea anterior al 7 de octubre de 2015, si la acción se ha ejercitado con posterioridad al 28 de diciembre de 2020 (5 años + 82 días), dicha acción necesariamente ha prescrito. En el caso de que el </w:t>
      </w:r>
      <w:proofErr w:type="spellStart"/>
      <w:r w:rsidRPr="00CD49CA">
        <w:rPr>
          <w:rFonts w:ascii="Arial" w:hAnsi="Arial" w:cs="Arial"/>
          <w:i/>
          <w:iCs/>
          <w:color w:val="000000"/>
          <w:sz w:val="20"/>
          <w:szCs w:val="20"/>
        </w:rPr>
        <w:t>dies</w:t>
      </w:r>
      <w:proofErr w:type="spellEnd"/>
      <w:r w:rsidRPr="00CD49CA">
        <w:rPr>
          <w:rFonts w:ascii="Arial" w:hAnsi="Arial" w:cs="Arial"/>
          <w:i/>
          <w:iCs/>
          <w:color w:val="000000"/>
          <w:sz w:val="20"/>
          <w:szCs w:val="20"/>
        </w:rPr>
        <w:t xml:space="preserve"> a quo</w:t>
      </w:r>
      <w:r w:rsidRPr="00CD49CA">
        <w:rPr>
          <w:rFonts w:ascii="Arial" w:hAnsi="Arial" w:cs="Arial"/>
          <w:color w:val="000000"/>
          <w:sz w:val="20"/>
          <w:szCs w:val="20"/>
        </w:rPr>
        <w:t xml:space="preserve"> se fije con posterioridad al 7 de octubre de 2015, deberá computarse un plazo de 5 años + 82 días desde ese concreto momento para determinar el momento de la prescripción.</w:t>
      </w:r>
    </w:p>
    <w:p w14:paraId="71F6B055"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Con el fin de realizar este análisis en el caso que nos ocupa, pasamos a analizar cómo debe computarse el plazo.</w:t>
      </w:r>
    </w:p>
    <w:p w14:paraId="1FD7B2C7" w14:textId="77777777" w:rsidR="004364A0" w:rsidRPr="00CD49CA" w:rsidRDefault="004364A0" w:rsidP="004364A0">
      <w:pPr>
        <w:pStyle w:val="Prrafodelista"/>
        <w:numPr>
          <w:ilvl w:val="0"/>
          <w:numId w:val="26"/>
        </w:numPr>
        <w:spacing w:before="240" w:after="240" w:line="360" w:lineRule="auto"/>
        <w:ind w:left="1134" w:hanging="567"/>
        <w:contextualSpacing w:val="0"/>
        <w:jc w:val="both"/>
        <w:rPr>
          <w:rFonts w:ascii="Arial" w:hAnsi="Arial" w:cs="Arial"/>
          <w:b/>
          <w:color w:val="000000"/>
          <w:sz w:val="20"/>
          <w:szCs w:val="20"/>
        </w:rPr>
      </w:pPr>
      <w:r w:rsidRPr="00CD49CA">
        <w:rPr>
          <w:rFonts w:ascii="Arial" w:hAnsi="Arial" w:cs="Arial"/>
          <w:b/>
          <w:color w:val="000000"/>
          <w:sz w:val="20"/>
          <w:szCs w:val="20"/>
        </w:rPr>
        <w:t xml:space="preserve">Fijación del </w:t>
      </w:r>
      <w:proofErr w:type="spellStart"/>
      <w:r w:rsidRPr="00CD49CA">
        <w:rPr>
          <w:rFonts w:ascii="Arial" w:hAnsi="Arial" w:cs="Arial"/>
          <w:b/>
          <w:i/>
          <w:iCs/>
          <w:color w:val="000000"/>
          <w:sz w:val="20"/>
          <w:szCs w:val="20"/>
        </w:rPr>
        <w:t>dies</w:t>
      </w:r>
      <w:proofErr w:type="spellEnd"/>
      <w:r w:rsidRPr="00CD49CA">
        <w:rPr>
          <w:rFonts w:ascii="Arial" w:hAnsi="Arial" w:cs="Arial"/>
          <w:b/>
          <w:i/>
          <w:iCs/>
          <w:color w:val="000000"/>
          <w:sz w:val="20"/>
          <w:szCs w:val="20"/>
        </w:rPr>
        <w:t xml:space="preserve"> a quo </w:t>
      </w:r>
      <w:r w:rsidRPr="00CD49CA">
        <w:rPr>
          <w:rFonts w:ascii="Arial" w:hAnsi="Arial" w:cs="Arial"/>
          <w:b/>
          <w:color w:val="000000"/>
          <w:sz w:val="20"/>
          <w:szCs w:val="20"/>
        </w:rPr>
        <w:t>o momento de inicio de la prescripción</w:t>
      </w:r>
    </w:p>
    <w:p w14:paraId="30F2468C"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Debemos pasar a analizar cómo se fija el momento de inicio del cómputo de la prescripción, esto es,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Al respecto, el TJUE ha declarado que lo relevante es el momento en el que el consumidor “</w:t>
      </w:r>
      <w:r w:rsidRPr="00CD49CA">
        <w:rPr>
          <w:rFonts w:ascii="Arial" w:hAnsi="Arial" w:cs="Arial"/>
          <w:i/>
          <w:sz w:val="20"/>
          <w:szCs w:val="20"/>
          <w:u w:val="single"/>
        </w:rPr>
        <w:t>tenía o podía razonablemente tener conocimiento del carácter abusivo de esta cláusula</w:t>
      </w:r>
      <w:r w:rsidRPr="00CD49CA">
        <w:rPr>
          <w:rFonts w:ascii="Arial" w:hAnsi="Arial" w:cs="Arial"/>
          <w:sz w:val="20"/>
          <w:szCs w:val="20"/>
        </w:rPr>
        <w:t>” y estaba en condiciones de ejercitar la acción (que no se haga “</w:t>
      </w:r>
      <w:r w:rsidRPr="00CD49CA">
        <w:rPr>
          <w:rFonts w:ascii="Arial" w:hAnsi="Arial" w:cs="Arial"/>
          <w:i/>
          <w:color w:val="000000"/>
          <w:sz w:val="20"/>
          <w:szCs w:val="20"/>
        </w:rPr>
        <w:t>imposible en la práctica o excesivamente difícil el ejercicio del derecho del consumidor a solicitar tal restitución</w:t>
      </w:r>
      <w:r w:rsidRPr="00CD49CA">
        <w:rPr>
          <w:rFonts w:ascii="Arial" w:hAnsi="Arial" w:cs="Arial"/>
          <w:iCs/>
          <w:color w:val="000000"/>
          <w:sz w:val="20"/>
          <w:szCs w:val="20"/>
        </w:rPr>
        <w:t>”)</w:t>
      </w:r>
      <w:r w:rsidRPr="00CD49CA">
        <w:rPr>
          <w:rStyle w:val="Refdenotaalpie"/>
          <w:rFonts w:eastAsia="Calibri" w:cs="Arial"/>
          <w:sz w:val="20"/>
          <w:szCs w:val="20"/>
        </w:rPr>
        <w:footnoteReference w:id="53"/>
      </w:r>
      <w:r w:rsidRPr="00CD49CA">
        <w:rPr>
          <w:rFonts w:ascii="Arial" w:hAnsi="Arial" w:cs="Arial"/>
          <w:sz w:val="20"/>
          <w:szCs w:val="20"/>
        </w:rPr>
        <w:t>. Precisamente este es el criterio que opera en la normativa nacional aplicable, tal y como ha sido interpretada por el Tribunal Supremo.</w:t>
      </w:r>
    </w:p>
    <w:p w14:paraId="598942EC" w14:textId="77777777" w:rsidR="004364A0" w:rsidRPr="00CD49CA" w:rsidRDefault="004364A0" w:rsidP="004364A0">
      <w:pPr>
        <w:spacing w:before="240" w:after="240" w:line="360" w:lineRule="auto"/>
        <w:jc w:val="both"/>
        <w:rPr>
          <w:rFonts w:ascii="Arial" w:hAnsi="Arial" w:cs="Arial"/>
          <w:bCs/>
          <w:color w:val="000000"/>
          <w:sz w:val="20"/>
          <w:szCs w:val="20"/>
        </w:rPr>
      </w:pPr>
      <w:r w:rsidRPr="00CD49CA">
        <w:rPr>
          <w:rFonts w:ascii="Arial" w:hAnsi="Arial" w:cs="Arial"/>
          <w:bCs/>
          <w:color w:val="000000"/>
          <w:sz w:val="20"/>
          <w:szCs w:val="20"/>
        </w:rPr>
        <w:t>El artículo 1964.2 CC establece que las acciones personales que no tengan plazo especial prescriben a los 5 años “</w:t>
      </w:r>
      <w:r w:rsidRPr="00CD49CA">
        <w:rPr>
          <w:rFonts w:ascii="Arial" w:hAnsi="Arial" w:cs="Arial"/>
          <w:bCs/>
          <w:i/>
          <w:iCs/>
          <w:color w:val="000000"/>
          <w:sz w:val="20"/>
          <w:szCs w:val="20"/>
        </w:rPr>
        <w:t>desde que pueda exigirse el cumplimiento de la obligación</w:t>
      </w:r>
      <w:r w:rsidRPr="00CD49CA">
        <w:rPr>
          <w:rFonts w:ascii="Arial" w:hAnsi="Arial" w:cs="Arial"/>
          <w:bCs/>
          <w:color w:val="000000"/>
          <w:sz w:val="20"/>
          <w:szCs w:val="20"/>
        </w:rPr>
        <w:t>”. Por su parte, el artículo 1969 CC establece que “</w:t>
      </w:r>
      <w:r w:rsidRPr="00CD49CA">
        <w:rPr>
          <w:rFonts w:ascii="Arial" w:hAnsi="Arial" w:cs="Arial"/>
          <w:bCs/>
          <w:i/>
          <w:iCs/>
          <w:color w:val="000000"/>
          <w:sz w:val="20"/>
          <w:szCs w:val="20"/>
        </w:rPr>
        <w:t xml:space="preserve">el tiempo para la prescripción de toda clase de acciones, </w:t>
      </w:r>
      <w:r w:rsidRPr="00CD49CA">
        <w:rPr>
          <w:rFonts w:ascii="Arial" w:hAnsi="Arial" w:cs="Arial"/>
          <w:bCs/>
          <w:i/>
          <w:iCs/>
          <w:color w:val="000000"/>
          <w:sz w:val="20"/>
          <w:szCs w:val="20"/>
        </w:rPr>
        <w:lastRenderedPageBreak/>
        <w:t>cuando no haya disposición especial que otra cosa determine, se contará desde el día en que pudieron ejercitarse</w:t>
      </w:r>
      <w:r w:rsidRPr="00CD49CA">
        <w:rPr>
          <w:rFonts w:ascii="Arial" w:hAnsi="Arial" w:cs="Arial"/>
          <w:bCs/>
          <w:color w:val="000000"/>
          <w:sz w:val="20"/>
          <w:szCs w:val="20"/>
        </w:rPr>
        <w:t>”.</w:t>
      </w:r>
    </w:p>
    <w:p w14:paraId="01D93E51"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Los anteriores preceptos acuden a la regla de la </w:t>
      </w:r>
      <w:proofErr w:type="spellStart"/>
      <w:r w:rsidRPr="00CD49CA">
        <w:rPr>
          <w:rFonts w:ascii="Arial" w:hAnsi="Arial" w:cs="Arial"/>
          <w:i/>
          <w:sz w:val="20"/>
          <w:szCs w:val="20"/>
        </w:rPr>
        <w:t>actio</w:t>
      </w:r>
      <w:proofErr w:type="spellEnd"/>
      <w:r w:rsidRPr="00CD49CA">
        <w:rPr>
          <w:rFonts w:ascii="Arial" w:hAnsi="Arial" w:cs="Arial"/>
          <w:i/>
          <w:sz w:val="20"/>
          <w:szCs w:val="20"/>
        </w:rPr>
        <w:t xml:space="preserve"> nata</w:t>
      </w:r>
      <w:r w:rsidRPr="00CD49CA">
        <w:rPr>
          <w:rFonts w:ascii="Arial" w:hAnsi="Arial" w:cs="Arial"/>
          <w:sz w:val="20"/>
          <w:szCs w:val="20"/>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CD49CA">
        <w:rPr>
          <w:rStyle w:val="Refdenotaalpie"/>
          <w:rFonts w:cs="Arial"/>
          <w:sz w:val="20"/>
          <w:szCs w:val="20"/>
        </w:rPr>
        <w:footnoteReference w:id="54"/>
      </w:r>
      <w:r w:rsidRPr="00CD49CA">
        <w:rPr>
          <w:rFonts w:ascii="Arial" w:hAnsi="Arial" w:cs="Arial"/>
          <w:sz w:val="20"/>
          <w:szCs w:val="20"/>
        </w:rPr>
        <w:t xml:space="preserve">. Ese elemento subjetivo exige, por tanto, analizar las circunstancias del caso concreto y las particularidades de la situación de cada consumidor para determinar en qué momento tuvo conciencia de la posible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 cláusula y pudo haberse planteado el ejercicio de la acción.</w:t>
      </w:r>
    </w:p>
    <w:p w14:paraId="06385018" w14:textId="77777777" w:rsidR="004364A0" w:rsidRPr="00CD49CA" w:rsidRDefault="004364A0" w:rsidP="004364A0">
      <w:pPr>
        <w:spacing w:before="240" w:after="240" w:line="360" w:lineRule="auto"/>
        <w:jc w:val="both"/>
        <w:rPr>
          <w:rFonts w:ascii="Arial" w:hAnsi="Arial" w:cs="Arial"/>
          <w:sz w:val="20"/>
          <w:szCs w:val="20"/>
        </w:rPr>
      </w:pPr>
      <w:bookmarkStart w:id="39" w:name="_Hlk83302250"/>
      <w:r w:rsidRPr="00CD49CA">
        <w:rPr>
          <w:rFonts w:ascii="Arial" w:hAnsi="Arial" w:cs="Arial"/>
          <w:sz w:val="20"/>
          <w:szCs w:val="20"/>
        </w:rPr>
        <w:t>El Tribunal Supremo se refiere de manera clara por primera vez a esta interpretación actualmente vigente en su sentencia núm. 728/2012, de 11 de diciembre 2012</w:t>
      </w:r>
      <w:r w:rsidRPr="00CD49CA">
        <w:rPr>
          <w:rStyle w:val="Refdenotaalpie"/>
          <w:rFonts w:cs="Arial"/>
          <w:color w:val="000000"/>
          <w:sz w:val="20"/>
          <w:szCs w:val="20"/>
        </w:rPr>
        <w:footnoteReference w:id="55"/>
      </w:r>
      <w:r w:rsidRPr="00CD49CA">
        <w:rPr>
          <w:rFonts w:ascii="Arial" w:hAnsi="Arial" w:cs="Arial"/>
          <w:sz w:val="20"/>
          <w:szCs w:val="20"/>
        </w:rPr>
        <w:t xml:space="preserve">, en la cual </w:t>
      </w:r>
      <w:r w:rsidRPr="00CD49CA">
        <w:rPr>
          <w:rFonts w:ascii="Arial" w:hAnsi="Arial" w:cs="Arial"/>
          <w:color w:val="000000"/>
          <w:sz w:val="20"/>
          <w:szCs w:val="20"/>
        </w:rPr>
        <w:t xml:space="preserve">declaró que </w:t>
      </w:r>
      <w:r w:rsidRPr="00CD49CA">
        <w:rPr>
          <w:rFonts w:ascii="Arial" w:hAnsi="Arial" w:cs="Arial"/>
          <w:color w:val="000000"/>
          <w:sz w:val="20"/>
          <w:szCs w:val="20"/>
          <w:u w:val="single"/>
        </w:rPr>
        <w:t>la acción puede ejercitarse cuando se conoce o puede conocerse el derecho que se pretende tutelar con el ejercicio de la acción</w:t>
      </w:r>
      <w:r w:rsidRPr="00CD49CA">
        <w:rPr>
          <w:rFonts w:ascii="Arial" w:hAnsi="Arial" w:cs="Arial"/>
          <w:color w:val="000000"/>
          <w:sz w:val="20"/>
          <w:szCs w:val="20"/>
        </w:rPr>
        <w:t xml:space="preserve">, siendo ese el momento en que efectivamente nace la acción. Al hacerlo, recordó el fundamento de la prescripción extintiva, que es la necesidad de garantizar el principio de seguridad jurídica, fundamento que, como hemos visto, también ha sido reconocido por el TJUE en su jurisprudencia </w:t>
      </w:r>
      <w:r w:rsidRPr="00CD49CA">
        <w:rPr>
          <w:rFonts w:ascii="Arial" w:hAnsi="Arial" w:cs="Arial"/>
          <w:sz w:val="20"/>
          <w:szCs w:val="20"/>
          <w:lang w:val="es-ES_tradnl"/>
        </w:rPr>
        <w:t>sobre</w:t>
      </w:r>
      <w:r w:rsidRPr="00CD49CA">
        <w:rPr>
          <w:rFonts w:ascii="Arial" w:hAnsi="Arial" w:cs="Arial"/>
          <w:color w:val="000000"/>
          <w:sz w:val="20"/>
          <w:szCs w:val="20"/>
        </w:rPr>
        <w:t xml:space="preserve"> aplicación de los plazos de prescripción a la restitución de las ventajas obtenidas por la aplicación de una cláusula abusiva.</w:t>
      </w:r>
    </w:p>
    <w:bookmarkEnd w:id="39"/>
    <w:p w14:paraId="396551B5"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El inicio del cómputo en un momento distinto, como puede ser la firma del contrato –cuando en esa fecha no se tuviera o pudiera tener conocimiento del posible carácter abusivo de una concreta cláusula abusiva–, la fecha de la sentencia </w:t>
      </w:r>
      <w:r w:rsidRPr="00CD49CA">
        <w:rPr>
          <w:rFonts w:ascii="Arial" w:hAnsi="Arial" w:cs="Arial"/>
          <w:sz w:val="20"/>
          <w:szCs w:val="20"/>
          <w:lang w:val="es-ES_tradnl"/>
        </w:rPr>
        <w:t>declarativa</w:t>
      </w:r>
      <w:r w:rsidRPr="00CD49CA">
        <w:rPr>
          <w:rFonts w:ascii="Arial" w:hAnsi="Arial" w:cs="Arial"/>
          <w:color w:val="000000"/>
          <w:sz w:val="20"/>
          <w:szCs w:val="20"/>
        </w:rPr>
        <w:t xml:space="preserve"> del carácter abusivo de la cláusula –cuando resulta evidente que el conocimiento es en todo caso anterior, ya que de otro modo no se habría interpuesto la demanda– o la fecha de finalización de las prestaciones –que supondría tanto como considerar que la acción de restitución de ventajas es imprescriptible–; vulneraría el principio de seguridad jurídica consagrado tanto por el TJUE como por el Derecho nacional.</w:t>
      </w:r>
    </w:p>
    <w:p w14:paraId="7EFC64EE" w14:textId="77777777" w:rsidR="004364A0" w:rsidRPr="00CD49CA" w:rsidRDefault="004364A0" w:rsidP="004364A0">
      <w:pPr>
        <w:spacing w:before="240" w:after="240" w:line="360" w:lineRule="auto"/>
        <w:jc w:val="both"/>
        <w:rPr>
          <w:rFonts w:ascii="Arial" w:hAnsi="Arial" w:cs="Arial"/>
          <w:color w:val="000000"/>
          <w:sz w:val="20"/>
          <w:szCs w:val="20"/>
        </w:rPr>
      </w:pPr>
      <w:r w:rsidRPr="00CD49CA">
        <w:rPr>
          <w:rFonts w:ascii="Arial" w:hAnsi="Arial" w:cs="Arial"/>
          <w:color w:val="000000"/>
          <w:sz w:val="20"/>
          <w:szCs w:val="20"/>
        </w:rPr>
        <w:t xml:space="preserve">A este respecto se han pronunciado ya nuestros Tribunales, descartando expresamente que el plazo pueda comenzar a computarse en esas otras fechas, por no ser </w:t>
      </w:r>
      <w:r w:rsidRPr="00CD49CA">
        <w:rPr>
          <w:rFonts w:ascii="Arial" w:hAnsi="Arial" w:cs="Arial"/>
          <w:sz w:val="20"/>
          <w:szCs w:val="20"/>
          <w:lang w:val="es-ES_tradnl"/>
        </w:rPr>
        <w:t>coincidentes</w:t>
      </w:r>
      <w:r w:rsidRPr="00CD49CA">
        <w:rPr>
          <w:rFonts w:ascii="Arial" w:hAnsi="Arial" w:cs="Arial"/>
          <w:color w:val="000000"/>
          <w:sz w:val="20"/>
          <w:szCs w:val="20"/>
        </w:rPr>
        <w:t xml:space="preserve"> con el momento en el que el consumidor conoció o pudo razonablemente conocer la </w:t>
      </w:r>
      <w:proofErr w:type="spellStart"/>
      <w:r w:rsidRPr="00CD49CA">
        <w:rPr>
          <w:rFonts w:ascii="Arial" w:hAnsi="Arial" w:cs="Arial"/>
          <w:color w:val="000000"/>
          <w:sz w:val="20"/>
          <w:szCs w:val="20"/>
        </w:rPr>
        <w:t>abusividad</w:t>
      </w:r>
      <w:proofErr w:type="spellEnd"/>
      <w:r w:rsidRPr="00CD49CA">
        <w:rPr>
          <w:rFonts w:ascii="Arial" w:hAnsi="Arial" w:cs="Arial"/>
          <w:color w:val="000000"/>
          <w:sz w:val="20"/>
          <w:szCs w:val="20"/>
        </w:rPr>
        <w:t xml:space="preserve"> de la </w:t>
      </w:r>
      <w:r w:rsidRPr="00CD49CA">
        <w:rPr>
          <w:rFonts w:ascii="Arial" w:hAnsi="Arial" w:cs="Arial"/>
          <w:color w:val="000000"/>
          <w:sz w:val="20"/>
          <w:szCs w:val="20"/>
        </w:rPr>
        <w:lastRenderedPageBreak/>
        <w:t>cláusula de que se trate</w:t>
      </w:r>
      <w:r w:rsidRPr="00CD49CA">
        <w:rPr>
          <w:rStyle w:val="Refdenotaalpie"/>
          <w:rFonts w:cs="Arial"/>
          <w:color w:val="000000"/>
          <w:sz w:val="20"/>
          <w:szCs w:val="20"/>
        </w:rPr>
        <w:footnoteReference w:id="56"/>
      </w:r>
      <w:r w:rsidRPr="00CD49CA">
        <w:rPr>
          <w:rFonts w:ascii="Arial" w:hAnsi="Arial" w:cs="Arial"/>
          <w:color w:val="000000"/>
          <w:sz w:val="20"/>
          <w:szCs w:val="20"/>
        </w:rPr>
        <w:t xml:space="preserve">. </w:t>
      </w:r>
      <w:bookmarkStart w:id="40" w:name="_Hlk83302284"/>
      <w:r w:rsidRPr="00CD49CA">
        <w:rPr>
          <w:rFonts w:ascii="Arial" w:hAnsi="Arial" w:cs="Arial"/>
          <w:color w:val="000000"/>
          <w:sz w:val="20"/>
          <w:szCs w:val="20"/>
        </w:rPr>
        <w:t xml:space="preserve">Así lo ha reconocido el propio Tribunal Supremo en el Auto Cuestión Prejudicial GH, descartando, con base en el principio de seguridad jurídica, estos posibles </w:t>
      </w:r>
      <w:proofErr w:type="spellStart"/>
      <w:r w:rsidRPr="00CD49CA">
        <w:rPr>
          <w:rFonts w:ascii="Arial" w:hAnsi="Arial" w:cs="Arial"/>
          <w:i/>
          <w:iCs/>
          <w:color w:val="000000"/>
          <w:sz w:val="20"/>
          <w:szCs w:val="20"/>
        </w:rPr>
        <w:t>dies</w:t>
      </w:r>
      <w:proofErr w:type="spellEnd"/>
      <w:r w:rsidRPr="00CD49CA">
        <w:rPr>
          <w:rFonts w:ascii="Arial" w:hAnsi="Arial" w:cs="Arial"/>
          <w:i/>
          <w:iCs/>
          <w:color w:val="000000"/>
          <w:sz w:val="20"/>
          <w:szCs w:val="20"/>
        </w:rPr>
        <w:t xml:space="preserve"> a quo</w:t>
      </w:r>
      <w:r w:rsidRPr="00CD49CA">
        <w:rPr>
          <w:rFonts w:ascii="Arial" w:hAnsi="Arial" w:cs="Arial"/>
          <w:color w:val="000000"/>
          <w:sz w:val="20"/>
          <w:szCs w:val="20"/>
        </w:rPr>
        <w:t xml:space="preserve"> (especialmente, el fijado en la fecha de la declarativa del carácter abusivo de la cláusulas en el concreto caso del demandante) por provocar </w:t>
      </w:r>
      <w:r w:rsidRPr="00CD49CA">
        <w:rPr>
          <w:rFonts w:ascii="Arial" w:hAnsi="Arial" w:cs="Arial"/>
          <w:i/>
          <w:iCs/>
          <w:color w:val="000000"/>
          <w:sz w:val="20"/>
          <w:szCs w:val="20"/>
        </w:rPr>
        <w:t xml:space="preserve">de facto </w:t>
      </w:r>
      <w:r w:rsidRPr="00CD49CA">
        <w:rPr>
          <w:rFonts w:ascii="Arial" w:hAnsi="Arial" w:cs="Arial"/>
          <w:color w:val="000000"/>
          <w:sz w:val="20"/>
          <w:szCs w:val="20"/>
        </w:rPr>
        <w:t xml:space="preserve">que la acción de restitución fuera imprescriptible. Como se desprende de dicho Auto, esta solución sería contraria tanto a los criterios del TJUE, ya expuestos, como a nuestro Derecho Nacional.  </w:t>
      </w:r>
    </w:p>
    <w:bookmarkEnd w:id="40"/>
    <w:p w14:paraId="33B90DBA" w14:textId="77777777" w:rsidR="004364A0" w:rsidRPr="00CD49CA" w:rsidRDefault="004364A0" w:rsidP="004364A0">
      <w:pPr>
        <w:spacing w:before="240" w:after="240" w:line="360" w:lineRule="auto"/>
        <w:jc w:val="both"/>
        <w:rPr>
          <w:rFonts w:ascii="Arial" w:hAnsi="Arial" w:cs="Arial"/>
          <w:sz w:val="20"/>
          <w:szCs w:val="20"/>
          <w:lang w:val="es-ES_tradnl"/>
        </w:rPr>
      </w:pPr>
      <w:r w:rsidRPr="00CD49CA">
        <w:rPr>
          <w:rFonts w:ascii="Arial" w:hAnsi="Arial" w:cs="Arial"/>
          <w:sz w:val="20"/>
          <w:szCs w:val="20"/>
        </w:rPr>
        <w:t xml:space="preserve">Sentado lo anterior y teniendo en cuenta la jurisprudencia del TJUE, muchas de nuestras Audiencias Provinciales entienden que dicho conocimiento razonable de la posibilidad de que la cláusula fuera abusiva, y por tanto, de la posibilidad de ejercitar la acción, fue adquirida por el consumidor en el momento en que reparó que tenía que pagar todos los gastos y así se decantan por fijar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en el momento en que el cliente procedió al pago efectivo de las facturas de los gastos reclamados</w:t>
      </w:r>
      <w:r w:rsidRPr="00CD49CA">
        <w:rPr>
          <w:rStyle w:val="Refdenotaalpie"/>
          <w:rFonts w:cs="Arial"/>
          <w:sz w:val="20"/>
          <w:szCs w:val="20"/>
        </w:rPr>
        <w:footnoteReference w:id="57"/>
      </w:r>
      <w:r w:rsidRPr="00CD49CA">
        <w:rPr>
          <w:rFonts w:ascii="Arial" w:hAnsi="Arial" w:cs="Arial"/>
          <w:sz w:val="20"/>
          <w:szCs w:val="20"/>
          <w:lang w:val="es-ES_tradnl"/>
        </w:rPr>
        <w:t xml:space="preserve">. </w:t>
      </w:r>
      <w:r w:rsidRPr="00CD49CA">
        <w:rPr>
          <w:rFonts w:ascii="Arial" w:hAnsi="Arial" w:cs="Arial"/>
          <w:sz w:val="20"/>
          <w:szCs w:val="20"/>
        </w:rPr>
        <w:t xml:space="preserve">Y ello porque aunque la cláusula que se reputa abusiva fuese nula desde el día en que se formalizó el préstamo hipotecario, la acción no podría nacer sino </w:t>
      </w:r>
      <w:r w:rsidRPr="00CD49CA">
        <w:rPr>
          <w:rFonts w:ascii="Arial" w:hAnsi="Arial" w:cs="Arial"/>
          <w:sz w:val="20"/>
          <w:szCs w:val="20"/>
          <w:lang w:val="es-ES_tradnl"/>
        </w:rPr>
        <w:t xml:space="preserve">desde el momento del pago, momento en que el consumidor se percató de que tenía que abonar todos los gastos derivados de la formalización de su préstamo hipotecario. </w:t>
      </w:r>
    </w:p>
    <w:p w14:paraId="6E37265F"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Este es el </w:t>
      </w:r>
      <w:r w:rsidRPr="00CD49CA">
        <w:rPr>
          <w:rFonts w:ascii="Arial" w:hAnsi="Arial" w:cs="Arial"/>
          <w:sz w:val="20"/>
          <w:szCs w:val="20"/>
          <w:lang w:val="es-ES_tradnl"/>
        </w:rPr>
        <w:t>criterio de las sentencias de la Audiencia Provincial de Valencia, Sección 9ª, de 1 de febrero de 2018 (sentencia nº 66/2018)</w:t>
      </w:r>
      <w:r w:rsidRPr="00CD49CA">
        <w:rPr>
          <w:rStyle w:val="Refdenotaalpie"/>
          <w:rFonts w:cs="Arial"/>
          <w:sz w:val="20"/>
          <w:szCs w:val="20"/>
          <w:lang w:val="es-ES_tradnl"/>
        </w:rPr>
        <w:footnoteReference w:id="58"/>
      </w:r>
      <w:r w:rsidRPr="00CD49CA">
        <w:rPr>
          <w:rFonts w:ascii="Arial" w:hAnsi="Arial" w:cs="Arial"/>
          <w:sz w:val="20"/>
          <w:szCs w:val="20"/>
          <w:lang w:val="es-ES_tradnl"/>
        </w:rPr>
        <w:t xml:space="preserve"> y el de la Audiencia Provincial de Barcelona, Sección 15ª, de 23 de enero y 16 de octubre de 2019, 10 de septiembre de 2020 (sentencia nº 1808/2020)</w:t>
      </w:r>
      <w:r w:rsidRPr="00CD49CA">
        <w:rPr>
          <w:rStyle w:val="Refdenotaalpie"/>
          <w:rFonts w:cs="Arial"/>
          <w:sz w:val="20"/>
          <w:szCs w:val="20"/>
          <w:lang w:val="es-ES_tradnl"/>
        </w:rPr>
        <w:footnoteReference w:id="59"/>
      </w:r>
      <w:r w:rsidRPr="00CD49CA">
        <w:rPr>
          <w:rFonts w:ascii="Arial" w:hAnsi="Arial" w:cs="Arial"/>
          <w:sz w:val="20"/>
          <w:szCs w:val="20"/>
          <w:lang w:val="es-ES_tradnl"/>
        </w:rPr>
        <w:t>, 20 de diciembre de 2020 y la muy reciente de 3 de mayo de 2021</w:t>
      </w:r>
      <w:r w:rsidRPr="00CD49CA">
        <w:rPr>
          <w:rFonts w:ascii="Arial" w:hAnsi="Arial" w:cs="Arial"/>
          <w:sz w:val="20"/>
          <w:szCs w:val="20"/>
        </w:rPr>
        <w:t xml:space="preserve">. </w:t>
      </w:r>
    </w:p>
    <w:p w14:paraId="54C7FDAD"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Las anteriores resoluciones (y otras muchas posteriores), además, </w:t>
      </w:r>
      <w:r w:rsidRPr="00CD49CA">
        <w:rPr>
          <w:rFonts w:ascii="Arial" w:hAnsi="Arial" w:cs="Arial"/>
          <w:sz w:val="20"/>
          <w:szCs w:val="20"/>
          <w:lang w:val="es-ES_tradnl"/>
        </w:rPr>
        <w:t xml:space="preserve">incluyen en su análisis otro elemento relevante tenido en cuenta por los diferentes Tribunales para valorar el </w:t>
      </w:r>
      <w:proofErr w:type="spellStart"/>
      <w:r w:rsidRPr="00CD49CA">
        <w:rPr>
          <w:rFonts w:ascii="Arial" w:hAnsi="Arial" w:cs="Arial"/>
          <w:i/>
          <w:iCs/>
          <w:sz w:val="20"/>
          <w:szCs w:val="20"/>
          <w:lang w:val="es-ES_tradnl"/>
        </w:rPr>
        <w:t>dies</w:t>
      </w:r>
      <w:proofErr w:type="spellEnd"/>
      <w:r w:rsidRPr="00CD49CA">
        <w:rPr>
          <w:rFonts w:ascii="Arial" w:hAnsi="Arial" w:cs="Arial"/>
          <w:i/>
          <w:iCs/>
          <w:sz w:val="20"/>
          <w:szCs w:val="20"/>
          <w:lang w:val="es-ES_tradnl"/>
        </w:rPr>
        <w:t xml:space="preserve"> a quo </w:t>
      </w:r>
      <w:r w:rsidRPr="00CD49CA">
        <w:rPr>
          <w:rFonts w:ascii="Arial" w:hAnsi="Arial" w:cs="Arial"/>
          <w:sz w:val="20"/>
          <w:szCs w:val="20"/>
          <w:lang w:val="es-ES_tradnl"/>
        </w:rPr>
        <w:t xml:space="preserve">que no es otro que el conocimiento generalizado de la potencial </w:t>
      </w:r>
      <w:proofErr w:type="spellStart"/>
      <w:r w:rsidRPr="00CD49CA">
        <w:rPr>
          <w:rFonts w:ascii="Arial" w:hAnsi="Arial" w:cs="Arial"/>
          <w:sz w:val="20"/>
          <w:szCs w:val="20"/>
          <w:lang w:val="es-ES_tradnl"/>
        </w:rPr>
        <w:t>abusividad</w:t>
      </w:r>
      <w:proofErr w:type="spellEnd"/>
      <w:r w:rsidRPr="00CD49CA">
        <w:rPr>
          <w:rFonts w:ascii="Arial" w:hAnsi="Arial" w:cs="Arial"/>
          <w:sz w:val="20"/>
          <w:szCs w:val="20"/>
          <w:lang w:val="es-ES_tradnl"/>
        </w:rPr>
        <w:t xml:space="preserve"> de la cláusula. Muchos Tribunales, con carácter general, han venido fijando ese momento en la </w:t>
      </w:r>
      <w:r w:rsidRPr="00CD49CA">
        <w:rPr>
          <w:rFonts w:ascii="Arial" w:hAnsi="Arial" w:cs="Arial"/>
          <w:sz w:val="20"/>
          <w:szCs w:val="20"/>
        </w:rPr>
        <w:t xml:space="preserve">Sentencia del Tribunal Supremo de 23 de diciembre de 2015 que se pronunció por primera vez sobre una acción </w:t>
      </w:r>
      <w:r w:rsidRPr="00CD49CA">
        <w:rPr>
          <w:rFonts w:ascii="Arial" w:hAnsi="Arial" w:cs="Arial"/>
          <w:sz w:val="20"/>
          <w:szCs w:val="20"/>
        </w:rPr>
        <w:lastRenderedPageBreak/>
        <w:t xml:space="preserve">colectiva de cesación interpuesta por la OCU en relación con nulidad por abusiva de varias cláusulas, entre ellas, la de imposición de gastos hipotecarios. Las resoluciones mencionadas en el párrafo anterior descartan dicho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w:t>
      </w:r>
      <w:r w:rsidRPr="00CD49CA">
        <w:rPr>
          <w:rFonts w:ascii="Arial" w:hAnsi="Arial" w:cs="Arial"/>
          <w:sz w:val="20"/>
          <w:szCs w:val="20"/>
          <w:lang w:val="es-ES_tradnl"/>
        </w:rPr>
        <w:t xml:space="preserve">porque </w:t>
      </w:r>
      <w:r w:rsidRPr="00CD49CA">
        <w:rPr>
          <w:rFonts w:ascii="Arial" w:hAnsi="Arial" w:cs="Arial"/>
          <w:sz w:val="20"/>
          <w:szCs w:val="20"/>
        </w:rPr>
        <w:t>consideran que el conocimiento de los consumidores de la posibilidad de ejercitar la acción fue mucho anterior a ese momento acudiendo a los siguientes hitos:</w:t>
      </w:r>
    </w:p>
    <w:p w14:paraId="175BB6BC"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La litigación masiva en materia de consumo comenzó en 2013, momento en que existían “</w:t>
      </w:r>
      <w:r w:rsidRPr="00CD49CA">
        <w:rPr>
          <w:rFonts w:ascii="Arial" w:hAnsi="Arial" w:cs="Arial"/>
          <w:i/>
          <w:iCs/>
          <w:sz w:val="20"/>
          <w:szCs w:val="20"/>
        </w:rPr>
        <w:t>agresivas campañas de publicidad</w:t>
      </w:r>
      <w:r w:rsidRPr="00CD49CA">
        <w:rPr>
          <w:rFonts w:ascii="Arial" w:hAnsi="Arial" w:cs="Arial"/>
          <w:sz w:val="20"/>
          <w:szCs w:val="20"/>
        </w:rPr>
        <w:t>” y momento en que los consumidores tenían grandes facilidades para ejercitar sus derechos</w:t>
      </w:r>
      <w:r w:rsidRPr="00CD49CA">
        <w:rPr>
          <w:rStyle w:val="Refdenotaalpie"/>
          <w:rFonts w:cs="Arial"/>
          <w:color w:val="000000"/>
          <w:sz w:val="20"/>
          <w:szCs w:val="20"/>
        </w:rPr>
        <w:footnoteReference w:id="60"/>
      </w:r>
      <w:r w:rsidRPr="00CD49CA">
        <w:rPr>
          <w:rFonts w:ascii="Arial" w:hAnsi="Arial" w:cs="Arial"/>
          <w:sz w:val="20"/>
          <w:szCs w:val="20"/>
        </w:rPr>
        <w:t xml:space="preserve">. </w:t>
      </w:r>
    </w:p>
    <w:p w14:paraId="347DF874"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La Audiencia Provincial de Barcelona indicó que en noviembre de 2015 dictó su primera resolución en materia de gastos hipotecarios “</w:t>
      </w:r>
      <w:r w:rsidRPr="00CD49CA">
        <w:rPr>
          <w:rFonts w:ascii="Arial" w:hAnsi="Arial" w:cs="Arial"/>
          <w:i/>
          <w:iCs/>
          <w:sz w:val="20"/>
          <w:szCs w:val="20"/>
          <w:lang w:val="es-ES_tradnl"/>
        </w:rPr>
        <w:t>antes que el propio Tribunal Supremo (Sentencia de 18 de noviembre de 2015), en un procedimiento iniciado a principios del año 2013 y cuando proliferaban este tipo de acciones</w:t>
      </w:r>
      <w:r w:rsidRPr="00CD49CA">
        <w:rPr>
          <w:rFonts w:ascii="Arial" w:hAnsi="Arial" w:cs="Arial"/>
          <w:sz w:val="20"/>
          <w:szCs w:val="20"/>
          <w:lang w:val="es-ES_tradnl"/>
        </w:rPr>
        <w:t>”</w:t>
      </w:r>
    </w:p>
    <w:p w14:paraId="5FB14FC8"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La Sentencia del Tribunal Supremo de 23 de diciembre de 2015 “</w:t>
      </w:r>
      <w:r w:rsidRPr="00CD49CA">
        <w:rPr>
          <w:rFonts w:ascii="Arial" w:hAnsi="Arial" w:cs="Arial"/>
          <w:i/>
          <w:iCs/>
          <w:sz w:val="20"/>
          <w:szCs w:val="20"/>
          <w:lang w:val="es-ES_tradnl"/>
        </w:rPr>
        <w:t>se dictó en casación en un procedimiento iniciado muchos años antes, lo que prueba que los consumidores pudieron ejercitar la acción con mucha antelación</w:t>
      </w:r>
      <w:r w:rsidRPr="00CD49CA">
        <w:rPr>
          <w:rFonts w:ascii="Arial" w:hAnsi="Arial" w:cs="Arial"/>
          <w:sz w:val="20"/>
          <w:szCs w:val="20"/>
          <w:lang w:val="es-ES_tradnl"/>
        </w:rPr>
        <w:t>”</w:t>
      </w:r>
      <w:r w:rsidRPr="00CD49CA">
        <w:rPr>
          <w:rStyle w:val="Refdenotaalpie"/>
          <w:rFonts w:cs="Arial"/>
          <w:sz w:val="20"/>
          <w:szCs w:val="20"/>
          <w:lang w:val="es-ES_tradnl"/>
        </w:rPr>
        <w:footnoteReference w:id="61"/>
      </w:r>
      <w:r w:rsidRPr="00CD49CA">
        <w:rPr>
          <w:rFonts w:ascii="Arial" w:hAnsi="Arial" w:cs="Arial"/>
          <w:sz w:val="20"/>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CD49CA">
        <w:rPr>
          <w:rFonts w:ascii="Arial" w:hAnsi="Arial" w:cs="Arial"/>
          <w:sz w:val="20"/>
          <w:szCs w:val="20"/>
        </w:rPr>
        <w:t>con ocasión de las cláusulas suelo</w:t>
      </w:r>
      <w:r w:rsidRPr="00CD49CA">
        <w:rPr>
          <w:rStyle w:val="Refdenotaalpie"/>
          <w:rFonts w:cs="Arial"/>
          <w:sz w:val="20"/>
          <w:szCs w:val="20"/>
        </w:rPr>
        <w:footnoteReference w:id="62"/>
      </w:r>
      <w:r w:rsidRPr="00CD49CA">
        <w:rPr>
          <w:rFonts w:ascii="Arial" w:hAnsi="Arial" w:cs="Arial"/>
          <w:sz w:val="20"/>
          <w:szCs w:val="20"/>
        </w:rPr>
        <w:t xml:space="preserve">, para arrojar luz sobre el momento en que el consumidor tuvo razonable conocimiento de la potencial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 cláusula y pudo ejercitar la acción. </w:t>
      </w:r>
    </w:p>
    <w:p w14:paraId="304E9D19"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El Juzgado de Primera Instancia nº 20 de Barcelona acordó en su auto de 22 de julio de 2021 elevar cuestión prejudicial planteando exponiendo precisamente las tesis anteriores y solicitando al TJUE que se pronuncie sobre la compatibilidad con el Derecho Europeo de fijar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(i) en la declaración individual de nulidad (algo que ya ha descartado el propio Tribunal Supremo en el Auto Cuestión Prejudicial GH por ser contrario a la seguridad jurídica); (ii) en una sentencia del Tribunal Supremo declarando la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 cláusula (en referencia a la Sentencia del Tribunal Supremo de 23 de diciembre de 2015) “</w:t>
      </w:r>
      <w:r w:rsidRPr="00CD49CA">
        <w:rPr>
          <w:rFonts w:ascii="Arial" w:hAnsi="Arial" w:cs="Arial"/>
          <w:i/>
          <w:iCs/>
          <w:sz w:val="20"/>
          <w:szCs w:val="20"/>
          <w:lang w:val="es-ES_tradnl"/>
        </w:rPr>
        <w:t>con independencia de que el consumidor concreto conozca o no el contenido de esa sentencia</w:t>
      </w:r>
      <w:r w:rsidRPr="00CD49CA">
        <w:rPr>
          <w:rFonts w:ascii="Arial" w:hAnsi="Arial" w:cs="Arial"/>
          <w:sz w:val="20"/>
          <w:szCs w:val="20"/>
          <w:lang w:val="es-ES_tradnl"/>
        </w:rPr>
        <w:t>”</w:t>
      </w:r>
      <w:r w:rsidRPr="00CD49CA">
        <w:rPr>
          <w:rFonts w:ascii="Arial" w:hAnsi="Arial" w:cs="Arial"/>
          <w:sz w:val="20"/>
          <w:szCs w:val="20"/>
        </w:rPr>
        <w:t xml:space="preserve">; o (iii) en el pago efectivo de los gastos reclamados. </w:t>
      </w:r>
    </w:p>
    <w:p w14:paraId="52EDA212"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lastRenderedPageBreak/>
        <w:t xml:space="preserve">Por su parte, el Tribunal Supremo, en el Auto Cuestión Prejudicial GH, parece ir más allá al plantear al TJUE la posibilidad de que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fuera: (i) bien “</w:t>
      </w:r>
      <w:r w:rsidRPr="00CD49CA">
        <w:rPr>
          <w:rFonts w:ascii="Arial" w:hAnsi="Arial" w:cs="Arial"/>
          <w:i/>
          <w:iCs/>
          <w:sz w:val="20"/>
          <w:szCs w:val="20"/>
        </w:rPr>
        <w:t xml:space="preserve">aquel en que el Tribunal Supremo dictó una serie de sentencias uniformes en que declaró que las cláusulas que atribuían al consumidor el pago de todos los gastos del contrato eran </w:t>
      </w:r>
      <w:proofErr w:type="spellStart"/>
      <w:r w:rsidRPr="00CD49CA">
        <w:rPr>
          <w:rFonts w:ascii="Arial" w:hAnsi="Arial" w:cs="Arial"/>
          <w:i/>
          <w:iCs/>
          <w:sz w:val="20"/>
          <w:szCs w:val="20"/>
        </w:rPr>
        <w:t>abusividad</w:t>
      </w:r>
      <w:proofErr w:type="spellEnd"/>
      <w:r w:rsidRPr="00CD49CA">
        <w:rPr>
          <w:rFonts w:ascii="Arial" w:hAnsi="Arial" w:cs="Arial"/>
          <w:i/>
          <w:iCs/>
          <w:sz w:val="20"/>
          <w:szCs w:val="20"/>
        </w:rPr>
        <w:t xml:space="preserve"> y decidió cómo debían distribuirse tales gastos; </w:t>
      </w:r>
      <w:r w:rsidRPr="00CD49CA">
        <w:rPr>
          <w:rFonts w:ascii="Arial" w:hAnsi="Arial" w:cs="Arial"/>
          <w:sz w:val="20"/>
          <w:szCs w:val="20"/>
        </w:rPr>
        <w:t xml:space="preserve">o (ii) bien aquel en que el TJUE </w:t>
      </w:r>
      <w:r w:rsidRPr="00CD49CA">
        <w:rPr>
          <w:rFonts w:ascii="Arial" w:hAnsi="Arial" w:cs="Arial"/>
          <w:i/>
          <w:iCs/>
          <w:sz w:val="20"/>
          <w:szCs w:val="20"/>
        </w:rPr>
        <w:t>“admitió que la acción de restitución podía estar sujeta a un plazo de prescripción</w:t>
      </w:r>
      <w:r w:rsidRPr="00CD49CA">
        <w:rPr>
          <w:rFonts w:ascii="Arial" w:hAnsi="Arial" w:cs="Arial"/>
          <w:sz w:val="20"/>
          <w:szCs w:val="20"/>
        </w:rPr>
        <w:t xml:space="preserve">”. Dichas opciones, según el Tribunal Supremo, llevarían a fijar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(i) en enero de 2019 o (ii) en 2020. Sin embargo, </w:t>
      </w:r>
      <w:bookmarkStart w:id="41" w:name="_Hlk83302864"/>
      <w:r w:rsidRPr="00CD49CA">
        <w:rPr>
          <w:rFonts w:ascii="Arial" w:hAnsi="Arial" w:cs="Arial"/>
          <w:sz w:val="20"/>
          <w:szCs w:val="20"/>
        </w:rPr>
        <w:t xml:space="preserve">la fijación de una fecha concreta referenciada a una sentencia, sin tener en cuenta las circunstancias del caso, no puede ser validado por el TJUE. Así lo determina, entre otras, la SAP de 20 de diciembre de 2020 al analizar la STJUE de 16 de julio de 2020 asunto </w:t>
      </w:r>
      <w:proofErr w:type="spellStart"/>
      <w:r w:rsidRPr="00CD49CA">
        <w:rPr>
          <w:rFonts w:ascii="Arial" w:hAnsi="Arial" w:cs="Arial"/>
          <w:i/>
          <w:iCs/>
          <w:sz w:val="20"/>
          <w:szCs w:val="20"/>
        </w:rPr>
        <w:t>Caixabank</w:t>
      </w:r>
      <w:proofErr w:type="spellEnd"/>
      <w:r w:rsidRPr="00CD49CA">
        <w:rPr>
          <w:rFonts w:ascii="Arial" w:hAnsi="Arial" w:cs="Arial"/>
          <w:sz w:val="20"/>
          <w:szCs w:val="20"/>
        </w:rPr>
        <w:t xml:space="preserve"> y concluir que el respeto del principio efectividad en la fijación de un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no exige acudir a una determinada resolución (la Sentencia del Tribunal Supremo de 23 de diciembre de 2015 en ese caso) para entender que existe la certeza, lo que exige es determinar un momento que garantice al consumidor un plazo lo suficientemente amplio para que pueda ejercitar sus derechos: </w:t>
      </w:r>
    </w:p>
    <w:p w14:paraId="016F6C27" w14:textId="77777777" w:rsidR="004364A0" w:rsidRPr="00CD49CA" w:rsidRDefault="004364A0" w:rsidP="004364A0">
      <w:pPr>
        <w:spacing w:before="240" w:after="240" w:line="360" w:lineRule="auto"/>
        <w:ind w:firstLine="567"/>
        <w:jc w:val="both"/>
        <w:rPr>
          <w:rFonts w:ascii="Arial" w:hAnsi="Arial" w:cs="Arial"/>
          <w:i/>
          <w:iCs/>
          <w:sz w:val="20"/>
          <w:szCs w:val="20"/>
          <w:lang w:val="es-ES_tradnl"/>
        </w:rPr>
      </w:pPr>
      <w:r w:rsidRPr="00CD49CA">
        <w:rPr>
          <w:rFonts w:ascii="Arial" w:hAnsi="Arial" w:cs="Arial"/>
          <w:sz w:val="20"/>
          <w:szCs w:val="20"/>
          <w:lang w:val="es-ES_tradnl"/>
        </w:rPr>
        <w:t>“</w:t>
      </w:r>
      <w:r w:rsidRPr="00CD49CA">
        <w:rPr>
          <w:rFonts w:ascii="Arial" w:hAnsi="Arial" w:cs="Arial"/>
          <w:i/>
          <w:iCs/>
          <w:sz w:val="20"/>
          <w:szCs w:val="20"/>
          <w:lang w:val="es-ES_tradnl"/>
        </w:rPr>
        <w:t xml:space="preserve">26. La Sentencia del </w:t>
      </w:r>
      <w:r w:rsidRPr="00CD49CA">
        <w:rPr>
          <w:rFonts w:ascii="Arial" w:hAnsi="Arial" w:cs="Arial"/>
          <w:i/>
          <w:iCs/>
          <w:sz w:val="20"/>
          <w:szCs w:val="20"/>
          <w:u w:val="single"/>
          <w:lang w:val="es-ES_tradnl"/>
        </w:rPr>
        <w:t>TJUE no exige que el plazo de prescripción empiece a correr a partir del momento en que el consumidor tiene la certeza, sustentada en un criterio jurisprudencial consolidado, de que la cláusula es abusiva, lo que implicaría admitir que no están sujetas a prescripción las acciones sobre materias en las que el Tribunal Supremo todavía no se ha pronunciado</w:t>
      </w:r>
      <w:r w:rsidRPr="00CD49CA">
        <w:rPr>
          <w:rFonts w:ascii="Arial" w:hAnsi="Arial" w:cs="Arial"/>
          <w:i/>
          <w:iCs/>
          <w:sz w:val="20"/>
          <w:szCs w:val="20"/>
          <w:lang w:val="es-ES_tradnl"/>
        </w:rPr>
        <w:t xml:space="preserve">. Y mucho menos que se aplique desde ese momento el plazo íntegro, cualquiera que sea su duración y con independencia de la antigüedad de los contratos a los que se aplique. </w:t>
      </w:r>
      <w:r w:rsidRPr="00CD49CA">
        <w:rPr>
          <w:rFonts w:ascii="Arial" w:hAnsi="Arial" w:cs="Arial"/>
          <w:b/>
          <w:bCs/>
          <w:i/>
          <w:iCs/>
          <w:sz w:val="20"/>
          <w:szCs w:val="20"/>
          <w:u w:val="single"/>
          <w:lang w:val="es-ES_tradnl"/>
        </w:rPr>
        <w:t>Basta con que el consumidor disponga de un margen temporal suficiente para constatar que la cláusula puede ser abusiva, lo que dependerá del tipo de cláusula de que se trate, de la duración del plazo y la forma de computarlo</w:t>
      </w:r>
      <w:r w:rsidRPr="00CD49CA">
        <w:rPr>
          <w:rFonts w:ascii="Arial" w:hAnsi="Arial" w:cs="Arial"/>
          <w:i/>
          <w:iCs/>
          <w:sz w:val="20"/>
          <w:szCs w:val="20"/>
          <w:lang w:val="es-ES_tradnl"/>
        </w:rPr>
        <w:t>.</w:t>
      </w:r>
    </w:p>
    <w:p w14:paraId="2A94BEF4"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Efectivamente, y como ya hemos indicado en los párrafos </w:t>
      </w:r>
      <w:r w:rsidRPr="00CD49CA">
        <w:rPr>
          <w:rFonts w:ascii="Arial" w:hAnsi="Arial" w:cs="Arial"/>
          <w:sz w:val="20"/>
          <w:szCs w:val="20"/>
        </w:rPr>
        <w:fldChar w:fldCharType="begin"/>
      </w:r>
      <w:r w:rsidRPr="00CD49CA">
        <w:rPr>
          <w:rFonts w:ascii="Arial" w:hAnsi="Arial" w:cs="Arial"/>
          <w:sz w:val="20"/>
          <w:szCs w:val="20"/>
        </w:rPr>
        <w:instrText xml:space="preserve"> REF _Ref74758751 \r \h  \* MERGEFORMAT </w:instrText>
      </w:r>
      <w:r w:rsidRPr="00CD49CA">
        <w:rPr>
          <w:rFonts w:ascii="Arial" w:hAnsi="Arial" w:cs="Arial"/>
          <w:sz w:val="20"/>
          <w:szCs w:val="20"/>
        </w:rPr>
      </w:r>
      <w:r w:rsidRPr="00CD49CA">
        <w:rPr>
          <w:rFonts w:ascii="Arial" w:hAnsi="Arial" w:cs="Arial"/>
          <w:sz w:val="20"/>
          <w:szCs w:val="20"/>
        </w:rPr>
        <w:fldChar w:fldCharType="separate"/>
      </w:r>
      <w:r w:rsidRPr="00CD49CA">
        <w:rPr>
          <w:rFonts w:ascii="Arial" w:hAnsi="Arial" w:cs="Arial"/>
          <w:sz w:val="20"/>
          <w:szCs w:val="20"/>
        </w:rPr>
        <w:t>17</w:t>
      </w:r>
      <w:r w:rsidRPr="00CD49CA">
        <w:rPr>
          <w:rFonts w:ascii="Arial" w:hAnsi="Arial" w:cs="Arial"/>
          <w:sz w:val="20"/>
          <w:szCs w:val="20"/>
        </w:rPr>
        <w:fldChar w:fldCharType="end"/>
      </w:r>
      <w:r w:rsidRPr="00CD49CA">
        <w:rPr>
          <w:rFonts w:ascii="Arial" w:hAnsi="Arial" w:cs="Arial"/>
          <w:sz w:val="20"/>
          <w:szCs w:val="20"/>
        </w:rPr>
        <w:t xml:space="preserve"> y </w:t>
      </w:r>
      <w:r w:rsidRPr="00CD49CA">
        <w:rPr>
          <w:rFonts w:ascii="Arial" w:hAnsi="Arial" w:cs="Arial"/>
          <w:sz w:val="20"/>
          <w:szCs w:val="20"/>
        </w:rPr>
        <w:fldChar w:fldCharType="begin"/>
      </w:r>
      <w:r w:rsidRPr="00CD49CA">
        <w:rPr>
          <w:rFonts w:ascii="Arial" w:hAnsi="Arial" w:cs="Arial"/>
          <w:sz w:val="20"/>
          <w:szCs w:val="20"/>
        </w:rPr>
        <w:instrText xml:space="preserve"> REF _Ref82445566 \r \h  \* MERGEFORMAT </w:instrText>
      </w:r>
      <w:r w:rsidRPr="00CD49CA">
        <w:rPr>
          <w:rFonts w:ascii="Arial" w:hAnsi="Arial" w:cs="Arial"/>
          <w:sz w:val="20"/>
          <w:szCs w:val="20"/>
        </w:rPr>
      </w:r>
      <w:r w:rsidRPr="00CD49CA">
        <w:rPr>
          <w:rFonts w:ascii="Arial" w:hAnsi="Arial" w:cs="Arial"/>
          <w:sz w:val="20"/>
          <w:szCs w:val="20"/>
        </w:rPr>
        <w:fldChar w:fldCharType="separate"/>
      </w:r>
      <w:r w:rsidRPr="00CD49CA">
        <w:rPr>
          <w:rFonts w:ascii="Arial" w:hAnsi="Arial" w:cs="Arial"/>
          <w:sz w:val="20"/>
          <w:szCs w:val="20"/>
        </w:rPr>
        <w:t>48</w:t>
      </w:r>
      <w:r w:rsidRPr="00CD49CA">
        <w:rPr>
          <w:rFonts w:ascii="Arial" w:hAnsi="Arial" w:cs="Arial"/>
          <w:sz w:val="20"/>
          <w:szCs w:val="20"/>
        </w:rPr>
        <w:fldChar w:fldCharType="end"/>
      </w:r>
      <w:r w:rsidRPr="00CD49CA">
        <w:rPr>
          <w:rFonts w:ascii="Arial" w:hAnsi="Arial" w:cs="Arial"/>
          <w:sz w:val="20"/>
          <w:szCs w:val="20"/>
        </w:rPr>
        <w:t xml:space="preserve"> anteriores, el TJUE es claro al fijar el </w:t>
      </w:r>
      <w:proofErr w:type="spellStart"/>
      <w:r w:rsidRPr="00CD49CA">
        <w:rPr>
          <w:rFonts w:ascii="Arial" w:hAnsi="Arial" w:cs="Arial"/>
          <w:i/>
          <w:iCs/>
          <w:sz w:val="20"/>
          <w:szCs w:val="20"/>
        </w:rPr>
        <w:t>dies</w:t>
      </w:r>
      <w:proofErr w:type="spellEnd"/>
      <w:r w:rsidRPr="00CD49CA">
        <w:rPr>
          <w:rFonts w:ascii="Arial" w:hAnsi="Arial" w:cs="Arial"/>
          <w:i/>
          <w:iCs/>
          <w:sz w:val="20"/>
          <w:szCs w:val="20"/>
        </w:rPr>
        <w:t xml:space="preserve"> a quo</w:t>
      </w:r>
      <w:r w:rsidRPr="00CD49CA">
        <w:rPr>
          <w:rFonts w:ascii="Arial" w:hAnsi="Arial" w:cs="Arial"/>
          <w:sz w:val="20"/>
          <w:szCs w:val="20"/>
        </w:rPr>
        <w:t xml:space="preserve"> en el momento en que el consumidor pudo conocer razonablemente la potencial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momento que no coincide ni con resoluciones que se limiten a definir unos potenciales efectos económicos de la declaración de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(STS de 23 de enero de 2019) asumiendo esa potencial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o resoluciones que analicen el carácter prescriptible o no de la acción ejercitada (sentencias del TJUE mencionadas en dicho auto). </w:t>
      </w:r>
    </w:p>
    <w:p w14:paraId="276E659E"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 xml:space="preserve">Si nos centramos en los gastos hipotecarios y atendiendo al criterio del conocimiento generalizado de la potencial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 cláusula (que podemos entender que determinaría el momento en que cualquier consumidor habría estado en condiciones de ejercitar la acción), </w:t>
      </w:r>
      <w:bookmarkStart w:id="42" w:name="_Hlk80788135"/>
      <w:r w:rsidRPr="00CD49CA">
        <w:rPr>
          <w:rFonts w:ascii="Arial" w:hAnsi="Arial" w:cs="Arial"/>
          <w:sz w:val="20"/>
          <w:szCs w:val="20"/>
        </w:rPr>
        <w:t xml:space="preserve">el criterio de la posibilidad de conocimiento razonable que exige el TJUE y, aunque parezca obviarlo el Auto Cuestión Prejudicial GH, también el propio Tribunal Supremo y las Audiencias Provinciales, remite a un juicio de razonabilidad por el cual el juzgador debe determinar si, a la vista de las circunstancias de un momento determinado, el consumidor podría ver razonable ejercitar la acción. Y, en este sentido, podría concluirse que ni la ausencia de una doctrina jurisprudencial clara que declara la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 cláusula ni, en general, la existencia de </w:t>
      </w:r>
      <w:r w:rsidRPr="00CD49CA">
        <w:rPr>
          <w:rFonts w:ascii="Arial" w:hAnsi="Arial" w:cs="Arial"/>
          <w:sz w:val="20"/>
          <w:szCs w:val="20"/>
        </w:rPr>
        <w:lastRenderedPageBreak/>
        <w:t xml:space="preserve">dudas jurídicas sobre la viabilidad de la acción son circunstancias determinantes de la imposibilidad o </w:t>
      </w:r>
      <w:proofErr w:type="spellStart"/>
      <w:r w:rsidRPr="00CD49CA">
        <w:rPr>
          <w:rFonts w:ascii="Arial" w:hAnsi="Arial" w:cs="Arial"/>
          <w:sz w:val="20"/>
          <w:szCs w:val="20"/>
        </w:rPr>
        <w:t>irrazonabilidad</w:t>
      </w:r>
      <w:proofErr w:type="spellEnd"/>
      <w:r w:rsidRPr="00CD49CA">
        <w:rPr>
          <w:rFonts w:ascii="Arial" w:hAnsi="Arial" w:cs="Arial"/>
          <w:sz w:val="20"/>
          <w:szCs w:val="20"/>
        </w:rPr>
        <w:t xml:space="preserve"> de la reclamación. Solo una jurisprudencia que descartara de raíz tal acción podría considerarse relevante para concluir que era irrazonable la formulación de la reclamación.</w:t>
      </w:r>
      <w:bookmarkEnd w:id="42"/>
    </w:p>
    <w:bookmarkEnd w:id="41"/>
    <w:p w14:paraId="513D2E9C"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sz w:val="20"/>
          <w:szCs w:val="20"/>
        </w:rPr>
        <w:t>Teniendo lo anterior en mente, podemos afirmar que desde 2013 nos encontrábamos en un contexto de litigación masiva en materia de consumo con campañas agresivas de los despachos para fomentar este tipo de litigios. La Sentencia del Tribunal Supremo de 23 de diciembre de 2015 no fue más que un hito adicional y confirmatorio del conocimiento razonable de los consumidores que provocó una explosión en la litigación en esta materia concreta a partir de 2016. Para cuando el Tribunal Supremo dictó la sentencia de 23 de enero de 2019, la litigación masiva en materia de gastos hipotecarios era sobradamente conocida y no existía un solo consumidor que no estuviera al tanto de la situación. Veámoslo:</w:t>
      </w:r>
    </w:p>
    <w:p w14:paraId="3331EE74"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1D9596C8" w14:textId="77777777" w:rsidR="004364A0" w:rsidRPr="00CD49CA" w:rsidRDefault="004364A0" w:rsidP="004364A0">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CD49CA">
        <w:rPr>
          <w:rFonts w:ascii="Arial" w:hAnsi="Arial" w:cs="Arial"/>
          <w:sz w:val="20"/>
          <w:szCs w:val="20"/>
        </w:rPr>
        <w:t>La STJUE de 14 de marzo de 2013 (</w:t>
      </w:r>
      <w:proofErr w:type="spellStart"/>
      <w:r w:rsidRPr="00CD49CA">
        <w:rPr>
          <w:rFonts w:ascii="Arial" w:hAnsi="Arial" w:cs="Arial"/>
          <w:i/>
          <w:iCs/>
          <w:sz w:val="20"/>
          <w:szCs w:val="20"/>
        </w:rPr>
        <w:t>Aziz</w:t>
      </w:r>
      <w:proofErr w:type="spellEnd"/>
      <w:r w:rsidRPr="00CD49CA">
        <w:rPr>
          <w:rFonts w:ascii="Arial" w:hAnsi="Arial" w:cs="Arial"/>
          <w:sz w:val="20"/>
          <w:szCs w:val="20"/>
        </w:rPr>
        <w:t>, C</w:t>
      </w:r>
      <w:r w:rsidRPr="00CD49CA">
        <w:rPr>
          <w:rFonts w:ascii="Cambria Math" w:hAnsi="Cambria Math" w:cs="Cambria Math"/>
          <w:sz w:val="20"/>
          <w:szCs w:val="20"/>
        </w:rPr>
        <w:t>‑</w:t>
      </w:r>
      <w:r w:rsidRPr="00CD49CA">
        <w:rPr>
          <w:rFonts w:ascii="Arial" w:hAnsi="Arial" w:cs="Arial"/>
          <w:sz w:val="20"/>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que ya se podía aventurar la importancia y alcance de ese control sobre el clausulado no negociado de los contratos de préstamo hipotecario. </w:t>
      </w:r>
    </w:p>
    <w:p w14:paraId="0EC64ACE" w14:textId="77777777" w:rsidR="004364A0" w:rsidRPr="00CD49CA" w:rsidRDefault="004364A0" w:rsidP="004364A0">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CD49CA">
        <w:rPr>
          <w:rFonts w:ascii="Arial" w:hAnsi="Arial" w:cs="Arial"/>
          <w:sz w:val="20"/>
          <w:szCs w:val="20"/>
        </w:rPr>
        <w:t xml:space="preserve">La Sentencia del Tribunal Supremo n.º 241/2013, de 9 de mayo que, en sede de una acción colectiva de cesación, declaró la nulidad por falta de transparencia y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las cláusulas suelo, configuró con extensión y detalle los derechos del consumidor (particularmente, los controles de incorporación, transparencia y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y fue el detonante de la litigación relativa a las cláusulas abusivas en el ámbito específico de la suscripción de préstamos hipotecarios con consumidores.   </w:t>
      </w:r>
    </w:p>
    <w:p w14:paraId="683073A3" w14:textId="77777777" w:rsidR="004364A0" w:rsidRPr="00CD49CA" w:rsidRDefault="004364A0" w:rsidP="004364A0">
      <w:pPr>
        <w:pStyle w:val="Prrafodelista"/>
        <w:spacing w:before="240" w:after="240" w:line="360" w:lineRule="auto"/>
        <w:ind w:left="1134"/>
        <w:contextualSpacing w:val="0"/>
        <w:jc w:val="both"/>
        <w:rPr>
          <w:rFonts w:ascii="Arial" w:hAnsi="Arial" w:cs="Arial"/>
          <w:sz w:val="20"/>
          <w:szCs w:val="20"/>
        </w:rPr>
      </w:pPr>
      <w:r w:rsidRPr="00CD49CA">
        <w:rPr>
          <w:rFonts w:ascii="Arial" w:hAnsi="Arial" w:cs="Arial"/>
          <w:sz w:val="20"/>
          <w:szCs w:val="20"/>
        </w:rPr>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25D113E6"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lastRenderedPageBreak/>
        <w:t>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contra sus respectivas entidades bancarias en relación con cláusulas que considerasen abusivas.</w:t>
      </w:r>
    </w:p>
    <w:p w14:paraId="60F536AB" w14:textId="77777777" w:rsidR="004364A0" w:rsidRPr="00CD49CA" w:rsidRDefault="004364A0" w:rsidP="004364A0">
      <w:pPr>
        <w:pStyle w:val="Prrafodelista"/>
        <w:spacing w:before="240" w:after="240" w:line="360" w:lineRule="auto"/>
        <w:ind w:left="1134"/>
        <w:contextualSpacing w:val="0"/>
        <w:jc w:val="both"/>
        <w:rPr>
          <w:rFonts w:ascii="Arial" w:hAnsi="Arial" w:cs="Arial"/>
          <w:sz w:val="20"/>
          <w:szCs w:val="20"/>
        </w:rPr>
      </w:pPr>
      <w:r w:rsidRPr="00CD49CA">
        <w:rPr>
          <w:rFonts w:ascii="Arial" w:hAnsi="Arial" w:cs="Arial"/>
          <w:sz w:val="20"/>
          <w:szCs w:val="20"/>
        </w:rPr>
        <w:t xml:space="preserve">En este sentido, se aporta como </w:t>
      </w:r>
      <w:r w:rsidRPr="00CD49CA">
        <w:rPr>
          <w:rFonts w:ascii="Arial" w:hAnsi="Arial" w:cs="Arial"/>
          <w:b/>
          <w:bCs/>
          <w:sz w:val="20"/>
          <w:szCs w:val="20"/>
          <w:u w:val="single"/>
        </w:rPr>
        <w:t>bloque documental nº 1</w:t>
      </w:r>
      <w:r w:rsidRPr="00CD49CA">
        <w:rPr>
          <w:rFonts w:ascii="Arial" w:hAnsi="Arial" w:cs="Arial"/>
          <w:sz w:val="20"/>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3A3F2F57" w14:textId="77777777" w:rsidR="004364A0" w:rsidRPr="00CD49CA" w:rsidRDefault="004364A0" w:rsidP="004364A0">
      <w:pPr>
        <w:pStyle w:val="Prrafodelista"/>
        <w:spacing w:before="240" w:after="240" w:line="360" w:lineRule="auto"/>
        <w:ind w:left="1134"/>
        <w:contextualSpacing w:val="0"/>
        <w:jc w:val="both"/>
        <w:rPr>
          <w:rFonts w:ascii="Arial" w:hAnsi="Arial" w:cs="Arial"/>
          <w:sz w:val="20"/>
          <w:szCs w:val="20"/>
        </w:rPr>
      </w:pPr>
      <w:r w:rsidRPr="00CD49CA">
        <w:rPr>
          <w:rFonts w:ascii="Arial" w:hAnsi="Arial" w:cs="Arial"/>
          <w:sz w:val="20"/>
          <w:szCs w:val="20"/>
        </w:rPr>
        <w:t xml:space="preserve">Se aporta también como </w:t>
      </w:r>
      <w:r w:rsidRPr="00CD49CA">
        <w:rPr>
          <w:rFonts w:ascii="Arial" w:hAnsi="Arial" w:cs="Arial"/>
          <w:b/>
          <w:bCs/>
          <w:sz w:val="20"/>
          <w:szCs w:val="20"/>
          <w:u w:val="single"/>
        </w:rPr>
        <w:t>documento nº 2</w:t>
      </w:r>
      <w:r w:rsidRPr="00CD49CA">
        <w:rPr>
          <w:rFonts w:ascii="Arial" w:hAnsi="Arial" w:cs="Arial"/>
          <w:sz w:val="20"/>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2507E1B1"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 xml:space="preserve">Durante 2015 se intensificó las campañas y las noticias en prensa en relación con la potencial </w:t>
      </w:r>
      <w:proofErr w:type="spellStart"/>
      <w:r w:rsidRPr="00CD49CA">
        <w:rPr>
          <w:rFonts w:ascii="Arial" w:hAnsi="Arial" w:cs="Arial"/>
          <w:sz w:val="20"/>
          <w:szCs w:val="20"/>
        </w:rPr>
        <w:t>abusividad</w:t>
      </w:r>
      <w:proofErr w:type="spellEnd"/>
      <w:r w:rsidRPr="00CD49CA">
        <w:rPr>
          <w:rFonts w:ascii="Arial" w:hAnsi="Arial" w:cs="Arial"/>
          <w:sz w:val="20"/>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CD49CA">
        <w:rPr>
          <w:rFonts w:ascii="Arial" w:hAnsi="Arial" w:cs="Arial"/>
          <w:b/>
          <w:bCs/>
          <w:sz w:val="20"/>
          <w:szCs w:val="20"/>
          <w:u w:val="single"/>
        </w:rPr>
        <w:t>bloque documental nº 3</w:t>
      </w:r>
      <w:r w:rsidRPr="00CD49CA">
        <w:rPr>
          <w:rFonts w:ascii="Arial" w:hAnsi="Arial" w:cs="Arial"/>
          <w:sz w:val="20"/>
          <w:szCs w:val="20"/>
        </w:rPr>
        <w:t xml:space="preserve"> un conjunto de noticias de 2015 para ilustrar sobre el ambiente durante ese año. Sirva de ejemplo la noticia publicada el 30 de octubre de 2015 por </w:t>
      </w:r>
      <w:proofErr w:type="spellStart"/>
      <w:r w:rsidRPr="00CD49CA">
        <w:rPr>
          <w:rFonts w:ascii="Arial" w:hAnsi="Arial" w:cs="Arial"/>
          <w:sz w:val="20"/>
          <w:szCs w:val="20"/>
        </w:rPr>
        <w:t>CincoDias</w:t>
      </w:r>
      <w:proofErr w:type="spellEnd"/>
      <w:r w:rsidRPr="00CD49CA">
        <w:rPr>
          <w:rFonts w:ascii="Arial" w:hAnsi="Arial" w:cs="Arial"/>
          <w:sz w:val="20"/>
          <w:szCs w:val="20"/>
        </w:rPr>
        <w:t>,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abusivas y, de hecho, ya estaban ejerciendo su derecho a reclamar. No hay duda de que en ese momento ya existía una posibilidad real de ejercitar la acción.</w:t>
      </w:r>
    </w:p>
    <w:p w14:paraId="3A6A08E9"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 xml:space="preserve">Por si lo anterior no fuera suficiente, el 23 de diciembre de 2015 se dictó la Sentencia del Tribunal Supremo por la que se declaró abusiva la cláusula de </w:t>
      </w:r>
      <w:r w:rsidRPr="00CD49CA">
        <w:rPr>
          <w:rFonts w:ascii="Arial" w:hAnsi="Arial" w:cs="Arial"/>
          <w:sz w:val="20"/>
          <w:szCs w:val="20"/>
        </w:rPr>
        <w:lastRenderedPageBreak/>
        <w:t xml:space="preserve">atribución de gastos hipotecarios. Esta sentencia, como se demuestra en el </w:t>
      </w:r>
      <w:r w:rsidRPr="00CD49CA">
        <w:rPr>
          <w:rFonts w:ascii="Arial" w:hAnsi="Arial" w:cs="Arial"/>
          <w:b/>
          <w:bCs/>
          <w:sz w:val="20"/>
          <w:szCs w:val="20"/>
        </w:rPr>
        <w:t>bloque documental 1</w:t>
      </w:r>
      <w:r w:rsidRPr="00CD49CA">
        <w:rPr>
          <w:rFonts w:ascii="Arial" w:hAnsi="Arial" w:cs="Arial"/>
          <w:sz w:val="20"/>
          <w:szCs w:val="20"/>
        </w:rPr>
        <w:t>, tuvo una gran difusión.</w:t>
      </w:r>
    </w:p>
    <w:p w14:paraId="10E4A2AC"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 xml:space="preserve">Desde ese momento, los despachos de abogados y asociaciones especializados en la defensa de los intereses de consumidores comenzaron su campaña de publicidad más dirigida a esta cláusula en particular. Llama la atención que este cambio de rumbo en los despachos coincide con el fin del negocio de los 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CD49CA">
        <w:rPr>
          <w:rFonts w:ascii="Arial" w:hAnsi="Arial" w:cs="Arial"/>
          <w:sz w:val="20"/>
          <w:szCs w:val="20"/>
        </w:rPr>
        <w:t>multidivisa</w:t>
      </w:r>
      <w:proofErr w:type="spellEnd"/>
      <w:r w:rsidRPr="00CD49CA">
        <w:rPr>
          <w:rFonts w:ascii="Arial" w:hAnsi="Arial" w:cs="Arial"/>
          <w:sz w:val="20"/>
          <w:szCs w:val="20"/>
        </w:rPr>
        <w:t xml:space="preserve"> (producto donde desde 2014 existían campañas promoviendo la litigiosidad) y gastos hipotecarios, aprovechando el pronunciamiento del Tribunal Supremo.</w:t>
      </w:r>
    </w:p>
    <w:p w14:paraId="2E4153A9" w14:textId="77777777" w:rsidR="004364A0" w:rsidRPr="00CD49CA" w:rsidRDefault="004364A0" w:rsidP="004364A0">
      <w:pPr>
        <w:pStyle w:val="Prrafodelista"/>
        <w:spacing w:before="240" w:after="240" w:line="360" w:lineRule="auto"/>
        <w:ind w:left="1134"/>
        <w:contextualSpacing w:val="0"/>
        <w:jc w:val="both"/>
        <w:rPr>
          <w:rFonts w:ascii="Arial" w:hAnsi="Arial" w:cs="Arial"/>
          <w:sz w:val="20"/>
          <w:szCs w:val="20"/>
          <w:lang w:val="es-ES_tradnl"/>
        </w:rPr>
      </w:pPr>
      <w:r w:rsidRPr="00CD49CA">
        <w:rPr>
          <w:rFonts w:ascii="Arial" w:hAnsi="Arial" w:cs="Arial"/>
          <w:sz w:val="20"/>
          <w:szCs w:val="20"/>
          <w:lang w:val="es-ES_tradnl"/>
        </w:rPr>
        <w:t xml:space="preserve">Aportamos como </w:t>
      </w:r>
      <w:r w:rsidRPr="00CD49CA">
        <w:rPr>
          <w:rFonts w:ascii="Arial" w:hAnsi="Arial" w:cs="Arial"/>
          <w:b/>
          <w:bCs/>
          <w:sz w:val="20"/>
          <w:szCs w:val="20"/>
          <w:lang w:val="es-ES_tradnl"/>
        </w:rPr>
        <w:t>bloque documental nº 3</w:t>
      </w:r>
      <w:r w:rsidRPr="00CD49CA">
        <w:rPr>
          <w:rFonts w:ascii="Arial" w:hAnsi="Arial" w:cs="Arial"/>
          <w:sz w:val="20"/>
          <w:szCs w:val="20"/>
          <w:lang w:val="es-ES_tradnl"/>
        </w:rPr>
        <w:t xml:space="preserve"> un conjunto de noticias de 2016 y principios de 2017 donde se evidencia este cambio de foco en la litigiosidad. </w:t>
      </w:r>
    </w:p>
    <w:p w14:paraId="1B33568F" w14:textId="77777777" w:rsidR="004364A0" w:rsidRPr="00CD49CA" w:rsidRDefault="004364A0" w:rsidP="004364A0">
      <w:pPr>
        <w:pStyle w:val="Prrafodelista"/>
        <w:numPr>
          <w:ilvl w:val="1"/>
          <w:numId w:val="24"/>
        </w:numPr>
        <w:spacing w:before="240" w:after="240" w:line="360" w:lineRule="auto"/>
        <w:ind w:left="1134" w:hanging="567"/>
        <w:contextualSpacing w:val="0"/>
        <w:jc w:val="both"/>
        <w:rPr>
          <w:rFonts w:ascii="Arial" w:hAnsi="Arial" w:cs="Arial"/>
          <w:sz w:val="20"/>
          <w:szCs w:val="20"/>
        </w:rPr>
      </w:pPr>
      <w:r w:rsidRPr="00CD49CA">
        <w:rPr>
          <w:rFonts w:ascii="Arial" w:hAnsi="Arial" w:cs="Arial"/>
          <w:sz w:val="20"/>
          <w:szCs w:val="20"/>
        </w:rPr>
        <w:t>Con este objetivo de reconducir el negocio, las campañas agresivas de los despachos se reforzaron más si cabe desde finales de 2016 en adelante con cobertura muy amplia en periódicos, todo tipo de redes sociales, televisión, radio e incluso campañas publicitarias en autobuses. A título de ejemplo:</w:t>
      </w:r>
    </w:p>
    <w:p w14:paraId="1B8C6F76" w14:textId="77777777" w:rsidR="004364A0" w:rsidRPr="00CD49CA" w:rsidRDefault="004364A0" w:rsidP="004364A0">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CD49CA">
        <w:rPr>
          <w:rFonts w:ascii="Arial" w:hAnsi="Arial" w:cs="Arial"/>
          <w:sz w:val="20"/>
          <w:szCs w:val="20"/>
        </w:rPr>
        <w:t xml:space="preserve">Se aporta como </w:t>
      </w:r>
      <w:r w:rsidRPr="00CD49CA">
        <w:rPr>
          <w:rFonts w:ascii="Arial" w:hAnsi="Arial" w:cs="Arial"/>
          <w:b/>
          <w:bCs/>
          <w:sz w:val="20"/>
          <w:szCs w:val="20"/>
        </w:rPr>
        <w:t>documento nº 2</w:t>
      </w:r>
      <w:r w:rsidRPr="00CD49CA">
        <w:rPr>
          <w:rFonts w:ascii="Arial" w:hAnsi="Arial" w:cs="Arial"/>
          <w:sz w:val="20"/>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CD49CA">
        <w:rPr>
          <w:rStyle w:val="Refdenotaalpie"/>
          <w:rFonts w:cs="Arial"/>
          <w:sz w:val="20"/>
          <w:szCs w:val="20"/>
        </w:rPr>
        <w:footnoteReference w:id="63"/>
      </w:r>
      <w:r w:rsidRPr="00CD49CA">
        <w:rPr>
          <w:rFonts w:ascii="Arial" w:hAnsi="Arial" w:cs="Arial"/>
          <w:sz w:val="20"/>
          <w:szCs w:val="20"/>
        </w:rPr>
        <w:t>. Dicha campaña tuvo difusión en televisión, radio y banners en medios de transporte públicos de todo España.</w:t>
      </w:r>
    </w:p>
    <w:p w14:paraId="759CCE97" w14:textId="77777777" w:rsidR="004364A0" w:rsidRPr="00CD49CA" w:rsidRDefault="004364A0" w:rsidP="004364A0">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CD49CA">
        <w:rPr>
          <w:rFonts w:ascii="Arial" w:hAnsi="Arial" w:cs="Arial"/>
          <w:sz w:val="20"/>
          <w:szCs w:val="20"/>
        </w:rPr>
        <w:t xml:space="preserve">Bufete Rosales también publicó campañas para incentivar las reclamaciones en la materia, como se observa en las publicaciones realizadas en </w:t>
      </w:r>
      <w:proofErr w:type="spellStart"/>
      <w:r w:rsidRPr="00CD49CA">
        <w:rPr>
          <w:rFonts w:ascii="Arial" w:hAnsi="Arial" w:cs="Arial"/>
          <w:sz w:val="20"/>
          <w:szCs w:val="20"/>
        </w:rPr>
        <w:t>Youtube</w:t>
      </w:r>
      <w:proofErr w:type="spellEnd"/>
      <w:r w:rsidRPr="00CD49CA">
        <w:rPr>
          <w:rFonts w:ascii="Arial" w:hAnsi="Arial" w:cs="Arial"/>
          <w:sz w:val="20"/>
          <w:szCs w:val="20"/>
        </w:rPr>
        <w:t>:</w:t>
      </w:r>
    </w:p>
    <w:p w14:paraId="1BAE770F" w14:textId="77777777" w:rsidR="004364A0" w:rsidRPr="00CD49CA" w:rsidRDefault="00000000" w:rsidP="004364A0">
      <w:pPr>
        <w:pStyle w:val="Prrafodelista"/>
        <w:spacing w:before="240" w:after="240" w:line="360" w:lineRule="auto"/>
        <w:ind w:left="1701"/>
        <w:contextualSpacing w:val="0"/>
        <w:jc w:val="both"/>
        <w:rPr>
          <w:rFonts w:ascii="Arial" w:hAnsi="Arial" w:cs="Arial"/>
          <w:sz w:val="20"/>
          <w:szCs w:val="20"/>
        </w:rPr>
      </w:pPr>
      <w:hyperlink r:id="rId16" w:history="1">
        <w:r w:rsidR="004364A0" w:rsidRPr="00CD49CA">
          <w:rPr>
            <w:rStyle w:val="Hipervnculo"/>
            <w:rFonts w:ascii="Arial" w:hAnsi="Arial" w:cs="Arial"/>
            <w:sz w:val="20"/>
            <w:szCs w:val="20"/>
          </w:rPr>
          <w:t>Gastos Hipotecarios I. ¿Qué dice la sentencia del TS? - YouTube</w:t>
        </w:r>
      </w:hyperlink>
    </w:p>
    <w:p w14:paraId="0F1A4C33" w14:textId="77777777" w:rsidR="004364A0" w:rsidRPr="00CD49CA" w:rsidRDefault="00000000" w:rsidP="004364A0">
      <w:pPr>
        <w:pStyle w:val="Prrafodelista"/>
        <w:spacing w:before="240" w:after="240" w:line="360" w:lineRule="auto"/>
        <w:ind w:left="1701"/>
        <w:contextualSpacing w:val="0"/>
        <w:jc w:val="both"/>
        <w:rPr>
          <w:rFonts w:ascii="Arial" w:hAnsi="Arial" w:cs="Arial"/>
          <w:sz w:val="20"/>
          <w:szCs w:val="20"/>
        </w:rPr>
      </w:pPr>
      <w:hyperlink r:id="rId17" w:history="1">
        <w:r w:rsidR="004364A0" w:rsidRPr="00CD49CA">
          <w:rPr>
            <w:rStyle w:val="Hipervnculo"/>
            <w:rFonts w:ascii="Arial" w:hAnsi="Arial" w:cs="Arial"/>
            <w:sz w:val="20"/>
            <w:szCs w:val="20"/>
          </w:rPr>
          <w:t>Gastos Hipotecarios II ¿Qué significa ese fallo? - YouTube</w:t>
        </w:r>
      </w:hyperlink>
    </w:p>
    <w:p w14:paraId="7EE9FA85" w14:textId="77777777" w:rsidR="004364A0" w:rsidRPr="00CD49CA" w:rsidRDefault="00000000" w:rsidP="004364A0">
      <w:pPr>
        <w:pStyle w:val="Prrafodelista"/>
        <w:spacing w:before="240" w:after="240" w:line="360" w:lineRule="auto"/>
        <w:ind w:left="1701"/>
        <w:contextualSpacing w:val="0"/>
        <w:jc w:val="both"/>
        <w:rPr>
          <w:rFonts w:ascii="Arial" w:hAnsi="Arial" w:cs="Arial"/>
          <w:sz w:val="20"/>
          <w:szCs w:val="20"/>
        </w:rPr>
      </w:pPr>
      <w:hyperlink r:id="rId18" w:history="1">
        <w:r w:rsidR="004364A0" w:rsidRPr="00CD49CA">
          <w:rPr>
            <w:rStyle w:val="Hipervnculo"/>
            <w:rFonts w:ascii="Arial" w:hAnsi="Arial" w:cs="Arial"/>
            <w:sz w:val="20"/>
            <w:szCs w:val="20"/>
          </w:rPr>
          <w:t>Gastos Hipotecarios III ¿Qué gastos puedo reclamar al banco? - YouTube</w:t>
        </w:r>
      </w:hyperlink>
    </w:p>
    <w:p w14:paraId="713CB0C8" w14:textId="77777777" w:rsidR="004364A0" w:rsidRPr="00CD49CA" w:rsidRDefault="00000000" w:rsidP="004364A0">
      <w:pPr>
        <w:pStyle w:val="Prrafodelista"/>
        <w:spacing w:before="240" w:after="240" w:line="360" w:lineRule="auto"/>
        <w:ind w:left="1701"/>
        <w:contextualSpacing w:val="0"/>
        <w:jc w:val="both"/>
        <w:rPr>
          <w:rFonts w:ascii="Arial" w:hAnsi="Arial" w:cs="Arial"/>
          <w:sz w:val="20"/>
          <w:szCs w:val="20"/>
        </w:rPr>
      </w:pPr>
      <w:hyperlink r:id="rId19" w:history="1">
        <w:r w:rsidR="004364A0" w:rsidRPr="00CD49CA">
          <w:rPr>
            <w:rStyle w:val="Hipervnculo"/>
            <w:rFonts w:ascii="Arial" w:hAnsi="Arial" w:cs="Arial"/>
            <w:sz w:val="20"/>
            <w:szCs w:val="20"/>
          </w:rPr>
          <w:t>Gastos Hipotecarios IV ¿Qué documentos tengo que acompañar a la demanda? - YouTube</w:t>
        </w:r>
      </w:hyperlink>
    </w:p>
    <w:p w14:paraId="4056DB39" w14:textId="77777777" w:rsidR="004364A0" w:rsidRPr="00CD49CA" w:rsidRDefault="004364A0" w:rsidP="004364A0">
      <w:pPr>
        <w:pStyle w:val="Prrafodelista"/>
        <w:numPr>
          <w:ilvl w:val="2"/>
          <w:numId w:val="24"/>
        </w:numPr>
        <w:spacing w:before="240" w:after="240" w:line="360" w:lineRule="auto"/>
        <w:ind w:left="1701" w:hanging="567"/>
        <w:contextualSpacing w:val="0"/>
        <w:jc w:val="both"/>
        <w:rPr>
          <w:rFonts w:ascii="Arial" w:hAnsi="Arial" w:cs="Arial"/>
          <w:sz w:val="20"/>
          <w:szCs w:val="20"/>
        </w:rPr>
      </w:pPr>
      <w:r w:rsidRPr="00CD49CA">
        <w:rPr>
          <w:rFonts w:ascii="Arial" w:hAnsi="Arial" w:cs="Arial"/>
          <w:sz w:val="20"/>
          <w:szCs w:val="20"/>
        </w:rPr>
        <w:t xml:space="preserve">Se aporta igualmente como </w:t>
      </w:r>
      <w:r w:rsidRPr="00CD49CA">
        <w:rPr>
          <w:rFonts w:ascii="Arial" w:hAnsi="Arial" w:cs="Arial"/>
          <w:b/>
          <w:bCs/>
          <w:sz w:val="20"/>
          <w:szCs w:val="20"/>
        </w:rPr>
        <w:t>bloque documental nº 3</w:t>
      </w:r>
      <w:r w:rsidRPr="00CD49CA">
        <w:rPr>
          <w:rFonts w:ascii="Arial" w:hAnsi="Arial" w:cs="Arial"/>
          <w:sz w:val="20"/>
          <w:szCs w:val="20"/>
        </w:rPr>
        <w:t>, conjunto de noticias publicadas en diferentes diarios a principios de 2017 donde se ofrece a los consumidores información clara sobre los pasos a seguir para reclamar. Dichas campañas se extendieron también a programas de televisión, como se observa en la entrevista realizada a ADICAE el 11 de enero de 2017 en el programa de La Sexta “Más Vale Tarde”</w:t>
      </w:r>
      <w:r w:rsidRPr="00CD49CA">
        <w:rPr>
          <w:rStyle w:val="Refdenotaalpie"/>
          <w:rFonts w:cs="Arial"/>
          <w:sz w:val="20"/>
          <w:szCs w:val="20"/>
        </w:rPr>
        <w:footnoteReference w:id="64"/>
      </w:r>
      <w:r w:rsidRPr="00CD49CA">
        <w:rPr>
          <w:rFonts w:ascii="Arial" w:hAnsi="Arial" w:cs="Arial"/>
          <w:sz w:val="20"/>
          <w:szCs w:val="20"/>
        </w:rPr>
        <w:t>.</w:t>
      </w:r>
    </w:p>
    <w:p w14:paraId="51250CE2" w14:textId="77777777" w:rsidR="004364A0" w:rsidRPr="00CD49CA" w:rsidRDefault="004364A0" w:rsidP="004364A0">
      <w:pPr>
        <w:spacing w:before="240" w:after="240" w:line="360" w:lineRule="auto"/>
        <w:jc w:val="both"/>
        <w:rPr>
          <w:rFonts w:ascii="Arial" w:hAnsi="Arial" w:cs="Arial"/>
          <w:sz w:val="20"/>
          <w:szCs w:val="20"/>
        </w:rPr>
      </w:pPr>
      <w:r w:rsidRPr="00CD49CA">
        <w:rPr>
          <w:rFonts w:ascii="Arial" w:hAnsi="Arial" w:cs="Arial"/>
          <w:bCs/>
          <w:sz w:val="20"/>
          <w:szCs w:val="20"/>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CD49CA">
        <w:rPr>
          <w:rFonts w:ascii="Arial" w:hAnsi="Arial" w:cs="Arial"/>
          <w:bCs/>
          <w:sz w:val="20"/>
          <w:szCs w:val="20"/>
        </w:rPr>
        <w:t>abusividad</w:t>
      </w:r>
      <w:proofErr w:type="spellEnd"/>
      <w:r w:rsidRPr="00CD49CA">
        <w:rPr>
          <w:rFonts w:ascii="Arial" w:hAnsi="Arial" w:cs="Arial"/>
          <w:bCs/>
          <w:sz w:val="20"/>
          <w:szCs w:val="20"/>
        </w:rPr>
        <w:t xml:space="preserve">). </w:t>
      </w:r>
    </w:p>
    <w:p w14:paraId="156C215B" w14:textId="77777777" w:rsidR="004364A0" w:rsidRPr="00BE758C" w:rsidRDefault="004364A0" w:rsidP="004364A0">
      <w:pPr>
        <w:pStyle w:val="Prrafodelista"/>
        <w:keepNext/>
        <w:numPr>
          <w:ilvl w:val="0"/>
          <w:numId w:val="23"/>
        </w:numPr>
        <w:spacing w:before="240" w:after="240" w:line="360" w:lineRule="auto"/>
        <w:ind w:left="567" w:hanging="578"/>
        <w:contextualSpacing w:val="0"/>
        <w:jc w:val="both"/>
        <w:rPr>
          <w:rFonts w:ascii="Arial" w:hAnsi="Arial" w:cs="Arial"/>
          <w:b/>
          <w:color w:val="000000"/>
          <w:sz w:val="20"/>
          <w:szCs w:val="20"/>
        </w:rPr>
      </w:pPr>
      <w:r w:rsidRPr="00BE758C">
        <w:rPr>
          <w:rFonts w:ascii="Arial" w:hAnsi="Arial" w:cs="Arial"/>
          <w:b/>
          <w:color w:val="000000"/>
          <w:sz w:val="20"/>
          <w:szCs w:val="20"/>
        </w:rPr>
        <w:t>Aplicación del plazo al caso concreto: la acción restitutoria ha prescrito</w:t>
      </w:r>
    </w:p>
    <w:p w14:paraId="23742C87" w14:textId="282D16C0" w:rsidR="004364A0" w:rsidRPr="007A0B57" w:rsidRDefault="004364A0" w:rsidP="004364A0">
      <w:pPr>
        <w:keepNext/>
        <w:spacing w:before="240" w:after="240" w:line="360" w:lineRule="auto"/>
        <w:ind w:left="-11"/>
        <w:jc w:val="both"/>
        <w:rPr>
          <w:rFonts w:ascii="Arial" w:hAnsi="Arial" w:cs="Arial"/>
          <w:sz w:val="20"/>
          <w:szCs w:val="20"/>
        </w:rPr>
      </w:pPr>
      <w:r w:rsidRPr="007A0B57">
        <w:rPr>
          <w:rFonts w:ascii="Arial" w:hAnsi="Arial" w:cs="Arial"/>
          <w:bCs/>
          <w:sz w:val="20"/>
          <w:szCs w:val="20"/>
        </w:rPr>
        <w:t>En el caso que nos ocupa</w:t>
      </w:r>
      <w:r w:rsidRPr="007A0B57">
        <w:rPr>
          <w:rFonts w:ascii="Arial" w:hAnsi="Arial" w:cs="Arial"/>
          <w:sz w:val="20"/>
          <w:szCs w:val="20"/>
        </w:rPr>
        <w:t>, debemos partir de que el</w:t>
      </w:r>
      <w:r w:rsidRPr="007A0B57">
        <w:rPr>
          <w:rFonts w:ascii="Arial" w:hAnsi="Arial" w:cs="Arial"/>
          <w:b/>
          <w:bCs/>
          <w:sz w:val="20"/>
          <w:szCs w:val="20"/>
          <w:u w:val="single"/>
        </w:rPr>
        <w:t xml:space="preserve"> pago efectivo de los gastos hipotecarios,</w:t>
      </w:r>
      <w:r w:rsidRPr="007A0B57">
        <w:rPr>
          <w:rFonts w:ascii="Arial" w:hAnsi="Arial" w:cs="Arial"/>
          <w:sz w:val="20"/>
          <w:szCs w:val="20"/>
        </w:rPr>
        <w:t xml:space="preserve"> a efectos de cómputo de la prescripción, tuvo lugar el </w:t>
      </w:r>
      <w:r w:rsidR="00A42C7C">
        <w:rPr>
          <w:rFonts w:ascii="Arial" w:hAnsi="Arial" w:cs="Arial"/>
          <w:sz w:val="20"/>
          <w:szCs w:val="20"/>
          <w:highlight w:val="yellow"/>
        </w:rPr>
        <w:fldChar w:fldCharType="begin"/>
      </w:r>
      <w:r w:rsidR="00A42C7C">
        <w:rPr>
          <w:rFonts w:ascii="Arial" w:hAnsi="Arial" w:cs="Arial"/>
          <w:sz w:val="20"/>
          <w:szCs w:val="20"/>
          <w:highlight w:val="yellow"/>
        </w:rPr>
        <w:instrText>persovalores_personalizable1299</w:instrText>
      </w:r>
      <w:r w:rsidR="00A42C7C">
        <w:rPr>
          <w:rFonts w:ascii="Arial" w:hAnsi="Arial" w:cs="Arial"/>
          <w:sz w:val="20"/>
          <w:szCs w:val="20"/>
          <w:highlight w:val="yellow"/>
        </w:rPr>
        <w:fldChar w:fldCharType="separate"/>
      </w:r>
      <w:r w:rsidR="00A42C7C">
        <w:rPr>
          <w:rFonts w:ascii="Arial" w:hAnsi="Arial" w:cs="Arial"/>
          <w:noProof/>
          <w:sz w:val="20"/>
          <w:szCs w:val="20"/>
          <w:highlight w:val="yellow"/>
        </w:rPr>
        <w:t>«BANKINTER_CLAUSULAS_FECHA_PAGO_DE_FACTUR»</w:t>
      </w:r>
      <w:r w:rsidR="00A42C7C">
        <w:rPr>
          <w:rFonts w:ascii="Arial" w:hAnsi="Arial" w:cs="Arial"/>
          <w:sz w:val="20"/>
          <w:szCs w:val="20"/>
          <w:highlight w:val="yellow"/>
        </w:rPr>
        <w:fldChar w:fldCharType="end"/>
      </w:r>
      <w:r w:rsidR="00A42C7C">
        <w:rPr>
          <w:rFonts w:ascii="Arial" w:hAnsi="Arial" w:cs="Arial"/>
          <w:sz w:val="20"/>
          <w:szCs w:val="20"/>
        </w:rPr>
        <w:t xml:space="preserve"> </w:t>
      </w:r>
      <w:r>
        <w:rPr>
          <w:rFonts w:ascii="Arial" w:hAnsi="Arial" w:cs="Arial"/>
          <w:sz w:val="20"/>
          <w:szCs w:val="20"/>
        </w:rPr>
        <w:t>(</w:t>
      </w:r>
      <w:r w:rsidRPr="004364A0">
        <w:rPr>
          <w:rFonts w:ascii="Arial" w:hAnsi="Arial" w:cs="Arial"/>
          <w:sz w:val="20"/>
          <w:szCs w:val="20"/>
          <w:highlight w:val="yellow"/>
        </w:rPr>
        <w:t xml:space="preserve">FECHA </w:t>
      </w:r>
      <w:r>
        <w:rPr>
          <w:rFonts w:ascii="Arial" w:hAnsi="Arial" w:cs="Arial"/>
          <w:sz w:val="20"/>
          <w:szCs w:val="20"/>
          <w:highlight w:val="yellow"/>
        </w:rPr>
        <w:t xml:space="preserve">PAGOS O, EN SU EFECTO, </w:t>
      </w:r>
      <w:r w:rsidRPr="004364A0">
        <w:rPr>
          <w:rFonts w:ascii="Arial" w:hAnsi="Arial" w:cs="Arial"/>
          <w:sz w:val="20"/>
          <w:szCs w:val="20"/>
          <w:highlight w:val="yellow"/>
        </w:rPr>
        <w:t>PRÉSTAMO HIPOTECARIO</w:t>
      </w:r>
      <w:r>
        <w:rPr>
          <w:rFonts w:ascii="Arial" w:hAnsi="Arial" w:cs="Arial"/>
          <w:sz w:val="20"/>
          <w:szCs w:val="20"/>
        </w:rPr>
        <w:t>)</w:t>
      </w:r>
      <w:r w:rsidRPr="007A0B57">
        <w:rPr>
          <w:rFonts w:ascii="Arial" w:hAnsi="Arial" w:cs="Arial"/>
          <w:sz w:val="20"/>
          <w:szCs w:val="20"/>
        </w:rPr>
        <w:t xml:space="preserve">. Por </w:t>
      </w:r>
      <w:r>
        <w:rPr>
          <w:rFonts w:ascii="Arial" w:hAnsi="Arial" w:cs="Arial"/>
          <w:sz w:val="20"/>
          <w:szCs w:val="20"/>
        </w:rPr>
        <w:t xml:space="preserve">tanto, han transcurrido más de </w:t>
      </w:r>
      <w:r w:rsidRPr="007A0B57">
        <w:rPr>
          <w:rFonts w:ascii="Arial" w:hAnsi="Arial" w:cs="Arial"/>
          <w:sz w:val="20"/>
          <w:szCs w:val="20"/>
        </w:rPr>
        <w:t xml:space="preserve">5 años desde el pago efectivo y </w:t>
      </w:r>
      <w:r w:rsidRPr="007A0B57">
        <w:rPr>
          <w:rFonts w:ascii="Arial" w:hAnsi="Arial" w:cs="Arial"/>
          <w:b/>
          <w:bCs/>
          <w:sz w:val="20"/>
          <w:szCs w:val="20"/>
          <w:u w:val="single"/>
        </w:rPr>
        <w:t xml:space="preserve">la presentación de la reclamación previa que se produjo el </w:t>
      </w:r>
      <w:r w:rsidRPr="004364A0">
        <w:rPr>
          <w:rFonts w:ascii="Arial" w:hAnsi="Arial" w:cs="Arial"/>
          <w:b/>
          <w:bCs/>
          <w:sz w:val="20"/>
          <w:szCs w:val="20"/>
          <w:highlight w:val="yellow"/>
          <w:u w:val="single"/>
        </w:rPr>
        <w:t>[</w:t>
      </w:r>
      <w:r w:rsidR="00A42C7C">
        <w:rPr>
          <w:rFonts w:ascii="Arial" w:hAnsi="Arial" w:cs="Arial"/>
          <w:b/>
          <w:bCs/>
          <w:sz w:val="20"/>
          <w:szCs w:val="20"/>
          <w:highlight w:val="yellow"/>
          <w:u w:val="single"/>
        </w:rPr>
        <w:fldChar w:fldCharType="begin"/>
      </w:r>
      <w:r w:rsidR="00A42C7C">
        <w:rPr>
          <w:rFonts w:ascii="Arial" w:hAnsi="Arial" w:cs="Arial"/>
          <w:b/>
          <w:bCs/>
          <w:sz w:val="20"/>
          <w:szCs w:val="20"/>
          <w:highlight w:val="yellow"/>
          <w:u w:val="single"/>
        </w:rPr>
        <w:instrText>persovalores_personalizable1301</w:instrText>
      </w:r>
      <w:r w:rsidR="00A42C7C">
        <w:rPr>
          <w:rFonts w:ascii="Arial" w:hAnsi="Arial" w:cs="Arial"/>
          <w:b/>
          <w:bCs/>
          <w:sz w:val="20"/>
          <w:szCs w:val="20"/>
          <w:highlight w:val="yellow"/>
          <w:u w:val="single"/>
        </w:rPr>
        <w:fldChar w:fldCharType="separate"/>
      </w:r>
      <w:r w:rsidR="00A42C7C">
        <w:rPr>
          <w:rFonts w:ascii="Arial" w:hAnsi="Arial" w:cs="Arial"/>
          <w:b/>
          <w:bCs/>
          <w:noProof/>
          <w:sz w:val="20"/>
          <w:szCs w:val="20"/>
          <w:highlight w:val="yellow"/>
          <w:u w:val="single"/>
        </w:rPr>
        <w:t>«BANKINTER_CLAUSULAS_FECHA_RECLAMACIÓNM_E»</w:t>
      </w:r>
      <w:r w:rsidR="00A42C7C">
        <w:rPr>
          <w:rFonts w:ascii="Arial" w:hAnsi="Arial" w:cs="Arial"/>
          <w:b/>
          <w:bCs/>
          <w:sz w:val="20"/>
          <w:szCs w:val="20"/>
          <w:highlight w:val="yellow"/>
          <w:u w:val="single"/>
        </w:rPr>
        <w:fldChar w:fldCharType="end"/>
      </w:r>
      <w:r w:rsidRPr="004364A0">
        <w:rPr>
          <w:rFonts w:ascii="Arial" w:hAnsi="Arial" w:cs="Arial"/>
          <w:b/>
          <w:bCs/>
          <w:sz w:val="20"/>
          <w:szCs w:val="20"/>
          <w:highlight w:val="yellow"/>
          <w:u w:val="single"/>
        </w:rPr>
        <w:t>]</w:t>
      </w:r>
      <w:r w:rsidRPr="007A0B57">
        <w:rPr>
          <w:rFonts w:ascii="Arial" w:hAnsi="Arial" w:cs="Arial"/>
          <w:sz w:val="20"/>
          <w:szCs w:val="20"/>
        </w:rPr>
        <w:t xml:space="preserve">. </w:t>
      </w:r>
    </w:p>
    <w:p w14:paraId="4AAD2480" w14:textId="3FD87F11" w:rsidR="004364A0" w:rsidRPr="007A0B57" w:rsidRDefault="004364A0" w:rsidP="004364A0">
      <w:pPr>
        <w:spacing w:before="240" w:after="240" w:line="360" w:lineRule="auto"/>
        <w:jc w:val="both"/>
        <w:rPr>
          <w:rFonts w:ascii="Arial" w:hAnsi="Arial" w:cs="Arial"/>
          <w:sz w:val="20"/>
          <w:szCs w:val="20"/>
        </w:rPr>
      </w:pPr>
      <w:r w:rsidRPr="007A0B57">
        <w:rPr>
          <w:rFonts w:ascii="Arial" w:hAnsi="Arial" w:cs="Arial"/>
          <w:sz w:val="20"/>
          <w:szCs w:val="20"/>
        </w:rPr>
        <w:t xml:space="preserve">Este pago, además, se realizó no solo en un contexto de litigación masiva en materia de consumidores sino cuando ya había tenido gran difusión la Sentencia del Tribunal Supremo de 23 de diciembre de 2015. Por tanto, en este caso no cabe duda de que en el momento en que el demandante efectúo el pago de los gastos cuyo reembolso ahora reclama, tenía perfecto conocimiento de la potencial </w:t>
      </w:r>
      <w:proofErr w:type="spellStart"/>
      <w:r w:rsidRPr="007A0B57">
        <w:rPr>
          <w:rFonts w:ascii="Arial" w:hAnsi="Arial" w:cs="Arial"/>
          <w:sz w:val="20"/>
          <w:szCs w:val="20"/>
        </w:rPr>
        <w:t>abusividad</w:t>
      </w:r>
      <w:proofErr w:type="spellEnd"/>
      <w:r w:rsidRPr="007A0B57">
        <w:rPr>
          <w:rFonts w:ascii="Arial" w:hAnsi="Arial" w:cs="Arial"/>
          <w:sz w:val="20"/>
          <w:szCs w:val="20"/>
        </w:rPr>
        <w:t xml:space="preserve"> de la cláusula y estaba ya en condiciones de ejercitar sus derechos, debiendo operar esa fecha de pago como </w:t>
      </w:r>
      <w:proofErr w:type="spellStart"/>
      <w:r w:rsidRPr="007A0B57">
        <w:rPr>
          <w:rFonts w:ascii="Arial" w:hAnsi="Arial" w:cs="Arial"/>
          <w:i/>
          <w:iCs/>
          <w:sz w:val="20"/>
          <w:szCs w:val="20"/>
        </w:rPr>
        <w:t>dies</w:t>
      </w:r>
      <w:proofErr w:type="spellEnd"/>
      <w:r w:rsidRPr="007A0B57">
        <w:rPr>
          <w:rFonts w:ascii="Arial" w:hAnsi="Arial" w:cs="Arial"/>
          <w:i/>
          <w:iCs/>
          <w:sz w:val="20"/>
          <w:szCs w:val="20"/>
        </w:rPr>
        <w:t xml:space="preserve"> a quo </w:t>
      </w:r>
      <w:r w:rsidRPr="007A0B57">
        <w:rPr>
          <w:rFonts w:ascii="Arial" w:hAnsi="Arial" w:cs="Arial"/>
          <w:sz w:val="20"/>
          <w:szCs w:val="20"/>
        </w:rPr>
        <w:t>en todo caso.</w:t>
      </w:r>
    </w:p>
    <w:p w14:paraId="6F8EFFC9" w14:textId="132440AD" w:rsidR="004364A0" w:rsidRPr="004364A0" w:rsidRDefault="004364A0" w:rsidP="004364A0">
      <w:pPr>
        <w:spacing w:before="240" w:after="240" w:line="360" w:lineRule="auto"/>
        <w:jc w:val="both"/>
        <w:rPr>
          <w:rFonts w:ascii="Arial" w:hAnsi="Arial" w:cs="Arial"/>
          <w:bCs/>
          <w:sz w:val="20"/>
          <w:szCs w:val="20"/>
        </w:rPr>
      </w:pPr>
      <w:r w:rsidRPr="00B57345">
        <w:rPr>
          <w:rFonts w:ascii="Arial" w:hAnsi="Arial" w:cs="Arial"/>
          <w:b/>
          <w:sz w:val="20"/>
          <w:szCs w:val="20"/>
          <w:highlight w:val="yellow"/>
        </w:rPr>
        <w:t xml:space="preserve">[opción </w:t>
      </w:r>
      <w:r w:rsidRPr="00B57345">
        <w:rPr>
          <w:rFonts w:ascii="Arial" w:hAnsi="Arial" w:cs="Arial"/>
          <w:b/>
          <w:sz w:val="20"/>
          <w:szCs w:val="20"/>
          <w:highlight w:val="yellow"/>
          <w:u w:val="single"/>
        </w:rPr>
        <w:t>sin reclamación extrajudicial]</w:t>
      </w:r>
      <w:r w:rsidRPr="00B57345">
        <w:rPr>
          <w:rFonts w:ascii="Arial" w:hAnsi="Arial" w:cs="Arial"/>
          <w:b/>
          <w:sz w:val="20"/>
          <w:szCs w:val="20"/>
        </w:rPr>
        <w:t xml:space="preserve"> </w:t>
      </w:r>
      <w:r w:rsidRPr="00B57345">
        <w:rPr>
          <w:rFonts w:ascii="Arial" w:hAnsi="Arial" w:cs="Arial"/>
          <w:bCs/>
          <w:sz w:val="20"/>
          <w:szCs w:val="20"/>
        </w:rPr>
        <w:t xml:space="preserve">No existiendo en el presente caso reclamación extrajudicial de ningún tipo que interrumpiera el plazo de prescripción, debe quedar el </w:t>
      </w:r>
      <w:proofErr w:type="spellStart"/>
      <w:r w:rsidRPr="00B57345">
        <w:rPr>
          <w:rFonts w:ascii="Arial" w:hAnsi="Arial" w:cs="Arial"/>
          <w:bCs/>
          <w:i/>
          <w:iCs/>
          <w:sz w:val="20"/>
          <w:szCs w:val="20"/>
        </w:rPr>
        <w:t>dies</w:t>
      </w:r>
      <w:proofErr w:type="spellEnd"/>
      <w:r w:rsidRPr="00B57345">
        <w:rPr>
          <w:rFonts w:ascii="Arial" w:hAnsi="Arial" w:cs="Arial"/>
          <w:bCs/>
          <w:i/>
          <w:iCs/>
          <w:sz w:val="20"/>
          <w:szCs w:val="20"/>
        </w:rPr>
        <w:t xml:space="preserve"> a quo</w:t>
      </w:r>
      <w:r w:rsidRPr="00B57345">
        <w:rPr>
          <w:rFonts w:ascii="Arial" w:hAnsi="Arial" w:cs="Arial"/>
          <w:bCs/>
          <w:sz w:val="20"/>
          <w:szCs w:val="20"/>
        </w:rPr>
        <w:t xml:space="preserve"> fijado en </w:t>
      </w:r>
      <w:r>
        <w:rPr>
          <w:rFonts w:ascii="Arial" w:hAnsi="Arial" w:cs="Arial"/>
          <w:bCs/>
          <w:sz w:val="20"/>
          <w:szCs w:val="20"/>
        </w:rPr>
        <w:t>la fecha</w:t>
      </w:r>
      <w:r w:rsidRPr="00B57345">
        <w:rPr>
          <w:rFonts w:ascii="Arial" w:hAnsi="Arial" w:cs="Arial"/>
          <w:b/>
          <w:sz w:val="20"/>
          <w:szCs w:val="20"/>
          <w:u w:val="single"/>
        </w:rPr>
        <w:t xml:space="preserve"> </w:t>
      </w:r>
      <w:r w:rsidRPr="004364A0">
        <w:rPr>
          <w:rFonts w:ascii="Arial" w:hAnsi="Arial" w:cs="Arial"/>
          <w:b/>
          <w:sz w:val="20"/>
          <w:szCs w:val="20"/>
          <w:highlight w:val="yellow"/>
          <w:u w:val="single"/>
        </w:rPr>
        <w:t>23 de diciembre de 2015</w:t>
      </w:r>
      <w:r>
        <w:rPr>
          <w:rFonts w:ascii="Arial" w:hAnsi="Arial" w:cs="Arial"/>
          <w:b/>
          <w:sz w:val="20"/>
          <w:szCs w:val="20"/>
          <w:u w:val="single"/>
        </w:rPr>
        <w:t xml:space="preserve"> </w:t>
      </w:r>
      <w:r w:rsidRPr="004364A0">
        <w:rPr>
          <w:rFonts w:ascii="Arial" w:hAnsi="Arial" w:cs="Arial"/>
          <w:b/>
          <w:sz w:val="20"/>
          <w:szCs w:val="20"/>
          <w:highlight w:val="yellow"/>
          <w:u w:val="single"/>
        </w:rPr>
        <w:t>(DEMANDA</w:t>
      </w:r>
      <w:r>
        <w:rPr>
          <w:rFonts w:ascii="Arial" w:hAnsi="Arial" w:cs="Arial"/>
          <w:b/>
          <w:sz w:val="20"/>
          <w:szCs w:val="20"/>
          <w:u w:val="single"/>
        </w:rPr>
        <w:t>)</w:t>
      </w:r>
      <w:r w:rsidRPr="00B57345">
        <w:rPr>
          <w:rFonts w:ascii="Arial" w:hAnsi="Arial" w:cs="Arial"/>
          <w:bCs/>
          <w:sz w:val="20"/>
          <w:szCs w:val="20"/>
        </w:rPr>
        <w:t xml:space="preserve">, momento en que existía pleno conocimiento de la potencial </w:t>
      </w:r>
      <w:proofErr w:type="spellStart"/>
      <w:r w:rsidRPr="00B57345">
        <w:rPr>
          <w:rFonts w:ascii="Arial" w:hAnsi="Arial" w:cs="Arial"/>
          <w:bCs/>
          <w:sz w:val="20"/>
          <w:szCs w:val="20"/>
        </w:rPr>
        <w:t>abusividad</w:t>
      </w:r>
      <w:proofErr w:type="spellEnd"/>
      <w:r w:rsidRPr="00B57345">
        <w:rPr>
          <w:rFonts w:ascii="Arial" w:hAnsi="Arial" w:cs="Arial"/>
          <w:bCs/>
          <w:sz w:val="20"/>
          <w:szCs w:val="20"/>
        </w:rPr>
        <w:t xml:space="preserve"> de la cláusula de imposición de los gastos hipotecarios. </w:t>
      </w:r>
    </w:p>
    <w:p w14:paraId="5BF7B3E9" w14:textId="77777777" w:rsidR="004364A0" w:rsidRDefault="004364A0" w:rsidP="004364A0">
      <w:pPr>
        <w:spacing w:before="240" w:after="240" w:line="360" w:lineRule="auto"/>
        <w:jc w:val="both"/>
        <w:rPr>
          <w:rFonts w:ascii="Arial" w:hAnsi="Arial" w:cs="Arial"/>
          <w:b/>
          <w:color w:val="000000"/>
          <w:sz w:val="20"/>
          <w:szCs w:val="20"/>
        </w:rPr>
      </w:pPr>
      <w:r w:rsidRPr="00B57345">
        <w:rPr>
          <w:rFonts w:ascii="Arial" w:hAnsi="Arial" w:cs="Arial"/>
          <w:b/>
          <w:sz w:val="20"/>
          <w:szCs w:val="20"/>
          <w:u w:val="single"/>
        </w:rPr>
        <w:t>Por tanto, la única acción que podría llegar a prosperar en el presente asunto sería la declarativa de nulidad</w:t>
      </w:r>
      <w:r w:rsidRPr="00B57345">
        <w:rPr>
          <w:rFonts w:ascii="Arial" w:hAnsi="Arial" w:cs="Arial"/>
          <w:sz w:val="20"/>
          <w:szCs w:val="20"/>
        </w:rPr>
        <w:t xml:space="preserve">, que, en caso de ser estimada –algo que esta parte no comparte–, </w:t>
      </w:r>
      <w:r w:rsidRPr="00B57345">
        <w:rPr>
          <w:rFonts w:ascii="Arial" w:hAnsi="Arial" w:cs="Arial"/>
          <w:sz w:val="20"/>
          <w:szCs w:val="20"/>
        </w:rPr>
        <w:lastRenderedPageBreak/>
        <w:t xml:space="preserve">supondría la expulsión de las cláusulas impugnadas del contrato y su consecuente inaplicación a futuro. Sin embargo, </w:t>
      </w:r>
      <w:r w:rsidRPr="00B57345">
        <w:rPr>
          <w:rFonts w:ascii="Arial" w:hAnsi="Arial" w:cs="Arial"/>
          <w:b/>
          <w:sz w:val="20"/>
          <w:szCs w:val="20"/>
          <w:u w:val="single"/>
        </w:rPr>
        <w:t>en ningún caso podrá atenderse a la remoción de efectos ya producidos</w:t>
      </w:r>
      <w:r w:rsidRPr="00B57345">
        <w:rPr>
          <w:rFonts w:ascii="Arial" w:hAnsi="Arial" w:cs="Arial"/>
          <w:sz w:val="20"/>
          <w:szCs w:val="20"/>
        </w:rPr>
        <w:t>, consistente en la restitución de las ventajas obtenidas, puesto que dicha acción restitutoria ha prescrito en este caso.</w:t>
      </w:r>
    </w:p>
    <w:p w14:paraId="22B2D1C4" w14:textId="4BB39BB8" w:rsidR="004364A0" w:rsidRDefault="00081284" w:rsidP="00177619">
      <w:pPr>
        <w:spacing w:before="240" w:after="240" w:line="360" w:lineRule="auto"/>
        <w:jc w:val="both"/>
        <w:rPr>
          <w:rFonts w:ascii="Arial" w:hAnsi="Arial" w:cs="Arial"/>
          <w:b/>
          <w:color w:val="000000"/>
          <w:sz w:val="20"/>
          <w:szCs w:val="20"/>
        </w:rPr>
      </w:pPr>
      <w:r w:rsidRPr="00081284">
        <w:rPr>
          <w:rFonts w:ascii="Arial" w:hAnsi="Arial" w:cs="Arial"/>
          <w:b/>
          <w:color w:val="000000"/>
          <w:sz w:val="20"/>
          <w:szCs w:val="20"/>
          <w:highlight w:val="cyan"/>
        </w:rPr>
        <w:t>HASTA AQUÍ</w:t>
      </w:r>
    </w:p>
    <w:p w14:paraId="242A53DC" w14:textId="77777777" w:rsidR="004E0894" w:rsidRPr="00177619" w:rsidRDefault="004E0894" w:rsidP="00177619">
      <w:pPr>
        <w:spacing w:before="240" w:after="240" w:line="360" w:lineRule="auto"/>
        <w:jc w:val="both"/>
        <w:rPr>
          <w:rFonts w:ascii="Arial" w:hAnsi="Arial" w:cs="Arial"/>
          <w:b/>
          <w:color w:val="000000"/>
          <w:sz w:val="20"/>
          <w:szCs w:val="20"/>
        </w:rPr>
      </w:pPr>
    </w:p>
    <w:p w14:paraId="597CA129" w14:textId="25E87B70" w:rsidR="00EE24F6" w:rsidRPr="00554476" w:rsidRDefault="00F259E3" w:rsidP="00554476">
      <w:pPr>
        <w:pStyle w:val="Ttulo2"/>
        <w:spacing w:before="0" w:line="360" w:lineRule="auto"/>
        <w:jc w:val="both"/>
        <w:rPr>
          <w:rFonts w:ascii="Arial" w:eastAsia="Bankinter" w:hAnsi="Arial" w:cs="Arial"/>
          <w:b/>
          <w:color w:val="auto"/>
          <w:sz w:val="20"/>
          <w:szCs w:val="20"/>
          <w:u w:val="single"/>
        </w:rPr>
      </w:pPr>
      <w:bookmarkStart w:id="43" w:name="_Toc54185205"/>
      <w:r w:rsidRPr="00554476">
        <w:rPr>
          <w:rFonts w:ascii="Arial" w:eastAsia="Bankinter" w:hAnsi="Arial" w:cs="Arial"/>
          <w:b/>
          <w:color w:val="auto"/>
          <w:sz w:val="20"/>
          <w:szCs w:val="20"/>
          <w:u w:val="single"/>
        </w:rPr>
        <w:t>SEGUNDO</w:t>
      </w:r>
      <w:r w:rsidR="00DF7285" w:rsidRPr="00554476">
        <w:rPr>
          <w:rFonts w:ascii="Arial" w:eastAsia="Bankinter" w:hAnsi="Arial" w:cs="Arial"/>
          <w:b/>
          <w:color w:val="auto"/>
          <w:sz w:val="20"/>
          <w:szCs w:val="20"/>
          <w:u w:val="single"/>
        </w:rPr>
        <w:t>. -</w:t>
      </w:r>
      <w:r w:rsidR="005C1BE9" w:rsidRPr="00554476">
        <w:rPr>
          <w:rFonts w:ascii="Arial" w:eastAsia="Bankinter" w:hAnsi="Arial" w:cs="Arial"/>
          <w:b/>
          <w:color w:val="auto"/>
          <w:sz w:val="20"/>
          <w:szCs w:val="20"/>
          <w:u w:val="single"/>
        </w:rPr>
        <w:t xml:space="preserve"> </w:t>
      </w:r>
      <w:r w:rsidR="0047376B" w:rsidRPr="00554476">
        <w:rPr>
          <w:rFonts w:ascii="Arial" w:eastAsia="Bankinter" w:hAnsi="Arial" w:cs="Arial"/>
          <w:b/>
          <w:color w:val="auto"/>
          <w:sz w:val="20"/>
          <w:szCs w:val="20"/>
          <w:u w:val="single"/>
        </w:rPr>
        <w:t>Del r</w:t>
      </w:r>
      <w:r w:rsidR="00DB65C6" w:rsidRPr="00554476">
        <w:rPr>
          <w:rFonts w:ascii="Arial" w:eastAsia="Bankinter" w:hAnsi="Arial" w:cs="Arial"/>
          <w:b/>
          <w:color w:val="auto"/>
          <w:sz w:val="20"/>
          <w:szCs w:val="20"/>
          <w:u w:val="single"/>
        </w:rPr>
        <w:t>etraso desleal</w:t>
      </w:r>
      <w:r w:rsidR="0047376B" w:rsidRPr="00554476">
        <w:rPr>
          <w:rFonts w:ascii="Arial" w:eastAsia="Bankinter" w:hAnsi="Arial" w:cs="Arial"/>
          <w:b/>
          <w:color w:val="auto"/>
          <w:sz w:val="20"/>
          <w:szCs w:val="20"/>
          <w:u w:val="single"/>
        </w:rPr>
        <w:t xml:space="preserve"> en el ejercicio de las acciones</w:t>
      </w:r>
      <w:r w:rsidR="00DB65C6" w:rsidRPr="00554476">
        <w:rPr>
          <w:rFonts w:ascii="Arial" w:eastAsia="Bankinter" w:hAnsi="Arial" w:cs="Arial"/>
          <w:b/>
          <w:color w:val="auto"/>
          <w:sz w:val="20"/>
          <w:szCs w:val="20"/>
          <w:u w:val="single"/>
        </w:rPr>
        <w:t>.</w:t>
      </w:r>
      <w:bookmarkEnd w:id="43"/>
    </w:p>
    <w:p w14:paraId="21CAD5E9" w14:textId="77777777" w:rsidR="00F04469" w:rsidRPr="00554476" w:rsidRDefault="00F04469" w:rsidP="00554476">
      <w:pPr>
        <w:spacing w:after="0" w:line="360" w:lineRule="auto"/>
        <w:jc w:val="center"/>
        <w:rPr>
          <w:rFonts w:ascii="Arial" w:hAnsi="Arial" w:cs="Arial"/>
          <w:b/>
          <w:sz w:val="20"/>
          <w:szCs w:val="20"/>
        </w:rPr>
      </w:pPr>
    </w:p>
    <w:p w14:paraId="54ED9BF5" w14:textId="48E20446" w:rsidR="00BF18DD" w:rsidRPr="00554476" w:rsidRDefault="00BF18DD" w:rsidP="00554476">
      <w:pPr>
        <w:spacing w:after="0" w:line="360" w:lineRule="auto"/>
        <w:jc w:val="center"/>
        <w:rPr>
          <w:rFonts w:ascii="Arial" w:hAnsi="Arial" w:cs="Arial"/>
          <w:b/>
          <w:sz w:val="20"/>
          <w:szCs w:val="20"/>
        </w:rPr>
      </w:pPr>
      <w:r w:rsidRPr="00554476">
        <w:rPr>
          <w:rFonts w:ascii="Arial" w:hAnsi="Arial" w:cs="Arial"/>
          <w:b/>
          <w:sz w:val="20"/>
          <w:szCs w:val="20"/>
        </w:rPr>
        <w:t>I</w:t>
      </w:r>
    </w:p>
    <w:p w14:paraId="01F2E714" w14:textId="77777777" w:rsidR="00BF18DD" w:rsidRPr="00554476" w:rsidRDefault="00BF18DD" w:rsidP="00554476">
      <w:pPr>
        <w:spacing w:after="0" w:line="360" w:lineRule="auto"/>
        <w:jc w:val="center"/>
        <w:rPr>
          <w:rFonts w:ascii="Arial" w:hAnsi="Arial" w:cs="Arial"/>
          <w:b/>
          <w:sz w:val="20"/>
          <w:szCs w:val="20"/>
        </w:rPr>
      </w:pPr>
    </w:p>
    <w:p w14:paraId="1D3F8999" w14:textId="47746533" w:rsidR="00051680" w:rsidRPr="00081284" w:rsidRDefault="002E5124"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En el caso de que </w:t>
      </w:r>
      <w:r w:rsidR="00BF18DD" w:rsidRPr="00554476">
        <w:rPr>
          <w:rFonts w:ascii="Arial" w:hAnsi="Arial" w:cs="Arial"/>
          <w:sz w:val="20"/>
          <w:szCs w:val="20"/>
        </w:rPr>
        <w:t xml:space="preserve">se </w:t>
      </w:r>
      <w:r w:rsidRPr="00554476">
        <w:rPr>
          <w:rFonts w:ascii="Arial" w:hAnsi="Arial" w:cs="Arial"/>
          <w:sz w:val="20"/>
          <w:szCs w:val="20"/>
        </w:rPr>
        <w:t xml:space="preserve">considerase </w:t>
      </w:r>
      <w:r w:rsidR="00BF18DD" w:rsidRPr="00554476">
        <w:rPr>
          <w:rFonts w:ascii="Arial" w:hAnsi="Arial" w:cs="Arial"/>
          <w:sz w:val="20"/>
          <w:szCs w:val="20"/>
        </w:rPr>
        <w:t xml:space="preserve">por el órgano jurisdiccional </w:t>
      </w:r>
      <w:r w:rsidRPr="00554476">
        <w:rPr>
          <w:rFonts w:ascii="Arial" w:hAnsi="Arial" w:cs="Arial"/>
          <w:sz w:val="20"/>
          <w:szCs w:val="20"/>
        </w:rPr>
        <w:t xml:space="preserve">que las acciones ejercidas por la parte </w:t>
      </w:r>
      <w:r w:rsidR="00BF18DD" w:rsidRPr="00554476">
        <w:rPr>
          <w:rFonts w:ascii="Arial" w:hAnsi="Arial" w:cs="Arial"/>
          <w:sz w:val="20"/>
          <w:szCs w:val="20"/>
        </w:rPr>
        <w:t xml:space="preserve">demandante </w:t>
      </w:r>
      <w:r w:rsidRPr="00554476">
        <w:rPr>
          <w:rFonts w:ascii="Arial" w:hAnsi="Arial" w:cs="Arial"/>
          <w:sz w:val="20"/>
          <w:szCs w:val="20"/>
        </w:rPr>
        <w:t xml:space="preserve">no han prescrito, lo que resulta innegable es que han transcurrido más de </w:t>
      </w:r>
      <w:r w:rsidR="00EB6BBB" w:rsidRPr="00554476">
        <w:rPr>
          <w:rFonts w:ascii="Arial" w:hAnsi="Arial" w:cs="Arial"/>
          <w:sz w:val="20"/>
          <w:szCs w:val="20"/>
        </w:rPr>
        <w:t>__</w:t>
      </w:r>
      <w:r w:rsidR="00BF18DD" w:rsidRPr="00554476">
        <w:rPr>
          <w:rFonts w:ascii="Arial" w:hAnsi="Arial" w:cs="Arial"/>
          <w:sz w:val="20"/>
          <w:szCs w:val="20"/>
        </w:rPr>
        <w:t>________________</w:t>
      </w:r>
      <w:r w:rsidR="00EB6BBB" w:rsidRPr="00554476">
        <w:rPr>
          <w:rFonts w:ascii="Arial" w:hAnsi="Arial" w:cs="Arial"/>
          <w:sz w:val="20"/>
          <w:szCs w:val="20"/>
        </w:rPr>
        <w:t>__</w:t>
      </w:r>
      <w:r w:rsidRPr="00554476">
        <w:rPr>
          <w:rFonts w:ascii="Arial" w:hAnsi="Arial" w:cs="Arial"/>
          <w:sz w:val="20"/>
          <w:szCs w:val="20"/>
        </w:rPr>
        <w:t xml:space="preserve"> años</w:t>
      </w:r>
      <w:r w:rsidR="00A25EBA" w:rsidRPr="00554476">
        <w:rPr>
          <w:rFonts w:ascii="Arial" w:hAnsi="Arial" w:cs="Arial"/>
          <w:sz w:val="20"/>
          <w:szCs w:val="20"/>
        </w:rPr>
        <w:t xml:space="preserve"> desde que ésta contrató </w:t>
      </w:r>
      <w:r w:rsidR="00A8586C" w:rsidRPr="00554476">
        <w:rPr>
          <w:rFonts w:ascii="Arial" w:hAnsi="Arial" w:cs="Arial"/>
          <w:sz w:val="20"/>
          <w:szCs w:val="20"/>
        </w:rPr>
        <w:t>el préstamo</w:t>
      </w:r>
      <w:r w:rsidR="00A25EBA" w:rsidRPr="00554476">
        <w:rPr>
          <w:rFonts w:ascii="Arial" w:hAnsi="Arial" w:cs="Arial"/>
          <w:sz w:val="20"/>
          <w:szCs w:val="20"/>
        </w:rPr>
        <w:t xml:space="preserve"> </w:t>
      </w:r>
      <w:r w:rsidRPr="00554476">
        <w:rPr>
          <w:rFonts w:ascii="Arial" w:hAnsi="Arial" w:cs="Arial"/>
          <w:sz w:val="20"/>
          <w:szCs w:val="20"/>
        </w:rPr>
        <w:t>cuyos gastos de formalización reclama hasta que presenta la demanda que nos ocupa, lo que sin duda supone que haya incurrido en un indudable retraso desleal en el ejercicio de las acciones.</w:t>
      </w:r>
      <w:r w:rsidR="00051680" w:rsidRPr="00554476">
        <w:rPr>
          <w:rFonts w:ascii="Arial" w:hAnsi="Arial" w:cs="Arial"/>
          <w:sz w:val="20"/>
          <w:szCs w:val="20"/>
        </w:rPr>
        <w:t xml:space="preserve"> No olvidemos que la doctrina del retraso desleal es aplicable también a supuestos en los que la acción es imprescriptible o bien </w:t>
      </w:r>
      <w:r w:rsidR="00AF7843" w:rsidRPr="00554476">
        <w:rPr>
          <w:rFonts w:ascii="Arial" w:hAnsi="Arial" w:cs="Arial"/>
          <w:sz w:val="20"/>
          <w:szCs w:val="20"/>
        </w:rPr>
        <w:t xml:space="preserve">a </w:t>
      </w:r>
      <w:r w:rsidR="00463454" w:rsidRPr="00554476">
        <w:rPr>
          <w:rFonts w:ascii="Arial" w:hAnsi="Arial" w:cs="Arial"/>
          <w:sz w:val="20"/>
          <w:szCs w:val="20"/>
        </w:rPr>
        <w:t xml:space="preserve">aquellos </w:t>
      </w:r>
      <w:r w:rsidR="00AF7843" w:rsidRPr="00554476">
        <w:rPr>
          <w:rFonts w:ascii="Arial" w:hAnsi="Arial" w:cs="Arial"/>
          <w:sz w:val="20"/>
          <w:szCs w:val="20"/>
        </w:rPr>
        <w:t xml:space="preserve">supuestos </w:t>
      </w:r>
      <w:r w:rsidR="00051680" w:rsidRPr="00554476">
        <w:rPr>
          <w:rFonts w:ascii="Arial" w:hAnsi="Arial" w:cs="Arial"/>
          <w:sz w:val="20"/>
          <w:szCs w:val="20"/>
        </w:rPr>
        <w:t xml:space="preserve">en los que los plazos </w:t>
      </w:r>
      <w:r w:rsidR="00051680" w:rsidRPr="00081284">
        <w:rPr>
          <w:rFonts w:ascii="Arial" w:hAnsi="Arial" w:cs="Arial"/>
          <w:sz w:val="20"/>
          <w:szCs w:val="20"/>
        </w:rPr>
        <w:t xml:space="preserve">de prescripción previstos legalmente son especialmente largos. </w:t>
      </w:r>
    </w:p>
    <w:p w14:paraId="298E750C" w14:textId="77777777" w:rsidR="00EE24F6" w:rsidRPr="00081284" w:rsidRDefault="00EE24F6" w:rsidP="00554476">
      <w:pPr>
        <w:suppressAutoHyphens/>
        <w:spacing w:after="0" w:line="360" w:lineRule="auto"/>
        <w:jc w:val="both"/>
        <w:rPr>
          <w:rFonts w:ascii="Arial" w:hAnsi="Arial" w:cs="Arial"/>
          <w:sz w:val="20"/>
          <w:szCs w:val="20"/>
        </w:rPr>
      </w:pPr>
    </w:p>
    <w:p w14:paraId="592D0541" w14:textId="0A657949" w:rsidR="00051680" w:rsidRPr="00554476" w:rsidRDefault="00051680" w:rsidP="00554476">
      <w:pPr>
        <w:suppressAutoHyphens/>
        <w:spacing w:after="0" w:line="360" w:lineRule="auto"/>
        <w:jc w:val="both"/>
        <w:rPr>
          <w:rFonts w:ascii="Arial" w:hAnsi="Arial" w:cs="Arial"/>
          <w:sz w:val="20"/>
          <w:szCs w:val="20"/>
        </w:rPr>
      </w:pPr>
      <w:r w:rsidRPr="00081284">
        <w:rPr>
          <w:rFonts w:ascii="Arial" w:hAnsi="Arial" w:cs="Arial"/>
          <w:sz w:val="20"/>
          <w:szCs w:val="20"/>
        </w:rPr>
        <w:t xml:space="preserve">Que el plazo de </w:t>
      </w:r>
      <w:r w:rsidR="00081284" w:rsidRPr="00081284">
        <w:rPr>
          <w:rFonts w:ascii="Arial" w:hAnsi="Arial" w:cs="Arial"/>
          <w:sz w:val="20"/>
          <w:szCs w:val="20"/>
        </w:rPr>
        <w:t>15 año</w:t>
      </w:r>
      <w:r w:rsidR="00573184" w:rsidRPr="00081284">
        <w:rPr>
          <w:rFonts w:ascii="Arial" w:hAnsi="Arial" w:cs="Arial"/>
          <w:sz w:val="20"/>
          <w:szCs w:val="20"/>
        </w:rPr>
        <w:t xml:space="preserve"> </w:t>
      </w:r>
      <w:r w:rsidRPr="00081284">
        <w:rPr>
          <w:rFonts w:ascii="Arial" w:hAnsi="Arial" w:cs="Arial"/>
          <w:sz w:val="20"/>
          <w:szCs w:val="20"/>
        </w:rPr>
        <w:t xml:space="preserve">previsto con anterioridad en el artículo 1964 </w:t>
      </w:r>
      <w:r w:rsidR="00047823" w:rsidRPr="00081284">
        <w:rPr>
          <w:rFonts w:ascii="Arial" w:hAnsi="Arial" w:cs="Arial"/>
          <w:sz w:val="20"/>
          <w:szCs w:val="20"/>
        </w:rPr>
        <w:t>del CC</w:t>
      </w:r>
      <w:r w:rsidR="00081284" w:rsidRPr="00081284">
        <w:rPr>
          <w:rFonts w:ascii="Arial" w:hAnsi="Arial" w:cs="Arial"/>
          <w:sz w:val="20"/>
          <w:szCs w:val="20"/>
        </w:rPr>
        <w:t xml:space="preserve"> </w:t>
      </w:r>
      <w:r w:rsidRPr="00081284">
        <w:rPr>
          <w:rFonts w:ascii="Arial" w:hAnsi="Arial" w:cs="Arial"/>
          <w:sz w:val="20"/>
          <w:szCs w:val="20"/>
        </w:rPr>
        <w:t>es</w:t>
      </w:r>
      <w:r w:rsidRPr="00554476">
        <w:rPr>
          <w:rFonts w:ascii="Arial" w:hAnsi="Arial" w:cs="Arial"/>
          <w:sz w:val="20"/>
          <w:szCs w:val="20"/>
        </w:rPr>
        <w:t xml:space="preserve"> especialmente largo</w:t>
      </w:r>
      <w:r w:rsidR="00047823" w:rsidRPr="00554476">
        <w:rPr>
          <w:rFonts w:ascii="Arial" w:hAnsi="Arial" w:cs="Arial"/>
          <w:sz w:val="20"/>
          <w:szCs w:val="20"/>
        </w:rPr>
        <w:t>,</w:t>
      </w:r>
      <w:r w:rsidRPr="00554476">
        <w:rPr>
          <w:rFonts w:ascii="Arial" w:hAnsi="Arial" w:cs="Arial"/>
          <w:sz w:val="20"/>
          <w:szCs w:val="20"/>
        </w:rPr>
        <w:t xml:space="preserve"> es evidente</w:t>
      </w:r>
      <w:r w:rsidR="00047823" w:rsidRPr="00554476">
        <w:rPr>
          <w:rFonts w:ascii="Arial" w:hAnsi="Arial" w:cs="Arial"/>
          <w:sz w:val="20"/>
          <w:szCs w:val="20"/>
        </w:rPr>
        <w:t>.</w:t>
      </w:r>
      <w:r w:rsidRPr="00554476">
        <w:rPr>
          <w:rFonts w:ascii="Arial" w:hAnsi="Arial" w:cs="Arial"/>
          <w:sz w:val="20"/>
          <w:szCs w:val="20"/>
        </w:rPr>
        <w:t xml:space="preserve"> </w:t>
      </w:r>
      <w:r w:rsidR="00047823" w:rsidRPr="00554476">
        <w:rPr>
          <w:rFonts w:ascii="Arial" w:hAnsi="Arial" w:cs="Arial"/>
          <w:sz w:val="20"/>
          <w:szCs w:val="20"/>
        </w:rPr>
        <w:t xml:space="preserve">Dicho plazo </w:t>
      </w:r>
      <w:r w:rsidRPr="00554476">
        <w:rPr>
          <w:rFonts w:ascii="Arial" w:hAnsi="Arial" w:cs="Arial"/>
          <w:sz w:val="20"/>
          <w:szCs w:val="20"/>
        </w:rPr>
        <w:t>ha sido recientemente modificado y reducido a un plazo mucho más acorde con el princi</w:t>
      </w:r>
      <w:r w:rsidR="00047823" w:rsidRPr="00554476">
        <w:rPr>
          <w:rFonts w:ascii="Arial" w:hAnsi="Arial" w:cs="Arial"/>
          <w:sz w:val="20"/>
          <w:szCs w:val="20"/>
        </w:rPr>
        <w:t>pi</w:t>
      </w:r>
      <w:r w:rsidRPr="00554476">
        <w:rPr>
          <w:rFonts w:ascii="Arial" w:hAnsi="Arial" w:cs="Arial"/>
          <w:sz w:val="20"/>
          <w:szCs w:val="20"/>
        </w:rPr>
        <w:t xml:space="preserve">o de seguridad jurídica, de cinco años. Por tanto, teniendo el </w:t>
      </w:r>
      <w:r w:rsidR="001A5BEF" w:rsidRPr="00554476">
        <w:rPr>
          <w:rFonts w:ascii="Arial" w:hAnsi="Arial" w:cs="Arial"/>
          <w:sz w:val="20"/>
          <w:szCs w:val="20"/>
        </w:rPr>
        <w:t>deman</w:t>
      </w:r>
      <w:r w:rsidR="00047823" w:rsidRPr="00554476">
        <w:rPr>
          <w:rFonts w:ascii="Arial" w:hAnsi="Arial" w:cs="Arial"/>
          <w:sz w:val="20"/>
          <w:szCs w:val="20"/>
        </w:rPr>
        <w:t>d</w:t>
      </w:r>
      <w:r w:rsidR="001A5BEF" w:rsidRPr="00554476">
        <w:rPr>
          <w:rFonts w:ascii="Arial" w:hAnsi="Arial" w:cs="Arial"/>
          <w:sz w:val="20"/>
          <w:szCs w:val="20"/>
        </w:rPr>
        <w:t xml:space="preserve">ante un plazo especialmente largo para ejercitar su acción, retrasó de forma desleal el ejercicio de la acción simplemente porque nunca entendió que la cláusula cuestionada fuera desequilibrada. </w:t>
      </w:r>
    </w:p>
    <w:p w14:paraId="2F2F7BC9" w14:textId="77777777" w:rsidR="00EE24F6" w:rsidRPr="00554476" w:rsidRDefault="00EE24F6" w:rsidP="00554476">
      <w:pPr>
        <w:suppressAutoHyphens/>
        <w:spacing w:after="0" w:line="360" w:lineRule="auto"/>
        <w:jc w:val="both"/>
        <w:rPr>
          <w:rFonts w:ascii="Arial" w:hAnsi="Arial" w:cs="Arial"/>
          <w:sz w:val="20"/>
          <w:szCs w:val="20"/>
        </w:rPr>
      </w:pPr>
    </w:p>
    <w:p w14:paraId="4BAC9A72" w14:textId="77777777" w:rsidR="00CE6ECF"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La buena fe, principio general que debe informar toda relación jurídica, constituye uno de los límites al ejercicio de los derechos subjetivos, como establece el artículo 7.</w:t>
      </w:r>
      <w:r w:rsidR="009138A4" w:rsidRPr="00554476">
        <w:rPr>
          <w:rFonts w:ascii="Arial" w:hAnsi="Arial" w:cs="Arial"/>
          <w:sz w:val="20"/>
          <w:szCs w:val="20"/>
        </w:rPr>
        <w:t>1 del CC al afirmar que “</w:t>
      </w:r>
      <w:r w:rsidRPr="00554476">
        <w:rPr>
          <w:rFonts w:ascii="Arial" w:hAnsi="Arial" w:cs="Arial"/>
          <w:i/>
          <w:iCs/>
          <w:sz w:val="20"/>
          <w:szCs w:val="20"/>
        </w:rPr>
        <w:t>los derechos deberán ejercitarse conforme a las exigencias de la buena fe</w:t>
      </w:r>
      <w:r w:rsidR="009138A4" w:rsidRPr="00554476">
        <w:rPr>
          <w:rFonts w:ascii="Arial" w:hAnsi="Arial" w:cs="Arial"/>
          <w:i/>
          <w:iCs/>
          <w:sz w:val="20"/>
          <w:szCs w:val="20"/>
        </w:rPr>
        <w:t>”</w:t>
      </w:r>
      <w:r w:rsidRPr="00554476">
        <w:rPr>
          <w:rFonts w:ascii="Arial" w:hAnsi="Arial" w:cs="Arial"/>
          <w:sz w:val="20"/>
          <w:szCs w:val="20"/>
        </w:rPr>
        <w:t xml:space="preserve">. </w:t>
      </w:r>
    </w:p>
    <w:p w14:paraId="37ADEBBE" w14:textId="77777777" w:rsidR="00626B68" w:rsidRPr="00554476" w:rsidRDefault="00626B68" w:rsidP="00554476">
      <w:pPr>
        <w:suppressAutoHyphens/>
        <w:spacing w:after="0" w:line="360" w:lineRule="auto"/>
        <w:jc w:val="both"/>
        <w:rPr>
          <w:rFonts w:ascii="Arial" w:hAnsi="Arial" w:cs="Arial"/>
          <w:sz w:val="20"/>
          <w:szCs w:val="20"/>
        </w:rPr>
      </w:pPr>
    </w:p>
    <w:p w14:paraId="2639BA2E" w14:textId="77777777" w:rsidR="00CE6ECF" w:rsidRPr="00554476" w:rsidRDefault="000B49F5" w:rsidP="00554476">
      <w:pPr>
        <w:suppressAutoHyphens/>
        <w:spacing w:after="0" w:line="360" w:lineRule="auto"/>
        <w:jc w:val="both"/>
        <w:rPr>
          <w:rFonts w:ascii="Arial" w:hAnsi="Arial" w:cs="Arial"/>
          <w:sz w:val="20"/>
          <w:szCs w:val="20"/>
        </w:rPr>
      </w:pPr>
      <w:r w:rsidRPr="00554476">
        <w:rPr>
          <w:rFonts w:ascii="Arial" w:hAnsi="Arial" w:cs="Arial"/>
          <w:sz w:val="20"/>
          <w:szCs w:val="20"/>
        </w:rPr>
        <w:t>La doctrina conocida como “</w:t>
      </w:r>
      <w:r w:rsidRPr="00554476">
        <w:rPr>
          <w:rFonts w:ascii="Arial" w:hAnsi="Arial" w:cs="Arial"/>
          <w:i/>
          <w:iCs/>
          <w:sz w:val="20"/>
          <w:szCs w:val="20"/>
        </w:rPr>
        <w:t>retraso desleal</w:t>
      </w:r>
      <w:r w:rsidRPr="00554476">
        <w:rPr>
          <w:rFonts w:ascii="Arial" w:hAnsi="Arial" w:cs="Arial"/>
          <w:sz w:val="20"/>
          <w:szCs w:val="20"/>
        </w:rPr>
        <w:t xml:space="preserve">”” es un </w:t>
      </w:r>
      <w:r w:rsidR="00CE6ECF" w:rsidRPr="00554476">
        <w:rPr>
          <w:rFonts w:ascii="Arial" w:hAnsi="Arial" w:cs="Arial"/>
          <w:sz w:val="20"/>
          <w:szCs w:val="20"/>
        </w:rPr>
        <w:t xml:space="preserve">ejercicio </w:t>
      </w:r>
      <w:r w:rsidRPr="00554476">
        <w:rPr>
          <w:rFonts w:ascii="Arial" w:hAnsi="Arial" w:cs="Arial"/>
          <w:sz w:val="20"/>
          <w:szCs w:val="20"/>
        </w:rPr>
        <w:t xml:space="preserve">contrario </w:t>
      </w:r>
      <w:r w:rsidR="00CE6ECF" w:rsidRPr="00554476">
        <w:rPr>
          <w:rFonts w:ascii="Arial" w:hAnsi="Arial" w:cs="Arial"/>
          <w:sz w:val="20"/>
          <w:szCs w:val="20"/>
        </w:rPr>
        <w:t>a la</w:t>
      </w:r>
      <w:r w:rsidRPr="00554476">
        <w:rPr>
          <w:rFonts w:ascii="Arial" w:hAnsi="Arial" w:cs="Arial"/>
          <w:sz w:val="20"/>
          <w:szCs w:val="20"/>
        </w:rPr>
        <w:t>s exigencias de la</w:t>
      </w:r>
      <w:r w:rsidR="00CE6ECF" w:rsidRPr="00554476">
        <w:rPr>
          <w:rFonts w:ascii="Arial" w:hAnsi="Arial" w:cs="Arial"/>
          <w:sz w:val="20"/>
          <w:szCs w:val="20"/>
        </w:rPr>
        <w:t xml:space="preserve"> buena fe.</w:t>
      </w:r>
    </w:p>
    <w:p w14:paraId="0FA84E9B" w14:textId="77777777" w:rsidR="001F73C8" w:rsidRPr="00554476" w:rsidRDefault="001F73C8" w:rsidP="00554476">
      <w:pPr>
        <w:suppressAutoHyphens/>
        <w:spacing w:after="0" w:line="360" w:lineRule="auto"/>
        <w:jc w:val="both"/>
        <w:rPr>
          <w:rFonts w:ascii="Arial" w:hAnsi="Arial" w:cs="Arial"/>
          <w:sz w:val="20"/>
          <w:szCs w:val="20"/>
        </w:rPr>
      </w:pPr>
    </w:p>
    <w:p w14:paraId="46DC4642" w14:textId="77777777" w:rsidR="00CE6ECF" w:rsidRPr="00554476" w:rsidRDefault="000B49F5"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Dicha </w:t>
      </w:r>
      <w:r w:rsidR="00CE6ECF" w:rsidRPr="00554476">
        <w:rPr>
          <w:rFonts w:ascii="Arial" w:hAnsi="Arial" w:cs="Arial"/>
          <w:sz w:val="20"/>
          <w:szCs w:val="20"/>
        </w:rPr>
        <w:t xml:space="preserve">doctrina, que vio la luz en el derecho alemán (bajo la denominación de </w:t>
      </w:r>
      <w:proofErr w:type="spellStart"/>
      <w:r w:rsidR="00CE6ECF" w:rsidRPr="00554476">
        <w:rPr>
          <w:rFonts w:ascii="Arial" w:hAnsi="Arial" w:cs="Arial"/>
          <w:i/>
          <w:iCs/>
          <w:sz w:val="20"/>
          <w:szCs w:val="20"/>
        </w:rPr>
        <w:t>Verwirkung</w:t>
      </w:r>
      <w:proofErr w:type="spellEnd"/>
      <w:r w:rsidR="00CE6ECF" w:rsidRPr="00554476">
        <w:rPr>
          <w:rFonts w:ascii="Arial" w:hAnsi="Arial" w:cs="Arial"/>
          <w:sz w:val="20"/>
          <w:szCs w:val="20"/>
        </w:rPr>
        <w:t xml:space="preserve">), que impone el deber de comportarse de buena fe en el tráfico jurídico, proclama que las reclamaciones deben plantearse siempre dentro de un lapso de tiempo razonable. Esto es, si el titular de un derecho o pretensión no se ha preocupado durante largo tiempo de hacerlo valer, </w:t>
      </w:r>
      <w:r w:rsidR="00CE6ECF" w:rsidRPr="00554476">
        <w:rPr>
          <w:rFonts w:ascii="Arial" w:hAnsi="Arial" w:cs="Arial"/>
          <w:sz w:val="20"/>
          <w:szCs w:val="20"/>
        </w:rPr>
        <w:lastRenderedPageBreak/>
        <w:t>provocando con su actividad omisiva que la contrap</w:t>
      </w:r>
      <w:r w:rsidRPr="00554476">
        <w:rPr>
          <w:rFonts w:ascii="Arial" w:hAnsi="Arial" w:cs="Arial"/>
          <w:sz w:val="20"/>
          <w:szCs w:val="20"/>
        </w:rPr>
        <w:t>arte pudiera confiar que aqué</w:t>
      </w:r>
      <w:r w:rsidR="00CE6ECF" w:rsidRPr="00554476">
        <w:rPr>
          <w:rFonts w:ascii="Arial" w:hAnsi="Arial" w:cs="Arial"/>
          <w:sz w:val="20"/>
          <w:szCs w:val="20"/>
        </w:rPr>
        <w:t xml:space="preserve">l </w:t>
      </w:r>
      <w:r w:rsidRPr="00554476">
        <w:rPr>
          <w:rFonts w:ascii="Arial" w:hAnsi="Arial" w:cs="Arial"/>
          <w:sz w:val="20"/>
          <w:szCs w:val="20"/>
        </w:rPr>
        <w:t xml:space="preserve">derecho ya no sería ejercitado, </w:t>
      </w:r>
      <w:r w:rsidR="00CE6ECF" w:rsidRPr="00554476">
        <w:rPr>
          <w:rFonts w:ascii="Arial" w:hAnsi="Arial" w:cs="Arial"/>
          <w:sz w:val="20"/>
          <w:szCs w:val="20"/>
        </w:rPr>
        <w:t>su ejercicio posterior se tornará inadmisible.</w:t>
      </w:r>
    </w:p>
    <w:p w14:paraId="0B80236D" w14:textId="77777777" w:rsidR="000B49F5" w:rsidRPr="00554476" w:rsidRDefault="000B49F5" w:rsidP="00554476">
      <w:pPr>
        <w:suppressAutoHyphens/>
        <w:spacing w:after="0" w:line="360" w:lineRule="auto"/>
        <w:jc w:val="both"/>
        <w:rPr>
          <w:rFonts w:ascii="Arial" w:hAnsi="Arial" w:cs="Arial"/>
          <w:sz w:val="20"/>
          <w:szCs w:val="20"/>
        </w:rPr>
      </w:pPr>
    </w:p>
    <w:p w14:paraId="4DDBD115" w14:textId="77777777" w:rsidR="00CE6ECF"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En el derecho español, la doctrina del retraso desleal no aparece regulada de forma expresa en el Código Civil (al igual que sucede con la doctrina de los actos propios), por lo que ha sido la doctrina y, en particular, la jurisprudencia de la Sala Primera del Tribunal Supremo, quienes han desarrollado y delimitado su contenido. </w:t>
      </w:r>
    </w:p>
    <w:p w14:paraId="04F0ED39" w14:textId="77777777" w:rsidR="000B49F5" w:rsidRPr="00554476" w:rsidRDefault="000B49F5" w:rsidP="00554476">
      <w:pPr>
        <w:suppressAutoHyphens/>
        <w:spacing w:after="0" w:line="360" w:lineRule="auto"/>
        <w:jc w:val="both"/>
        <w:rPr>
          <w:rFonts w:ascii="Arial" w:hAnsi="Arial" w:cs="Arial"/>
          <w:sz w:val="20"/>
          <w:szCs w:val="20"/>
        </w:rPr>
      </w:pPr>
    </w:p>
    <w:p w14:paraId="4F82BBF9" w14:textId="7CB1B73B" w:rsidR="00CE6ECF"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La resolución del Alto Tribunal que aludió por primera vez de forma explícita a la doctrina del retraso desleal en el ejercicio de un derecho, concibiéndola vinculada naturalmente a la doctrina de los actos propios (o como un complemento de la misma) fue la </w:t>
      </w:r>
      <w:r w:rsidRPr="00554476">
        <w:rPr>
          <w:rFonts w:ascii="Arial" w:hAnsi="Arial" w:cs="Arial"/>
          <w:b/>
          <w:bCs/>
          <w:sz w:val="20"/>
          <w:szCs w:val="20"/>
          <w:u w:val="single"/>
        </w:rPr>
        <w:t>Sentencia</w:t>
      </w:r>
      <w:r w:rsidR="000B49F5" w:rsidRPr="00554476">
        <w:rPr>
          <w:rFonts w:ascii="Arial" w:hAnsi="Arial" w:cs="Arial"/>
          <w:b/>
          <w:bCs/>
          <w:sz w:val="20"/>
          <w:szCs w:val="20"/>
          <w:u w:val="single"/>
        </w:rPr>
        <w:t xml:space="preserve"> de 21 de mayo de 1982, de la Sala Primera</w:t>
      </w:r>
      <w:r w:rsidRPr="00554476">
        <w:rPr>
          <w:rFonts w:ascii="Arial" w:hAnsi="Arial" w:cs="Arial"/>
          <w:b/>
          <w:bCs/>
          <w:sz w:val="20"/>
          <w:szCs w:val="20"/>
          <w:u w:val="single"/>
        </w:rPr>
        <w:t xml:space="preserve"> del Tribunal Supremo</w:t>
      </w:r>
      <w:r w:rsidRPr="00554476">
        <w:rPr>
          <w:rFonts w:ascii="Arial" w:hAnsi="Arial" w:cs="Arial"/>
          <w:sz w:val="20"/>
          <w:szCs w:val="20"/>
        </w:rPr>
        <w:t xml:space="preserve">, que toma como punto de partida y transcribe de forma parcial la anterior </w:t>
      </w:r>
      <w:r w:rsidR="000B49F5" w:rsidRPr="00554476">
        <w:rPr>
          <w:rFonts w:ascii="Arial" w:hAnsi="Arial" w:cs="Arial"/>
          <w:b/>
          <w:bCs/>
          <w:sz w:val="20"/>
          <w:szCs w:val="20"/>
          <w:u w:val="single"/>
        </w:rPr>
        <w:t xml:space="preserve">Sentencia del mismo </w:t>
      </w:r>
      <w:r w:rsidR="00BF18DD" w:rsidRPr="00554476">
        <w:rPr>
          <w:rFonts w:ascii="Arial" w:hAnsi="Arial" w:cs="Arial"/>
          <w:b/>
          <w:bCs/>
          <w:sz w:val="20"/>
          <w:szCs w:val="20"/>
          <w:u w:val="single"/>
        </w:rPr>
        <w:t>T</w:t>
      </w:r>
      <w:r w:rsidR="000B49F5" w:rsidRPr="00554476">
        <w:rPr>
          <w:rFonts w:ascii="Arial" w:hAnsi="Arial" w:cs="Arial"/>
          <w:b/>
          <w:bCs/>
          <w:sz w:val="20"/>
          <w:szCs w:val="20"/>
          <w:u w:val="single"/>
        </w:rPr>
        <w:t xml:space="preserve">ribunal de fecha </w:t>
      </w:r>
      <w:r w:rsidRPr="00554476">
        <w:rPr>
          <w:rFonts w:ascii="Arial" w:hAnsi="Arial" w:cs="Arial"/>
          <w:b/>
          <w:bCs/>
          <w:sz w:val="20"/>
          <w:szCs w:val="20"/>
          <w:u w:val="single"/>
        </w:rPr>
        <w:t>29 de enero de 1965</w:t>
      </w:r>
      <w:r w:rsidRPr="00554476">
        <w:rPr>
          <w:rFonts w:ascii="Arial" w:hAnsi="Arial" w:cs="Arial"/>
          <w:sz w:val="20"/>
          <w:szCs w:val="20"/>
        </w:rPr>
        <w:t>, centrada en el análisis de la buena fe y los actos propios</w:t>
      </w:r>
      <w:r w:rsidR="00BF18DD" w:rsidRPr="00554476">
        <w:rPr>
          <w:rFonts w:ascii="Arial" w:hAnsi="Arial" w:cs="Arial"/>
          <w:sz w:val="20"/>
          <w:szCs w:val="20"/>
        </w:rPr>
        <w:t xml:space="preserve">. </w:t>
      </w:r>
      <w:r w:rsidR="00A752D6" w:rsidRPr="00554476">
        <w:rPr>
          <w:rFonts w:ascii="Arial" w:hAnsi="Arial" w:cs="Arial"/>
          <w:bCs/>
          <w:spacing w:val="4"/>
          <w:sz w:val="20"/>
          <w:szCs w:val="20"/>
        </w:rPr>
        <w:t>“</w:t>
      </w:r>
      <w:r w:rsidRPr="00554476">
        <w:rPr>
          <w:rFonts w:ascii="Arial" w:hAnsi="Arial" w:cs="Arial"/>
          <w:bCs/>
          <w:i/>
          <w:iCs/>
          <w:spacing w:val="4"/>
          <w:sz w:val="20"/>
          <w:szCs w:val="20"/>
        </w:rPr>
        <w:t xml:space="preserve">Se falta a la buena fe cuando se va «contra la resultancia de los actos propios, se realiza un acto equívoco para beneficiarse intencionadamente de su dudosa significación o se crea una apariencia jurídica para contradecirla después en perjuicio de quien puso su confianza en ella», señalando también la doctrina científica moderna más autorizada que actúa contra la </w:t>
      </w:r>
      <w:r w:rsidRPr="00554476">
        <w:rPr>
          <w:rFonts w:ascii="Arial" w:hAnsi="Arial" w:cs="Arial"/>
          <w:i/>
          <w:iCs/>
          <w:spacing w:val="4"/>
          <w:sz w:val="20"/>
          <w:szCs w:val="20"/>
        </w:rPr>
        <w:t>buena fe</w:t>
      </w:r>
      <w:r w:rsidRPr="00554476">
        <w:rPr>
          <w:rFonts w:ascii="Arial" w:hAnsi="Arial" w:cs="Arial"/>
          <w:bCs/>
          <w:i/>
          <w:iCs/>
          <w:spacing w:val="4"/>
          <w:sz w:val="20"/>
          <w:szCs w:val="20"/>
        </w:rPr>
        <w:t xml:space="preserve"> el que ejercita un derecho en contradicción con su anterior conducta en la que hizo confiar a otro -prohibición de ir contra los actos propios-, y </w:t>
      </w:r>
      <w:r w:rsidRPr="00554476">
        <w:rPr>
          <w:rFonts w:ascii="Arial" w:hAnsi="Arial" w:cs="Arial"/>
          <w:i/>
          <w:iCs/>
          <w:spacing w:val="4"/>
          <w:sz w:val="20"/>
          <w:szCs w:val="20"/>
        </w:rPr>
        <w:t>especialmente infringe el mismo principio el que ejercita su derecho tan tardíamente que la otra parte pudo efectivamente pensar que no iba a actuarlo -retraso desleal-, vulnerando</w:t>
      </w:r>
      <w:r w:rsidRPr="00554476">
        <w:rPr>
          <w:rFonts w:ascii="Arial" w:hAnsi="Arial" w:cs="Arial"/>
          <w:bCs/>
          <w:i/>
          <w:iCs/>
          <w:spacing w:val="4"/>
          <w:sz w:val="20"/>
          <w:szCs w:val="20"/>
        </w:rPr>
        <w:t xml:space="preserve">, tanto la contradicción con los actos propios, como el retraso desleal, </w:t>
      </w:r>
      <w:r w:rsidRPr="00554476">
        <w:rPr>
          <w:rFonts w:ascii="Arial" w:hAnsi="Arial" w:cs="Arial"/>
          <w:i/>
          <w:iCs/>
          <w:spacing w:val="4"/>
          <w:sz w:val="20"/>
          <w:szCs w:val="20"/>
        </w:rPr>
        <w:t>las normas éticas que deben informar el ejercicio del derecho</w:t>
      </w:r>
      <w:r w:rsidRPr="00554476">
        <w:rPr>
          <w:rFonts w:ascii="Arial" w:hAnsi="Arial" w:cs="Arial"/>
          <w:bCs/>
          <w:i/>
          <w:iCs/>
          <w:spacing w:val="4"/>
          <w:sz w:val="20"/>
          <w:szCs w:val="20"/>
        </w:rPr>
        <w:t>, las que lejos de carecer de trascendencia, como en el caso de la litis es tesis de la sentencia de primer grado aceptada por la recurrida, determinan el que el ejercicio del derecho se torne inadmisible, con la consiguiente posibilidad de impugnarlo por antijurídico al amparo de la preceptiva contenida en el párrafo 1 del artículo 7º del Código Civil</w:t>
      </w:r>
      <w:r w:rsidR="00A752D6" w:rsidRPr="00554476">
        <w:rPr>
          <w:rFonts w:ascii="Arial" w:hAnsi="Arial" w:cs="Arial"/>
          <w:bCs/>
          <w:i/>
          <w:iCs/>
          <w:spacing w:val="4"/>
          <w:sz w:val="20"/>
          <w:szCs w:val="20"/>
        </w:rPr>
        <w:t>.”</w:t>
      </w:r>
      <w:r w:rsidRPr="00554476">
        <w:rPr>
          <w:rFonts w:ascii="Arial" w:hAnsi="Arial" w:cs="Arial"/>
          <w:bCs/>
          <w:spacing w:val="4"/>
          <w:sz w:val="20"/>
          <w:szCs w:val="20"/>
        </w:rPr>
        <w:t xml:space="preserve"> </w:t>
      </w:r>
    </w:p>
    <w:p w14:paraId="65720E5B" w14:textId="77777777" w:rsidR="00C76545" w:rsidRPr="00554476" w:rsidRDefault="00C76545" w:rsidP="00554476">
      <w:pPr>
        <w:suppressAutoHyphens/>
        <w:spacing w:after="0" w:line="360" w:lineRule="auto"/>
        <w:ind w:left="567" w:right="566"/>
        <w:jc w:val="both"/>
        <w:rPr>
          <w:rFonts w:ascii="Arial" w:eastAsia="Calibri" w:hAnsi="Arial" w:cs="Arial"/>
          <w:bCs/>
          <w:spacing w:val="4"/>
          <w:sz w:val="20"/>
          <w:szCs w:val="20"/>
          <w:lang w:val="es-ES_tradnl"/>
        </w:rPr>
      </w:pPr>
    </w:p>
    <w:p w14:paraId="639D9D29" w14:textId="77777777" w:rsidR="00CE6ECF"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El Tribunal Supremo ha venido desarrollando dicha figura jurídica en </w:t>
      </w:r>
      <w:r w:rsidRPr="00554476">
        <w:rPr>
          <w:rFonts w:ascii="Arial" w:hAnsi="Arial" w:cs="Arial"/>
          <w:bCs/>
          <w:sz w:val="20"/>
          <w:szCs w:val="20"/>
        </w:rPr>
        <w:t>otras</w:t>
      </w:r>
      <w:r w:rsidR="00C76545" w:rsidRPr="00554476">
        <w:rPr>
          <w:rFonts w:ascii="Arial" w:hAnsi="Arial" w:cs="Arial"/>
          <w:sz w:val="20"/>
          <w:szCs w:val="20"/>
        </w:rPr>
        <w:t xml:space="preserve"> muchas posteriores</w:t>
      </w:r>
      <w:r w:rsidRPr="00554476">
        <w:rPr>
          <w:rFonts w:ascii="Arial" w:hAnsi="Arial" w:cs="Arial"/>
          <w:bCs/>
          <w:sz w:val="20"/>
          <w:szCs w:val="20"/>
        </w:rPr>
        <w:t xml:space="preserve">. Entre ellas citamos, </w:t>
      </w:r>
      <w:r w:rsidR="00C76545" w:rsidRPr="00554476">
        <w:rPr>
          <w:rFonts w:ascii="Arial" w:hAnsi="Arial" w:cs="Arial"/>
          <w:bCs/>
          <w:sz w:val="20"/>
          <w:szCs w:val="20"/>
        </w:rPr>
        <w:t xml:space="preserve">a título de </w:t>
      </w:r>
      <w:r w:rsidRPr="00554476">
        <w:rPr>
          <w:rFonts w:ascii="Arial" w:hAnsi="Arial" w:cs="Arial"/>
          <w:sz w:val="20"/>
          <w:szCs w:val="20"/>
        </w:rPr>
        <w:t>ejemplo,</w:t>
      </w:r>
      <w:r w:rsidRPr="00554476">
        <w:rPr>
          <w:rFonts w:ascii="Arial" w:hAnsi="Arial" w:cs="Arial"/>
          <w:bCs/>
          <w:sz w:val="20"/>
          <w:szCs w:val="20"/>
        </w:rPr>
        <w:t xml:space="preserve"> las </w:t>
      </w:r>
      <w:r w:rsidRPr="00554476">
        <w:rPr>
          <w:rFonts w:ascii="Arial" w:hAnsi="Arial" w:cs="Arial"/>
          <w:sz w:val="20"/>
          <w:szCs w:val="20"/>
        </w:rPr>
        <w:t xml:space="preserve">Sentencias </w:t>
      </w:r>
      <w:r w:rsidR="00C76545" w:rsidRPr="00554476">
        <w:rPr>
          <w:rFonts w:ascii="Arial" w:hAnsi="Arial" w:cs="Arial"/>
          <w:bCs/>
          <w:sz w:val="20"/>
          <w:szCs w:val="20"/>
        </w:rPr>
        <w:t>de 19 de diciembre de 2005</w:t>
      </w:r>
      <w:r w:rsidR="00C76545" w:rsidRPr="00554476">
        <w:rPr>
          <w:rFonts w:ascii="Arial" w:hAnsi="Arial" w:cs="Arial"/>
          <w:sz w:val="20"/>
          <w:szCs w:val="20"/>
        </w:rPr>
        <w:t xml:space="preserve">, </w:t>
      </w:r>
      <w:r w:rsidR="00C76545" w:rsidRPr="00554476">
        <w:rPr>
          <w:rFonts w:ascii="Arial" w:hAnsi="Arial" w:cs="Arial"/>
          <w:bCs/>
          <w:sz w:val="20"/>
          <w:szCs w:val="20"/>
        </w:rPr>
        <w:t>de 31 de enero de 2007</w:t>
      </w:r>
      <w:r w:rsidR="00C76545" w:rsidRPr="00554476">
        <w:rPr>
          <w:rFonts w:ascii="Arial" w:hAnsi="Arial" w:cs="Arial"/>
          <w:sz w:val="20"/>
          <w:szCs w:val="20"/>
        </w:rPr>
        <w:t xml:space="preserve"> o </w:t>
      </w:r>
      <w:r w:rsidR="00C76545" w:rsidRPr="00554476">
        <w:rPr>
          <w:rFonts w:ascii="Arial" w:hAnsi="Arial" w:cs="Arial"/>
          <w:bCs/>
          <w:sz w:val="20"/>
          <w:szCs w:val="20"/>
        </w:rPr>
        <w:t xml:space="preserve">de 12 de diciembre de 2011 todas ellas de la Sala Primera </w:t>
      </w:r>
      <w:r w:rsidR="00C76545" w:rsidRPr="00554476">
        <w:rPr>
          <w:rFonts w:ascii="Arial" w:hAnsi="Arial" w:cs="Arial"/>
          <w:sz w:val="20"/>
          <w:szCs w:val="20"/>
        </w:rPr>
        <w:t>del Tribunal Supremo.</w:t>
      </w:r>
    </w:p>
    <w:p w14:paraId="30A32183" w14:textId="77777777" w:rsidR="00C76545" w:rsidRPr="00554476" w:rsidRDefault="00C76545" w:rsidP="00554476">
      <w:pPr>
        <w:suppressAutoHyphens/>
        <w:spacing w:after="0" w:line="360" w:lineRule="auto"/>
        <w:jc w:val="both"/>
        <w:rPr>
          <w:rFonts w:ascii="Arial" w:hAnsi="Arial" w:cs="Arial"/>
          <w:bCs/>
          <w:sz w:val="20"/>
          <w:szCs w:val="20"/>
        </w:rPr>
      </w:pPr>
    </w:p>
    <w:p w14:paraId="7D495C7A" w14:textId="465E2CEB" w:rsidR="00CE6ECF" w:rsidRPr="00554476" w:rsidRDefault="00FC097C" w:rsidP="00554476">
      <w:pPr>
        <w:suppressAutoHyphens/>
        <w:spacing w:after="0" w:line="360" w:lineRule="auto"/>
        <w:jc w:val="both"/>
        <w:rPr>
          <w:rFonts w:ascii="Arial" w:hAnsi="Arial" w:cs="Arial"/>
          <w:sz w:val="20"/>
          <w:szCs w:val="20"/>
        </w:rPr>
      </w:pPr>
      <w:r w:rsidRPr="00554476">
        <w:rPr>
          <w:rFonts w:ascii="Arial" w:hAnsi="Arial" w:cs="Arial"/>
          <w:sz w:val="20"/>
          <w:szCs w:val="20"/>
        </w:rPr>
        <w:t>La jurisprudencia</w:t>
      </w:r>
      <w:r w:rsidR="000903B4" w:rsidRPr="00554476">
        <w:rPr>
          <w:rFonts w:ascii="Arial" w:hAnsi="Arial" w:cs="Arial"/>
          <w:sz w:val="20"/>
          <w:szCs w:val="20"/>
        </w:rPr>
        <w:t xml:space="preserve"> exige la concurrencia de dos premisas para que nos encontremos ante un supuesto de retraso desleal. De un lado, </w:t>
      </w:r>
      <w:r w:rsidR="00CE6ECF" w:rsidRPr="00554476">
        <w:rPr>
          <w:rFonts w:ascii="Arial" w:hAnsi="Arial" w:cs="Arial"/>
          <w:sz w:val="20"/>
          <w:szCs w:val="20"/>
        </w:rPr>
        <w:t xml:space="preserve">presupone el ejercicio de un derecho de forma tardía </w:t>
      </w:r>
      <w:r w:rsidR="000903B4" w:rsidRPr="00554476">
        <w:rPr>
          <w:rFonts w:ascii="Arial" w:hAnsi="Arial" w:cs="Arial"/>
          <w:sz w:val="20"/>
          <w:szCs w:val="20"/>
        </w:rPr>
        <w:t>(</w:t>
      </w:r>
      <w:r w:rsidR="00CE6ECF" w:rsidRPr="00554476">
        <w:rPr>
          <w:rFonts w:ascii="Arial" w:hAnsi="Arial" w:cs="Arial"/>
          <w:sz w:val="20"/>
          <w:szCs w:val="20"/>
        </w:rPr>
        <w:t>aun cuando no haya transcurrido por completo el plazo de prescripción o caducidad del mismo</w:t>
      </w:r>
      <w:r w:rsidR="000903B4" w:rsidRPr="00554476">
        <w:rPr>
          <w:rFonts w:ascii="Arial" w:hAnsi="Arial" w:cs="Arial"/>
          <w:sz w:val="20"/>
          <w:szCs w:val="20"/>
        </w:rPr>
        <w:t>)</w:t>
      </w:r>
      <w:r w:rsidR="00BF18DD" w:rsidRPr="00554476">
        <w:rPr>
          <w:rFonts w:ascii="Arial" w:hAnsi="Arial" w:cs="Arial"/>
          <w:sz w:val="20"/>
          <w:szCs w:val="20"/>
        </w:rPr>
        <w:t>;</w:t>
      </w:r>
      <w:r w:rsidR="000903B4" w:rsidRPr="00554476">
        <w:rPr>
          <w:rFonts w:ascii="Arial" w:hAnsi="Arial" w:cs="Arial"/>
          <w:sz w:val="20"/>
          <w:szCs w:val="20"/>
        </w:rPr>
        <w:t xml:space="preserve"> y, de otro lado, </w:t>
      </w:r>
      <w:r w:rsidR="00CE6ECF" w:rsidRPr="00554476">
        <w:rPr>
          <w:rFonts w:ascii="Arial" w:hAnsi="Arial" w:cs="Arial"/>
          <w:sz w:val="20"/>
          <w:szCs w:val="20"/>
        </w:rPr>
        <w:t xml:space="preserve">se requiere también que conduzca a un uso abusivo </w:t>
      </w:r>
      <w:r w:rsidR="000903B4" w:rsidRPr="00554476">
        <w:rPr>
          <w:rFonts w:ascii="Arial" w:hAnsi="Arial" w:cs="Arial"/>
          <w:sz w:val="20"/>
          <w:szCs w:val="20"/>
        </w:rPr>
        <w:t xml:space="preserve">en el ejercicio del </w:t>
      </w:r>
      <w:r w:rsidR="00CE6ECF" w:rsidRPr="00554476">
        <w:rPr>
          <w:rFonts w:ascii="Arial" w:hAnsi="Arial" w:cs="Arial"/>
          <w:sz w:val="20"/>
          <w:szCs w:val="20"/>
        </w:rPr>
        <w:t>derecho y, en consecuencia, inadmisible.</w:t>
      </w:r>
      <w:r w:rsidR="000903B4" w:rsidRPr="00554476">
        <w:rPr>
          <w:rFonts w:ascii="Arial" w:hAnsi="Arial" w:cs="Arial"/>
          <w:sz w:val="20"/>
          <w:szCs w:val="20"/>
        </w:rPr>
        <w:t xml:space="preserve"> Todo ello conlleva a generar</w:t>
      </w:r>
      <w:r w:rsidR="00CE6ECF" w:rsidRPr="00554476">
        <w:rPr>
          <w:rFonts w:ascii="Arial" w:hAnsi="Arial" w:cs="Arial"/>
          <w:sz w:val="20"/>
          <w:szCs w:val="20"/>
        </w:rPr>
        <w:t xml:space="preserve"> en la contraparte la confianza o </w:t>
      </w:r>
      <w:r w:rsidR="000903B4" w:rsidRPr="00554476">
        <w:rPr>
          <w:rFonts w:ascii="Arial" w:hAnsi="Arial" w:cs="Arial"/>
          <w:sz w:val="20"/>
          <w:szCs w:val="20"/>
        </w:rPr>
        <w:t xml:space="preserve">falsa </w:t>
      </w:r>
      <w:r w:rsidR="00CE6ECF" w:rsidRPr="00554476">
        <w:rPr>
          <w:rFonts w:ascii="Arial" w:hAnsi="Arial" w:cs="Arial"/>
          <w:sz w:val="20"/>
          <w:szCs w:val="20"/>
        </w:rPr>
        <w:t xml:space="preserve">creencia de que </w:t>
      </w:r>
      <w:r w:rsidR="000903B4" w:rsidRPr="00554476">
        <w:rPr>
          <w:rFonts w:ascii="Arial" w:hAnsi="Arial" w:cs="Arial"/>
          <w:sz w:val="20"/>
          <w:szCs w:val="20"/>
        </w:rPr>
        <w:t>tal derecho ya no se ejercitará</w:t>
      </w:r>
      <w:r w:rsidR="00CE6ECF" w:rsidRPr="00554476">
        <w:rPr>
          <w:rFonts w:ascii="Arial" w:hAnsi="Arial" w:cs="Arial"/>
          <w:sz w:val="20"/>
          <w:szCs w:val="20"/>
        </w:rPr>
        <w:t xml:space="preserve">. </w:t>
      </w:r>
    </w:p>
    <w:p w14:paraId="026DB5E0" w14:textId="77777777" w:rsidR="00C76545" w:rsidRPr="00554476" w:rsidRDefault="00C76545" w:rsidP="00554476">
      <w:pPr>
        <w:suppressAutoHyphens/>
        <w:spacing w:after="0" w:line="360" w:lineRule="auto"/>
        <w:jc w:val="both"/>
        <w:rPr>
          <w:rFonts w:ascii="Arial" w:hAnsi="Arial" w:cs="Arial"/>
          <w:sz w:val="20"/>
          <w:szCs w:val="20"/>
        </w:rPr>
      </w:pPr>
    </w:p>
    <w:p w14:paraId="537096C3" w14:textId="6EB957E1" w:rsidR="00321EED" w:rsidRPr="00554476" w:rsidRDefault="00CE6ECF" w:rsidP="00554476">
      <w:pPr>
        <w:suppressAutoHyphens/>
        <w:spacing w:after="0" w:line="360" w:lineRule="auto"/>
        <w:jc w:val="both"/>
        <w:rPr>
          <w:rFonts w:ascii="Arial" w:hAnsi="Arial" w:cs="Arial"/>
          <w:bCs/>
          <w:sz w:val="20"/>
          <w:szCs w:val="20"/>
        </w:rPr>
      </w:pPr>
      <w:r w:rsidRPr="00554476">
        <w:rPr>
          <w:rFonts w:ascii="Arial" w:hAnsi="Arial" w:cs="Arial"/>
          <w:sz w:val="20"/>
          <w:szCs w:val="20"/>
        </w:rPr>
        <w:lastRenderedPageBreak/>
        <w:t>Estos requisitos aparecen ordenados y enumerados de forma expresa en la</w:t>
      </w:r>
      <w:r w:rsidR="00E12F01" w:rsidRPr="00554476">
        <w:rPr>
          <w:rFonts w:ascii="Arial" w:hAnsi="Arial" w:cs="Arial"/>
          <w:sz w:val="20"/>
          <w:szCs w:val="20"/>
        </w:rPr>
        <w:t>s</w:t>
      </w:r>
      <w:r w:rsidRPr="00554476">
        <w:rPr>
          <w:rFonts w:ascii="Arial" w:hAnsi="Arial" w:cs="Arial"/>
          <w:sz w:val="20"/>
          <w:szCs w:val="20"/>
        </w:rPr>
        <w:t xml:space="preserve"> </w:t>
      </w:r>
      <w:r w:rsidRPr="00554476">
        <w:rPr>
          <w:rFonts w:ascii="Arial" w:hAnsi="Arial" w:cs="Arial"/>
          <w:b/>
          <w:bCs/>
          <w:sz w:val="20"/>
          <w:szCs w:val="20"/>
          <w:u w:val="single"/>
        </w:rPr>
        <w:t>Sentencia</w:t>
      </w:r>
      <w:r w:rsidR="00E12F01" w:rsidRPr="00554476">
        <w:rPr>
          <w:rFonts w:ascii="Arial" w:hAnsi="Arial" w:cs="Arial"/>
          <w:b/>
          <w:bCs/>
          <w:sz w:val="20"/>
          <w:szCs w:val="20"/>
          <w:u w:val="single"/>
        </w:rPr>
        <w:t>s</w:t>
      </w:r>
      <w:r w:rsidRPr="00554476">
        <w:rPr>
          <w:rFonts w:ascii="Arial" w:hAnsi="Arial" w:cs="Arial"/>
          <w:b/>
          <w:bCs/>
          <w:sz w:val="20"/>
          <w:szCs w:val="20"/>
          <w:u w:val="single"/>
        </w:rPr>
        <w:t xml:space="preserve"> </w:t>
      </w:r>
      <w:r w:rsidR="00FC097C" w:rsidRPr="00554476">
        <w:rPr>
          <w:rFonts w:ascii="Arial" w:hAnsi="Arial" w:cs="Arial"/>
          <w:b/>
          <w:bCs/>
          <w:sz w:val="20"/>
          <w:szCs w:val="20"/>
          <w:u w:val="single"/>
        </w:rPr>
        <w:t xml:space="preserve">de 3 </w:t>
      </w:r>
      <w:r w:rsidR="00E12F01" w:rsidRPr="00554476">
        <w:rPr>
          <w:rFonts w:ascii="Arial" w:hAnsi="Arial" w:cs="Arial"/>
          <w:b/>
          <w:bCs/>
          <w:sz w:val="20"/>
          <w:szCs w:val="20"/>
          <w:u w:val="single"/>
        </w:rPr>
        <w:t>de diciembre de 2010, la de 12 de diciembre de 2011 y 26 de septiembre de 2013</w:t>
      </w:r>
      <w:r w:rsidR="00E12F01" w:rsidRPr="00554476">
        <w:rPr>
          <w:rFonts w:ascii="Arial" w:hAnsi="Arial" w:cs="Arial"/>
          <w:sz w:val="20"/>
          <w:szCs w:val="20"/>
        </w:rPr>
        <w:t xml:space="preserve">, todas ellas de la Sala Primera del </w:t>
      </w:r>
      <w:r w:rsidRPr="00554476">
        <w:rPr>
          <w:rFonts w:ascii="Arial" w:hAnsi="Arial" w:cs="Arial"/>
          <w:sz w:val="20"/>
          <w:szCs w:val="20"/>
        </w:rPr>
        <w:t>Tribunal Supremo</w:t>
      </w:r>
      <w:r w:rsidR="00BF18DD" w:rsidRPr="00554476">
        <w:rPr>
          <w:rFonts w:ascii="Arial" w:hAnsi="Arial" w:cs="Arial"/>
          <w:bCs/>
          <w:sz w:val="20"/>
          <w:szCs w:val="20"/>
        </w:rPr>
        <w:t xml:space="preserve">. </w:t>
      </w:r>
      <w:r w:rsidR="00E12F01" w:rsidRPr="00554476">
        <w:rPr>
          <w:rFonts w:ascii="Arial" w:hAnsi="Arial" w:cs="Arial"/>
          <w:bCs/>
          <w:i/>
          <w:spacing w:val="4"/>
          <w:sz w:val="20"/>
          <w:szCs w:val="20"/>
        </w:rPr>
        <w:t>“</w:t>
      </w:r>
      <w:r w:rsidRPr="00554476">
        <w:rPr>
          <w:rFonts w:ascii="Arial" w:hAnsi="Arial" w:cs="Arial"/>
          <w:bCs/>
          <w:i/>
          <w:iCs/>
          <w:spacing w:val="4"/>
          <w:sz w:val="20"/>
          <w:szCs w:val="20"/>
        </w:rPr>
        <w:t>Se considera que son características de esta situación de retraso desleal (</w:t>
      </w:r>
      <w:proofErr w:type="spellStart"/>
      <w:r w:rsidRPr="00554476">
        <w:rPr>
          <w:rFonts w:ascii="Arial" w:hAnsi="Arial" w:cs="Arial"/>
          <w:bCs/>
          <w:i/>
          <w:iCs/>
          <w:spacing w:val="4"/>
          <w:sz w:val="20"/>
          <w:szCs w:val="20"/>
        </w:rPr>
        <w:t>Verwirkung</w:t>
      </w:r>
      <w:proofErr w:type="spellEnd"/>
      <w:r w:rsidRPr="00554476">
        <w:rPr>
          <w:rFonts w:ascii="Arial" w:hAnsi="Arial" w:cs="Arial"/>
          <w:bCs/>
          <w:i/>
          <w:iCs/>
          <w:spacing w:val="4"/>
          <w:sz w:val="20"/>
          <w:szCs w:val="20"/>
        </w:rPr>
        <w:t>): a) el transcurso de un período de tiempo sin ejercitar el derecho; b) la omisión del ejercicio; c) creación de una confianza legítima en la otra parte de que no se ejercitará. En este sentido, la jurisprudencia de esta Sala se ha pronunciado en temas directamente relacionados con esta cuestión, si bien en la mayoría de las sentencias se produce una remisión bien a la doctrina de los actos propios (SS por ejemplo, 16 febrero 2005, 8 marzo y 12 abril 2006, entre otras), bien a la doctrina del abuso del derecho (entre otras, SSTS 17 junio 1988, 21 diciembre 2000 y todas las allí citadas)</w:t>
      </w:r>
      <w:r w:rsidR="00E12F01" w:rsidRPr="00554476">
        <w:rPr>
          <w:rFonts w:ascii="Arial" w:hAnsi="Arial" w:cs="Arial"/>
          <w:bCs/>
          <w:i/>
          <w:iCs/>
          <w:spacing w:val="4"/>
          <w:sz w:val="20"/>
          <w:szCs w:val="20"/>
        </w:rPr>
        <w:t>”</w:t>
      </w:r>
      <w:r w:rsidRPr="00554476">
        <w:rPr>
          <w:rFonts w:ascii="Arial" w:hAnsi="Arial" w:cs="Arial"/>
          <w:bCs/>
          <w:i/>
          <w:iCs/>
          <w:spacing w:val="4"/>
          <w:sz w:val="20"/>
          <w:szCs w:val="20"/>
        </w:rPr>
        <w:t xml:space="preserve">. </w:t>
      </w:r>
    </w:p>
    <w:p w14:paraId="2154873D" w14:textId="77777777" w:rsidR="00321EED" w:rsidRPr="00554476" w:rsidRDefault="00321EED" w:rsidP="00554476">
      <w:pPr>
        <w:suppressAutoHyphens/>
        <w:spacing w:after="0" w:line="360" w:lineRule="auto"/>
        <w:jc w:val="both"/>
        <w:rPr>
          <w:rFonts w:ascii="Arial" w:hAnsi="Arial" w:cs="Arial"/>
          <w:sz w:val="20"/>
          <w:szCs w:val="20"/>
        </w:rPr>
      </w:pPr>
    </w:p>
    <w:p w14:paraId="42D5052E" w14:textId="77777777" w:rsidR="00BF12D5"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Sobre el requisito del transcurso de un </w:t>
      </w:r>
      <w:r w:rsidR="0072201B" w:rsidRPr="00554476">
        <w:rPr>
          <w:rFonts w:ascii="Arial" w:hAnsi="Arial" w:cs="Arial"/>
          <w:sz w:val="20"/>
          <w:szCs w:val="20"/>
        </w:rPr>
        <w:t xml:space="preserve">periodo de </w:t>
      </w:r>
      <w:r w:rsidRPr="00554476">
        <w:rPr>
          <w:rFonts w:ascii="Arial" w:hAnsi="Arial" w:cs="Arial"/>
          <w:sz w:val="20"/>
          <w:szCs w:val="20"/>
        </w:rPr>
        <w:t xml:space="preserve">tiempo, </w:t>
      </w:r>
      <w:r w:rsidR="0072201B" w:rsidRPr="00554476">
        <w:rPr>
          <w:rFonts w:ascii="Arial" w:hAnsi="Arial" w:cs="Arial"/>
          <w:sz w:val="20"/>
          <w:szCs w:val="20"/>
        </w:rPr>
        <w:t xml:space="preserve">con carácter general, </w:t>
      </w:r>
      <w:r w:rsidRPr="00554476">
        <w:rPr>
          <w:rFonts w:ascii="Arial" w:hAnsi="Arial" w:cs="Arial"/>
          <w:sz w:val="20"/>
          <w:szCs w:val="20"/>
        </w:rPr>
        <w:t xml:space="preserve">no resulta posible determinar el lapso temporal que debe transcurrir para considerar que un derecho se ha ejercitado con “retraso” </w:t>
      </w:r>
      <w:r w:rsidR="0072201B" w:rsidRPr="00554476">
        <w:rPr>
          <w:rFonts w:ascii="Arial" w:hAnsi="Arial" w:cs="Arial"/>
          <w:sz w:val="20"/>
          <w:szCs w:val="20"/>
        </w:rPr>
        <w:t xml:space="preserve">ya que no hay criterios objetivos en cuanto a su extensión, </w:t>
      </w:r>
      <w:r w:rsidRPr="00554476">
        <w:rPr>
          <w:rFonts w:ascii="Arial" w:hAnsi="Arial" w:cs="Arial"/>
          <w:sz w:val="20"/>
          <w:szCs w:val="20"/>
        </w:rPr>
        <w:t>más allá, evidentemente, de que aquél deberá ser inferior al plazo de prescrip</w:t>
      </w:r>
      <w:r w:rsidR="0072201B" w:rsidRPr="00554476">
        <w:rPr>
          <w:rFonts w:ascii="Arial" w:hAnsi="Arial" w:cs="Arial"/>
          <w:sz w:val="20"/>
          <w:szCs w:val="20"/>
        </w:rPr>
        <w:t>ción del derecho.</w:t>
      </w:r>
      <w:r w:rsidR="00BF12D5" w:rsidRPr="00554476">
        <w:rPr>
          <w:rFonts w:ascii="Arial" w:hAnsi="Arial" w:cs="Arial"/>
          <w:sz w:val="20"/>
          <w:szCs w:val="20"/>
        </w:rPr>
        <w:t xml:space="preserve"> </w:t>
      </w:r>
      <w:r w:rsidR="00B60657" w:rsidRPr="00554476">
        <w:rPr>
          <w:rFonts w:ascii="Arial" w:hAnsi="Arial" w:cs="Arial"/>
          <w:sz w:val="20"/>
          <w:szCs w:val="20"/>
        </w:rPr>
        <w:t xml:space="preserve">A pesar de ello, </w:t>
      </w:r>
      <w:r w:rsidR="00BF12D5" w:rsidRPr="00554476">
        <w:rPr>
          <w:rFonts w:ascii="Arial" w:hAnsi="Arial" w:cs="Arial"/>
          <w:sz w:val="20"/>
          <w:szCs w:val="20"/>
        </w:rPr>
        <w:t xml:space="preserve">la jurisprudencia si se ha pronunciado sobre esta cuestión </w:t>
      </w:r>
      <w:r w:rsidR="00B60657" w:rsidRPr="00554476">
        <w:rPr>
          <w:rFonts w:ascii="Arial" w:hAnsi="Arial" w:cs="Arial"/>
          <w:sz w:val="20"/>
          <w:szCs w:val="20"/>
        </w:rPr>
        <w:t xml:space="preserve">considerando que concurre el retraso desleal en situaciones en las que ha trascurrido un mero periodo de </w:t>
      </w:r>
      <w:r w:rsidR="006774F9" w:rsidRPr="00554476">
        <w:rPr>
          <w:rFonts w:ascii="Arial" w:hAnsi="Arial" w:cs="Arial"/>
          <w:sz w:val="20"/>
          <w:szCs w:val="20"/>
        </w:rPr>
        <w:t>5 años.</w:t>
      </w:r>
    </w:p>
    <w:p w14:paraId="01347D46" w14:textId="77777777" w:rsidR="00BF12D5" w:rsidRPr="00554476" w:rsidRDefault="00BF12D5" w:rsidP="00554476">
      <w:pPr>
        <w:suppressAutoHyphens/>
        <w:spacing w:after="0" w:line="360" w:lineRule="auto"/>
        <w:jc w:val="both"/>
        <w:rPr>
          <w:rFonts w:ascii="Arial" w:hAnsi="Arial" w:cs="Arial"/>
          <w:sz w:val="20"/>
          <w:szCs w:val="20"/>
        </w:rPr>
      </w:pPr>
    </w:p>
    <w:p w14:paraId="55B68573" w14:textId="77777777" w:rsidR="00CE6ECF" w:rsidRPr="00554476" w:rsidRDefault="00CE6ECF" w:rsidP="00554476">
      <w:pPr>
        <w:suppressAutoHyphens/>
        <w:spacing w:after="0" w:line="360" w:lineRule="auto"/>
        <w:jc w:val="both"/>
        <w:rPr>
          <w:rFonts w:ascii="Arial" w:hAnsi="Arial" w:cs="Arial"/>
          <w:bCs/>
          <w:sz w:val="20"/>
          <w:szCs w:val="20"/>
        </w:rPr>
      </w:pPr>
      <w:r w:rsidRPr="00554476">
        <w:rPr>
          <w:rFonts w:ascii="Arial" w:hAnsi="Arial" w:cs="Arial"/>
          <w:sz w:val="20"/>
          <w:szCs w:val="20"/>
        </w:rPr>
        <w:t xml:space="preserve">Por lo que respecta a la “deslealtad”, </w:t>
      </w:r>
      <w:r w:rsidR="00D813CF" w:rsidRPr="00554476">
        <w:rPr>
          <w:rFonts w:ascii="Arial" w:hAnsi="Arial" w:cs="Arial"/>
          <w:sz w:val="20"/>
          <w:szCs w:val="20"/>
        </w:rPr>
        <w:t xml:space="preserve">no existe criterio uniforme y </w:t>
      </w:r>
      <w:r w:rsidRPr="00554476">
        <w:rPr>
          <w:rFonts w:ascii="Arial" w:hAnsi="Arial" w:cs="Arial"/>
          <w:sz w:val="20"/>
          <w:szCs w:val="20"/>
        </w:rPr>
        <w:t xml:space="preserve">unánime </w:t>
      </w:r>
      <w:r w:rsidR="00D813CF" w:rsidRPr="00554476">
        <w:rPr>
          <w:rFonts w:ascii="Arial" w:hAnsi="Arial" w:cs="Arial"/>
          <w:sz w:val="20"/>
          <w:szCs w:val="20"/>
        </w:rPr>
        <w:t xml:space="preserve">para </w:t>
      </w:r>
      <w:r w:rsidRPr="00554476">
        <w:rPr>
          <w:rFonts w:ascii="Arial" w:hAnsi="Arial" w:cs="Arial"/>
          <w:sz w:val="20"/>
          <w:szCs w:val="20"/>
        </w:rPr>
        <w:t xml:space="preserve">calificar el ejercicio tardío del derecho como opuesto a la buena fe. Pese a ello, </w:t>
      </w:r>
      <w:r w:rsidR="000F761C" w:rsidRPr="00554476">
        <w:rPr>
          <w:rFonts w:ascii="Arial" w:hAnsi="Arial" w:cs="Arial"/>
          <w:sz w:val="20"/>
          <w:szCs w:val="20"/>
        </w:rPr>
        <w:t xml:space="preserve">nuestro Alto Tribunal </w:t>
      </w:r>
      <w:r w:rsidR="002156BC" w:rsidRPr="00554476">
        <w:rPr>
          <w:rFonts w:ascii="Arial" w:hAnsi="Arial" w:cs="Arial"/>
          <w:sz w:val="20"/>
          <w:szCs w:val="20"/>
        </w:rPr>
        <w:t xml:space="preserve">si </w:t>
      </w:r>
      <w:r w:rsidR="000F761C" w:rsidRPr="00554476">
        <w:rPr>
          <w:rFonts w:ascii="Arial" w:hAnsi="Arial" w:cs="Arial"/>
          <w:sz w:val="20"/>
          <w:szCs w:val="20"/>
        </w:rPr>
        <w:t xml:space="preserve">valora </w:t>
      </w:r>
      <w:r w:rsidR="002156BC" w:rsidRPr="00554476">
        <w:rPr>
          <w:rFonts w:ascii="Arial" w:hAnsi="Arial" w:cs="Arial"/>
          <w:sz w:val="20"/>
          <w:szCs w:val="20"/>
        </w:rPr>
        <w:t xml:space="preserve">en la Sentencia, de 24 de julio de 2013, de la Sala Primera las </w:t>
      </w:r>
      <w:r w:rsidR="000F761C" w:rsidRPr="00554476">
        <w:rPr>
          <w:rFonts w:ascii="Arial" w:hAnsi="Arial" w:cs="Arial"/>
          <w:sz w:val="20"/>
          <w:szCs w:val="20"/>
        </w:rPr>
        <w:t xml:space="preserve">dos siguientes cuestiones: </w:t>
      </w:r>
      <w:r w:rsidRPr="00554476">
        <w:rPr>
          <w:rFonts w:ascii="Arial" w:hAnsi="Arial" w:cs="Arial"/>
          <w:spacing w:val="4"/>
          <w:sz w:val="20"/>
          <w:szCs w:val="20"/>
        </w:rPr>
        <w:t xml:space="preserve">la confianza legítima, generada en la contraparte, del no ejercicio futuro del derecho, fundada en la apreciación de un consentimiento tácito o una renuncia tácita al ejercicio de tal </w:t>
      </w:r>
      <w:r w:rsidRPr="00554476">
        <w:rPr>
          <w:rFonts w:ascii="Arial" w:hAnsi="Arial" w:cs="Arial"/>
          <w:sz w:val="20"/>
          <w:szCs w:val="20"/>
        </w:rPr>
        <w:t>derecho por parte de su titular</w:t>
      </w:r>
      <w:r w:rsidR="000F761C" w:rsidRPr="00554476">
        <w:rPr>
          <w:rFonts w:ascii="Arial" w:hAnsi="Arial" w:cs="Arial"/>
          <w:sz w:val="20"/>
          <w:szCs w:val="20"/>
        </w:rPr>
        <w:t xml:space="preserve"> y </w:t>
      </w:r>
      <w:r w:rsidRPr="00554476">
        <w:rPr>
          <w:rFonts w:ascii="Arial" w:hAnsi="Arial" w:cs="Arial"/>
          <w:sz w:val="20"/>
          <w:szCs w:val="20"/>
        </w:rPr>
        <w:t xml:space="preserve">la </w:t>
      </w:r>
      <w:r w:rsidRPr="00554476">
        <w:rPr>
          <w:rFonts w:ascii="Arial" w:hAnsi="Arial" w:cs="Arial"/>
          <w:spacing w:val="4"/>
          <w:sz w:val="20"/>
          <w:szCs w:val="20"/>
        </w:rPr>
        <w:t>objetiva deslealtad del retraso examinada desde la perspectiva de la buena fe</w:t>
      </w:r>
      <w:r w:rsidR="002156BC" w:rsidRPr="00554476">
        <w:rPr>
          <w:rFonts w:ascii="Arial" w:hAnsi="Arial" w:cs="Arial"/>
          <w:sz w:val="20"/>
          <w:szCs w:val="20"/>
        </w:rPr>
        <w:t>.</w:t>
      </w:r>
    </w:p>
    <w:p w14:paraId="562A6E42" w14:textId="77777777" w:rsidR="00337EF7" w:rsidRPr="00554476" w:rsidRDefault="00337EF7" w:rsidP="00554476">
      <w:pPr>
        <w:suppressAutoHyphens/>
        <w:spacing w:after="0" w:line="360" w:lineRule="auto"/>
        <w:jc w:val="both"/>
        <w:rPr>
          <w:rFonts w:ascii="Arial" w:hAnsi="Arial" w:cs="Arial"/>
          <w:spacing w:val="4"/>
          <w:sz w:val="20"/>
          <w:szCs w:val="20"/>
        </w:rPr>
      </w:pPr>
    </w:p>
    <w:p w14:paraId="34D4CB58" w14:textId="77777777" w:rsidR="00CE6ECF" w:rsidRPr="00554476" w:rsidRDefault="00BC3A4A"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El presente argumento ya ha sido acogido </w:t>
      </w:r>
      <w:r w:rsidR="005B64B1" w:rsidRPr="00554476">
        <w:rPr>
          <w:rFonts w:ascii="Arial" w:hAnsi="Arial" w:cs="Arial"/>
          <w:sz w:val="20"/>
          <w:szCs w:val="20"/>
        </w:rPr>
        <w:t xml:space="preserve">por diversas Audiencias Provinciales </w:t>
      </w:r>
      <w:r w:rsidRPr="00554476">
        <w:rPr>
          <w:rFonts w:ascii="Arial" w:hAnsi="Arial" w:cs="Arial"/>
          <w:sz w:val="20"/>
          <w:szCs w:val="20"/>
        </w:rPr>
        <w:t xml:space="preserve">en </w:t>
      </w:r>
      <w:r w:rsidR="00CE6ECF" w:rsidRPr="00554476">
        <w:rPr>
          <w:rFonts w:ascii="Arial" w:hAnsi="Arial" w:cs="Arial"/>
          <w:sz w:val="20"/>
          <w:szCs w:val="20"/>
        </w:rPr>
        <w:t>diversas sentencias en procedimientos judiciales cuyo objeto era el mismo que nos</w:t>
      </w:r>
      <w:r w:rsidR="005B64B1" w:rsidRPr="00554476">
        <w:rPr>
          <w:rFonts w:ascii="Arial" w:hAnsi="Arial" w:cs="Arial"/>
          <w:sz w:val="20"/>
          <w:szCs w:val="20"/>
        </w:rPr>
        <w:t xml:space="preserve"> ocupa, </w:t>
      </w:r>
      <w:r w:rsidR="00CE6ECF" w:rsidRPr="00554476">
        <w:rPr>
          <w:rFonts w:ascii="Arial" w:hAnsi="Arial" w:cs="Arial"/>
          <w:sz w:val="20"/>
          <w:szCs w:val="20"/>
        </w:rPr>
        <w:t>así como en otro tipo de productos bancarios</w:t>
      </w:r>
      <w:r w:rsidR="005B64B1" w:rsidRPr="00554476">
        <w:rPr>
          <w:rFonts w:ascii="Arial" w:hAnsi="Arial" w:cs="Arial"/>
          <w:sz w:val="20"/>
          <w:szCs w:val="20"/>
        </w:rPr>
        <w:t>:</w:t>
      </w:r>
    </w:p>
    <w:p w14:paraId="6289C1FD" w14:textId="77777777" w:rsidR="00337EF7" w:rsidRPr="00554476" w:rsidRDefault="00337EF7" w:rsidP="00554476">
      <w:pPr>
        <w:suppressAutoHyphens/>
        <w:spacing w:after="0" w:line="360" w:lineRule="auto"/>
        <w:jc w:val="both"/>
        <w:rPr>
          <w:rFonts w:ascii="Arial" w:hAnsi="Arial" w:cs="Arial"/>
          <w:sz w:val="20"/>
          <w:szCs w:val="20"/>
        </w:rPr>
      </w:pPr>
    </w:p>
    <w:p w14:paraId="59E3EAA3" w14:textId="77777777" w:rsidR="00CE6ECF" w:rsidRPr="00554476" w:rsidRDefault="00CE6ECF" w:rsidP="001618DF">
      <w:pPr>
        <w:pStyle w:val="Prrafodelista"/>
        <w:numPr>
          <w:ilvl w:val="0"/>
          <w:numId w:val="4"/>
        </w:numPr>
        <w:spacing w:after="0" w:line="360" w:lineRule="auto"/>
        <w:jc w:val="both"/>
        <w:rPr>
          <w:rFonts w:ascii="Arial" w:hAnsi="Arial" w:cs="Arial"/>
          <w:sz w:val="20"/>
          <w:szCs w:val="20"/>
        </w:rPr>
      </w:pPr>
      <w:r w:rsidRPr="00554476">
        <w:rPr>
          <w:rFonts w:ascii="Arial" w:hAnsi="Arial" w:cs="Arial"/>
          <w:b/>
          <w:bCs/>
          <w:sz w:val="20"/>
          <w:szCs w:val="20"/>
          <w:u w:val="single"/>
        </w:rPr>
        <w:t xml:space="preserve">Sentencia </w:t>
      </w:r>
      <w:r w:rsidR="0082619D" w:rsidRPr="00554476">
        <w:rPr>
          <w:rFonts w:ascii="Arial" w:hAnsi="Arial" w:cs="Arial"/>
          <w:b/>
          <w:bCs/>
          <w:sz w:val="20"/>
          <w:szCs w:val="20"/>
          <w:u w:val="single"/>
        </w:rPr>
        <w:t xml:space="preserve">de 27 de enero de 2017, </w:t>
      </w:r>
      <w:r w:rsidRPr="00554476">
        <w:rPr>
          <w:rFonts w:ascii="Arial" w:hAnsi="Arial" w:cs="Arial"/>
          <w:b/>
          <w:bCs/>
          <w:sz w:val="20"/>
          <w:szCs w:val="20"/>
          <w:u w:val="single"/>
        </w:rPr>
        <w:t>de la Secc</w:t>
      </w:r>
      <w:r w:rsidR="0082619D" w:rsidRPr="00554476">
        <w:rPr>
          <w:rFonts w:ascii="Arial" w:hAnsi="Arial" w:cs="Arial"/>
          <w:b/>
          <w:bCs/>
          <w:sz w:val="20"/>
          <w:szCs w:val="20"/>
          <w:u w:val="single"/>
        </w:rPr>
        <w:t>ión</w:t>
      </w:r>
      <w:r w:rsidRPr="00554476">
        <w:rPr>
          <w:rFonts w:ascii="Arial" w:hAnsi="Arial" w:cs="Arial"/>
          <w:b/>
          <w:bCs/>
          <w:sz w:val="20"/>
          <w:szCs w:val="20"/>
          <w:u w:val="single"/>
        </w:rPr>
        <w:t xml:space="preserve"> </w:t>
      </w:r>
      <w:r w:rsidR="0082619D" w:rsidRPr="00554476">
        <w:rPr>
          <w:rFonts w:ascii="Arial" w:hAnsi="Arial" w:cs="Arial"/>
          <w:b/>
          <w:bCs/>
          <w:sz w:val="20"/>
          <w:szCs w:val="20"/>
          <w:u w:val="single"/>
        </w:rPr>
        <w:t xml:space="preserve">Sexta </w:t>
      </w:r>
      <w:r w:rsidRPr="00554476">
        <w:rPr>
          <w:rFonts w:ascii="Arial" w:hAnsi="Arial" w:cs="Arial"/>
          <w:b/>
          <w:bCs/>
          <w:sz w:val="20"/>
          <w:szCs w:val="20"/>
          <w:u w:val="single"/>
        </w:rPr>
        <w:t>de la</w:t>
      </w:r>
      <w:r w:rsidR="00CC68E5" w:rsidRPr="00554476">
        <w:rPr>
          <w:rFonts w:ascii="Arial" w:hAnsi="Arial" w:cs="Arial"/>
          <w:b/>
          <w:bCs/>
          <w:sz w:val="20"/>
          <w:szCs w:val="20"/>
          <w:u w:val="single"/>
        </w:rPr>
        <w:t xml:space="preserve"> Audiencia Provincial de Oviedo</w:t>
      </w:r>
      <w:r w:rsidRPr="00554476">
        <w:rPr>
          <w:rFonts w:ascii="Arial" w:hAnsi="Arial" w:cs="Arial"/>
          <w:sz w:val="20"/>
          <w:szCs w:val="20"/>
        </w:rPr>
        <w:t>:</w:t>
      </w:r>
      <w:r w:rsidR="00CC68E5" w:rsidRPr="00554476">
        <w:rPr>
          <w:rFonts w:ascii="Arial" w:hAnsi="Arial" w:cs="Arial"/>
          <w:sz w:val="20"/>
          <w:szCs w:val="20"/>
        </w:rPr>
        <w:t xml:space="preserve"> </w:t>
      </w:r>
      <w:r w:rsidRPr="00554476">
        <w:rPr>
          <w:rFonts w:ascii="Arial" w:hAnsi="Arial" w:cs="Arial"/>
          <w:i/>
          <w:sz w:val="20"/>
          <w:szCs w:val="20"/>
        </w:rPr>
        <w:t>“Lo cierto es que la factura notarial, fechada el 13 de octubre de 2005, (doc. 2 al folio 45) fue girada contra los prestatarios actores, como también los gastos de registro (doc. 4 al folio 47), documentos que junto al de abono del impuesto fueron recibidos por los actores, y los gastos soportados por los mismos sin objeción durante más de 11 años, lo que constituye un poderoso indicio de su conocimiento y conformidad con la asunción contractual de todos ellos, y avala aún más la procedencia del rechazo de la demanda</w:t>
      </w:r>
      <w:r w:rsidR="00CC68E5" w:rsidRPr="00554476">
        <w:rPr>
          <w:rFonts w:ascii="Arial" w:hAnsi="Arial" w:cs="Arial"/>
          <w:i/>
          <w:sz w:val="20"/>
          <w:szCs w:val="20"/>
        </w:rPr>
        <w:t>“.</w:t>
      </w:r>
    </w:p>
    <w:p w14:paraId="17AD665B" w14:textId="77777777" w:rsidR="00337EF7" w:rsidRPr="00554476" w:rsidRDefault="00337EF7" w:rsidP="00554476">
      <w:pPr>
        <w:spacing w:after="0" w:line="360" w:lineRule="auto"/>
        <w:ind w:left="708"/>
        <w:jc w:val="both"/>
        <w:rPr>
          <w:rFonts w:ascii="Arial" w:hAnsi="Arial" w:cs="Arial"/>
          <w:sz w:val="20"/>
          <w:szCs w:val="20"/>
        </w:rPr>
      </w:pPr>
    </w:p>
    <w:p w14:paraId="723C5D30" w14:textId="77777777" w:rsidR="00CE6ECF" w:rsidRPr="00554476" w:rsidRDefault="00CC68E5" w:rsidP="001618DF">
      <w:pPr>
        <w:pStyle w:val="Prrafodelista"/>
        <w:numPr>
          <w:ilvl w:val="0"/>
          <w:numId w:val="4"/>
        </w:numPr>
        <w:spacing w:after="0" w:line="360" w:lineRule="auto"/>
        <w:jc w:val="both"/>
        <w:rPr>
          <w:rFonts w:ascii="Arial" w:hAnsi="Arial" w:cs="Arial"/>
          <w:sz w:val="20"/>
          <w:szCs w:val="20"/>
        </w:rPr>
      </w:pPr>
      <w:r w:rsidRPr="00554476">
        <w:rPr>
          <w:rFonts w:ascii="Arial" w:hAnsi="Arial" w:cs="Arial"/>
          <w:b/>
          <w:bCs/>
          <w:sz w:val="20"/>
          <w:szCs w:val="20"/>
          <w:u w:val="single"/>
        </w:rPr>
        <w:lastRenderedPageBreak/>
        <w:t>Sentencia de 27 de enero de 2017, de la Sección Sexta de la Audiencia Provincial de Oviedo</w:t>
      </w:r>
      <w:r w:rsidRPr="00554476">
        <w:rPr>
          <w:rFonts w:ascii="Arial" w:hAnsi="Arial" w:cs="Arial"/>
          <w:sz w:val="20"/>
          <w:szCs w:val="20"/>
        </w:rPr>
        <w:t xml:space="preserve">: </w:t>
      </w:r>
      <w:r w:rsidR="00CE6ECF" w:rsidRPr="00554476">
        <w:rPr>
          <w:rFonts w:ascii="Arial" w:hAnsi="Arial" w:cs="Arial"/>
          <w:i/>
          <w:sz w:val="20"/>
          <w:szCs w:val="20"/>
        </w:rPr>
        <w:t>“Lo cierto es que la factura notarial, fechada el 18 de julio de 2006, (doc. 2 al folio 51) fue girada contra la prestataria actora, como también los gastos de registro (f.52</w:t>
      </w:r>
      <w:r w:rsidR="00903349" w:rsidRPr="00554476">
        <w:rPr>
          <w:rFonts w:ascii="Arial" w:hAnsi="Arial" w:cs="Arial"/>
          <w:i/>
          <w:sz w:val="20"/>
          <w:szCs w:val="20"/>
        </w:rPr>
        <w:t xml:space="preserve"> </w:t>
      </w:r>
      <w:proofErr w:type="spellStart"/>
      <w:r w:rsidR="00CE6ECF" w:rsidRPr="00554476">
        <w:rPr>
          <w:rFonts w:ascii="Arial" w:hAnsi="Arial" w:cs="Arial"/>
          <w:i/>
          <w:sz w:val="20"/>
          <w:szCs w:val="20"/>
        </w:rPr>
        <w:t>vto</w:t>
      </w:r>
      <w:proofErr w:type="spellEnd"/>
      <w:r w:rsidR="00CE6ECF" w:rsidRPr="00554476">
        <w:rPr>
          <w:rFonts w:ascii="Arial" w:hAnsi="Arial" w:cs="Arial"/>
          <w:i/>
          <w:sz w:val="20"/>
          <w:szCs w:val="20"/>
        </w:rPr>
        <w:t>), documentos que junto al de abono del impuesto fueron recibidos por la misma, y los gastos soportados sin objeción durante más de 9 años, lo que constituye un poderoso indicio de su conocimiento y conformidad con la asunción contractual de todos ellos, y avala aún más la procedencia del rechazo de su reintegro</w:t>
      </w:r>
      <w:r w:rsidRPr="00554476">
        <w:rPr>
          <w:rFonts w:ascii="Arial" w:hAnsi="Arial" w:cs="Arial"/>
          <w:i/>
          <w:sz w:val="20"/>
          <w:szCs w:val="20"/>
        </w:rPr>
        <w:t>“.</w:t>
      </w:r>
    </w:p>
    <w:p w14:paraId="10CFFA1E" w14:textId="77777777" w:rsidR="005B64B1" w:rsidRPr="00554476" w:rsidRDefault="005B64B1" w:rsidP="00554476">
      <w:pPr>
        <w:spacing w:after="0" w:line="360" w:lineRule="auto"/>
        <w:jc w:val="both"/>
        <w:rPr>
          <w:rFonts w:ascii="Arial" w:hAnsi="Arial" w:cs="Arial"/>
          <w:sz w:val="20"/>
          <w:szCs w:val="20"/>
        </w:rPr>
      </w:pPr>
    </w:p>
    <w:p w14:paraId="15BB1828" w14:textId="77777777" w:rsidR="00CC68E5" w:rsidRPr="00554476" w:rsidRDefault="00CC68E5" w:rsidP="001618DF">
      <w:pPr>
        <w:pStyle w:val="Prrafodelista"/>
        <w:numPr>
          <w:ilvl w:val="0"/>
          <w:numId w:val="4"/>
        </w:numPr>
        <w:autoSpaceDE w:val="0"/>
        <w:autoSpaceDN w:val="0"/>
        <w:adjustRightInd w:val="0"/>
        <w:spacing w:after="0" w:line="360" w:lineRule="auto"/>
        <w:ind w:left="708"/>
        <w:jc w:val="both"/>
        <w:rPr>
          <w:rFonts w:ascii="Arial" w:hAnsi="Arial" w:cs="Arial"/>
          <w:i/>
          <w:sz w:val="20"/>
          <w:szCs w:val="20"/>
        </w:rPr>
      </w:pPr>
      <w:r w:rsidRPr="00554476">
        <w:rPr>
          <w:rFonts w:ascii="Arial" w:hAnsi="Arial" w:cs="Arial"/>
          <w:b/>
          <w:bCs/>
          <w:sz w:val="20"/>
          <w:szCs w:val="20"/>
          <w:u w:val="single"/>
        </w:rPr>
        <w:t>Sentencia de 23 de diciembre de 2015, de la Sección Primera de la Audiencia Provincial de Pontevedra</w:t>
      </w:r>
      <w:r w:rsidRPr="00554476">
        <w:rPr>
          <w:rFonts w:ascii="Arial" w:hAnsi="Arial" w:cs="Arial"/>
          <w:sz w:val="20"/>
          <w:szCs w:val="20"/>
        </w:rPr>
        <w:t>:</w:t>
      </w:r>
      <w:r w:rsidR="00CE6ECF" w:rsidRPr="00554476">
        <w:rPr>
          <w:rFonts w:ascii="Arial" w:hAnsi="Arial" w:cs="Arial"/>
          <w:i/>
          <w:sz w:val="20"/>
          <w:szCs w:val="20"/>
        </w:rPr>
        <w:t xml:space="preserve"> “La factura notarial, fechada en septiembre de 2009, fue girada contra el prestatario, como también los </w:t>
      </w:r>
      <w:r w:rsidR="00CE6ECF" w:rsidRPr="00554476">
        <w:rPr>
          <w:rFonts w:ascii="Arial" w:hAnsi="Arial" w:cs="Arial"/>
          <w:bCs/>
          <w:i/>
          <w:sz w:val="20"/>
          <w:szCs w:val="20"/>
        </w:rPr>
        <w:t xml:space="preserve">gastos </w:t>
      </w:r>
      <w:r w:rsidR="00CE6ECF" w:rsidRPr="00554476">
        <w:rPr>
          <w:rFonts w:ascii="Arial" w:hAnsi="Arial" w:cs="Arial"/>
          <w:i/>
          <w:sz w:val="20"/>
          <w:szCs w:val="20"/>
        </w:rPr>
        <w:t xml:space="preserve">de registro (en diciembre de 2009), como la declaración de sujeto pasivo del impuesto; tales documentos fueron recibidos por el demandante, y los </w:t>
      </w:r>
      <w:r w:rsidR="00CE6ECF" w:rsidRPr="00554476">
        <w:rPr>
          <w:rFonts w:ascii="Arial" w:hAnsi="Arial" w:cs="Arial"/>
          <w:bCs/>
          <w:i/>
          <w:sz w:val="20"/>
          <w:szCs w:val="20"/>
        </w:rPr>
        <w:t xml:space="preserve">gastos </w:t>
      </w:r>
      <w:r w:rsidR="00CE6ECF" w:rsidRPr="00554476">
        <w:rPr>
          <w:rFonts w:ascii="Arial" w:hAnsi="Arial" w:cs="Arial"/>
          <w:i/>
          <w:sz w:val="20"/>
          <w:szCs w:val="20"/>
        </w:rPr>
        <w:t>soportados sin objeción durante cinco años, lo que constituye un poderoso indicio en contra de la posición de los demandantes</w:t>
      </w:r>
      <w:r w:rsidRPr="00554476">
        <w:rPr>
          <w:rFonts w:ascii="Arial" w:hAnsi="Arial" w:cs="Arial"/>
          <w:i/>
          <w:sz w:val="20"/>
          <w:szCs w:val="20"/>
        </w:rPr>
        <w:t>”.</w:t>
      </w:r>
    </w:p>
    <w:p w14:paraId="459A8668" w14:textId="77777777" w:rsidR="00CC68E5" w:rsidRPr="00554476" w:rsidRDefault="00CC68E5" w:rsidP="00554476">
      <w:pPr>
        <w:pStyle w:val="Prrafodelista"/>
        <w:spacing w:after="0" w:line="360" w:lineRule="auto"/>
        <w:rPr>
          <w:rFonts w:ascii="Arial" w:hAnsi="Arial" w:cs="Arial"/>
          <w:sz w:val="20"/>
          <w:szCs w:val="20"/>
        </w:rPr>
      </w:pPr>
    </w:p>
    <w:p w14:paraId="54230F62" w14:textId="77777777" w:rsidR="00CC68E5" w:rsidRPr="00554476" w:rsidRDefault="00CE6ECF" w:rsidP="001618DF">
      <w:pPr>
        <w:pStyle w:val="Prrafodelista"/>
        <w:numPr>
          <w:ilvl w:val="0"/>
          <w:numId w:val="4"/>
        </w:numPr>
        <w:suppressAutoHyphens/>
        <w:autoSpaceDE w:val="0"/>
        <w:autoSpaceDN w:val="0"/>
        <w:adjustRightInd w:val="0"/>
        <w:spacing w:after="0" w:line="360" w:lineRule="auto"/>
        <w:ind w:left="708"/>
        <w:jc w:val="both"/>
        <w:rPr>
          <w:rFonts w:ascii="Arial" w:hAnsi="Arial" w:cs="Arial"/>
          <w:i/>
          <w:sz w:val="20"/>
          <w:szCs w:val="20"/>
        </w:rPr>
      </w:pPr>
      <w:r w:rsidRPr="00554476">
        <w:rPr>
          <w:rFonts w:ascii="Arial" w:hAnsi="Arial" w:cs="Arial"/>
          <w:b/>
          <w:bCs/>
          <w:sz w:val="20"/>
          <w:szCs w:val="20"/>
          <w:u w:val="single"/>
        </w:rPr>
        <w:t xml:space="preserve">Sentencia núm. 151/2018, de 13 de junio, de la Sección </w:t>
      </w:r>
      <w:r w:rsidR="00CC68E5" w:rsidRPr="00554476">
        <w:rPr>
          <w:rFonts w:ascii="Arial" w:hAnsi="Arial" w:cs="Arial"/>
          <w:b/>
          <w:bCs/>
          <w:sz w:val="20"/>
          <w:szCs w:val="20"/>
          <w:u w:val="single"/>
        </w:rPr>
        <w:t xml:space="preserve">Primera </w:t>
      </w:r>
      <w:r w:rsidRPr="00554476">
        <w:rPr>
          <w:rFonts w:ascii="Arial" w:hAnsi="Arial" w:cs="Arial"/>
          <w:b/>
          <w:bCs/>
          <w:sz w:val="20"/>
          <w:szCs w:val="20"/>
          <w:u w:val="single"/>
        </w:rPr>
        <w:t>de l</w:t>
      </w:r>
      <w:r w:rsidR="00CC68E5" w:rsidRPr="00554476">
        <w:rPr>
          <w:rFonts w:ascii="Arial" w:hAnsi="Arial" w:cs="Arial"/>
          <w:b/>
          <w:bCs/>
          <w:sz w:val="20"/>
          <w:szCs w:val="20"/>
          <w:u w:val="single"/>
        </w:rPr>
        <w:t>a Audiencia Provincial de Ávila</w:t>
      </w:r>
      <w:r w:rsidRPr="00554476">
        <w:rPr>
          <w:rFonts w:ascii="Arial" w:hAnsi="Arial" w:cs="Arial"/>
          <w:sz w:val="20"/>
          <w:szCs w:val="20"/>
        </w:rPr>
        <w:t xml:space="preserve">: </w:t>
      </w:r>
      <w:r w:rsidR="00CC68E5" w:rsidRPr="00554476">
        <w:rPr>
          <w:rFonts w:ascii="Arial" w:hAnsi="Arial" w:cs="Arial"/>
          <w:i/>
          <w:sz w:val="20"/>
          <w:szCs w:val="20"/>
        </w:rPr>
        <w:t>“</w:t>
      </w:r>
      <w:r w:rsidRPr="00554476">
        <w:rPr>
          <w:rFonts w:ascii="Arial" w:hAnsi="Arial" w:cs="Arial"/>
          <w:i/>
          <w:sz w:val="20"/>
          <w:szCs w:val="20"/>
        </w:rPr>
        <w:t>[H]</w:t>
      </w:r>
      <w:proofErr w:type="spellStart"/>
      <w:r w:rsidRPr="00554476">
        <w:rPr>
          <w:rFonts w:ascii="Arial" w:hAnsi="Arial" w:cs="Arial"/>
          <w:i/>
          <w:sz w:val="20"/>
          <w:szCs w:val="20"/>
        </w:rPr>
        <w:t>asta</w:t>
      </w:r>
      <w:proofErr w:type="spellEnd"/>
      <w:r w:rsidRPr="00554476">
        <w:rPr>
          <w:rFonts w:ascii="Arial" w:hAnsi="Arial" w:cs="Arial"/>
          <w:i/>
          <w:sz w:val="20"/>
          <w:szCs w:val="20"/>
        </w:rPr>
        <w:t xml:space="preserve"> que se interpuso la demanda rectora del presente procedimiento, 17 de marzo de 2017, habían transcurrido casi cinco años desde la conversión del préstamo a euros, momento en el que se despejó completamente la nebulosa que, desde el punto de vista del consumidor, podría haber envuelto al contrato originariamente concertado.</w:t>
      </w:r>
    </w:p>
    <w:p w14:paraId="60120701" w14:textId="77777777" w:rsidR="00CC68E5" w:rsidRPr="00554476" w:rsidRDefault="00CC68E5" w:rsidP="00554476">
      <w:pPr>
        <w:pStyle w:val="Prrafodelista"/>
        <w:spacing w:after="0" w:line="360" w:lineRule="auto"/>
        <w:rPr>
          <w:rFonts w:ascii="Arial" w:hAnsi="Arial" w:cs="Arial"/>
          <w:i/>
          <w:sz w:val="20"/>
          <w:szCs w:val="20"/>
        </w:rPr>
      </w:pPr>
    </w:p>
    <w:p w14:paraId="2EA39A7D" w14:textId="77777777" w:rsidR="00CC68E5" w:rsidRPr="00554476" w:rsidRDefault="00CE6ECF" w:rsidP="00554476">
      <w:pPr>
        <w:pStyle w:val="Prrafodelista"/>
        <w:suppressAutoHyphens/>
        <w:autoSpaceDE w:val="0"/>
        <w:autoSpaceDN w:val="0"/>
        <w:adjustRightInd w:val="0"/>
        <w:spacing w:after="0" w:line="360" w:lineRule="auto"/>
        <w:ind w:left="708"/>
        <w:jc w:val="both"/>
        <w:rPr>
          <w:rFonts w:ascii="Arial" w:hAnsi="Arial" w:cs="Arial"/>
          <w:i/>
          <w:sz w:val="20"/>
          <w:szCs w:val="20"/>
        </w:rPr>
      </w:pPr>
      <w:r w:rsidRPr="00554476">
        <w:rPr>
          <w:rFonts w:ascii="Arial" w:hAnsi="Arial" w:cs="Arial"/>
          <w:i/>
          <w:sz w:val="20"/>
          <w:szCs w:val="20"/>
        </w:rPr>
        <w:t xml:space="preserve">(…) La regla general consiste en que quien usa de su derecho, no ocasiona daño (qui iure sui </w:t>
      </w:r>
      <w:proofErr w:type="spellStart"/>
      <w:r w:rsidRPr="00554476">
        <w:rPr>
          <w:rFonts w:ascii="Arial" w:hAnsi="Arial" w:cs="Arial"/>
          <w:i/>
          <w:sz w:val="20"/>
          <w:szCs w:val="20"/>
        </w:rPr>
        <w:t>utitur</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neminen</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laedit</w:t>
      </w:r>
      <w:proofErr w:type="spellEnd"/>
      <w:r w:rsidRPr="00554476">
        <w:rPr>
          <w:rFonts w:ascii="Arial" w:hAnsi="Arial" w:cs="Arial"/>
          <w:i/>
          <w:sz w:val="20"/>
          <w:szCs w:val="20"/>
        </w:rPr>
        <w:t>) (…) Sin embargo, no se excluye la posibilidad de que se pueda producir un uso abusivo del proceso, que ocasione daños que deben ser objeto de reparación.</w:t>
      </w:r>
    </w:p>
    <w:p w14:paraId="556A812E" w14:textId="77777777" w:rsidR="00CC68E5" w:rsidRPr="00554476" w:rsidRDefault="00CC68E5" w:rsidP="00554476">
      <w:pPr>
        <w:pStyle w:val="Prrafodelista"/>
        <w:suppressAutoHyphens/>
        <w:autoSpaceDE w:val="0"/>
        <w:autoSpaceDN w:val="0"/>
        <w:adjustRightInd w:val="0"/>
        <w:spacing w:after="0" w:line="360" w:lineRule="auto"/>
        <w:ind w:left="708"/>
        <w:jc w:val="both"/>
        <w:rPr>
          <w:rFonts w:ascii="Arial" w:hAnsi="Arial" w:cs="Arial"/>
          <w:i/>
          <w:sz w:val="20"/>
          <w:szCs w:val="20"/>
        </w:rPr>
      </w:pPr>
    </w:p>
    <w:p w14:paraId="71EA9E65" w14:textId="77777777" w:rsidR="00CC68E5" w:rsidRPr="00554476" w:rsidRDefault="00CE6ECF" w:rsidP="00554476">
      <w:pPr>
        <w:pStyle w:val="Prrafodelista"/>
        <w:suppressAutoHyphens/>
        <w:autoSpaceDE w:val="0"/>
        <w:autoSpaceDN w:val="0"/>
        <w:adjustRightInd w:val="0"/>
        <w:spacing w:after="0" w:line="360" w:lineRule="auto"/>
        <w:ind w:left="708"/>
        <w:jc w:val="both"/>
        <w:rPr>
          <w:rFonts w:ascii="Arial" w:hAnsi="Arial" w:cs="Arial"/>
          <w:i/>
          <w:sz w:val="20"/>
          <w:szCs w:val="20"/>
        </w:rPr>
      </w:pPr>
      <w:r w:rsidRPr="00554476">
        <w:rPr>
          <w:rFonts w:ascii="Arial" w:hAnsi="Arial" w:cs="Arial"/>
          <w:i/>
          <w:sz w:val="20"/>
          <w:szCs w:val="20"/>
        </w:rPr>
        <w:t>En cualquier caso, deben concurrir los requisitos que se han exigido para que se constate la concurrencia de abuso o ejercicio desleal. Como afirma la STS 769/2010, de 3 diciembre "Se considera que son características de esta situación de retraso desleal (</w:t>
      </w:r>
      <w:proofErr w:type="spellStart"/>
      <w:r w:rsidRPr="00554476">
        <w:rPr>
          <w:rFonts w:ascii="Arial" w:hAnsi="Arial" w:cs="Arial"/>
          <w:i/>
          <w:sz w:val="20"/>
          <w:szCs w:val="20"/>
        </w:rPr>
        <w:t>Verwirkug</w:t>
      </w:r>
      <w:proofErr w:type="spellEnd"/>
      <w:r w:rsidRPr="00554476">
        <w:rPr>
          <w:rFonts w:ascii="Arial" w:hAnsi="Arial" w:cs="Arial"/>
          <w:i/>
          <w:sz w:val="20"/>
          <w:szCs w:val="20"/>
        </w:rPr>
        <w:t>): a) el transcurso de un periodo de tiempo sin ejercitar el derecho; b) la omisión del ejercicio; c) creación de una confianza legítima en la otra parte de que no se ejercitará (...)</w:t>
      </w:r>
      <w:r w:rsidR="00CC68E5" w:rsidRPr="00554476">
        <w:rPr>
          <w:rFonts w:ascii="Arial" w:hAnsi="Arial" w:cs="Arial"/>
          <w:i/>
          <w:sz w:val="20"/>
          <w:szCs w:val="20"/>
        </w:rPr>
        <w:t>.</w:t>
      </w:r>
    </w:p>
    <w:p w14:paraId="50CB7CFB" w14:textId="77777777" w:rsidR="00CC68E5" w:rsidRPr="00554476" w:rsidRDefault="00CC68E5" w:rsidP="00554476">
      <w:pPr>
        <w:pStyle w:val="Prrafodelista"/>
        <w:suppressAutoHyphens/>
        <w:autoSpaceDE w:val="0"/>
        <w:autoSpaceDN w:val="0"/>
        <w:adjustRightInd w:val="0"/>
        <w:spacing w:after="0" w:line="360" w:lineRule="auto"/>
        <w:ind w:left="708"/>
        <w:jc w:val="both"/>
        <w:rPr>
          <w:rFonts w:ascii="Arial" w:hAnsi="Arial" w:cs="Arial"/>
          <w:i/>
          <w:sz w:val="20"/>
          <w:szCs w:val="20"/>
        </w:rPr>
      </w:pPr>
    </w:p>
    <w:p w14:paraId="29867F6E" w14:textId="77777777" w:rsidR="00CE6ECF" w:rsidRPr="00554476" w:rsidRDefault="00CE6ECF" w:rsidP="00554476">
      <w:pPr>
        <w:pStyle w:val="Prrafodelista"/>
        <w:suppressAutoHyphens/>
        <w:autoSpaceDE w:val="0"/>
        <w:autoSpaceDN w:val="0"/>
        <w:adjustRightInd w:val="0"/>
        <w:spacing w:after="0" w:line="360" w:lineRule="auto"/>
        <w:ind w:left="708"/>
        <w:jc w:val="both"/>
        <w:rPr>
          <w:rFonts w:ascii="Arial" w:hAnsi="Arial" w:cs="Arial"/>
          <w:sz w:val="20"/>
          <w:szCs w:val="20"/>
        </w:rPr>
      </w:pPr>
      <w:r w:rsidRPr="00554476">
        <w:rPr>
          <w:rFonts w:ascii="Arial" w:hAnsi="Arial" w:cs="Arial"/>
          <w:i/>
          <w:sz w:val="20"/>
          <w:szCs w:val="20"/>
        </w:rPr>
        <w:t>Aplicando tal doctrina al supuesto de autos, cabe concluir que existe un ejercicio desleal o tardío del derecho a ejercitar la pretensión esgrimida cuando el préstamo fue novado en el año 2.012 y la demanda rectora fue presentada en el año 2017, esto es, en el transcurso de un lapso temporal más que suficiente para fundarla deslealtad que sustenta la teoría del abuso del derecho, lo que no hace sino determinar el éxito del recurso y la revocación de la sentencia de instancia</w:t>
      </w:r>
      <w:r w:rsidRPr="00554476">
        <w:rPr>
          <w:rFonts w:ascii="Arial" w:hAnsi="Arial" w:cs="Arial"/>
          <w:sz w:val="20"/>
          <w:szCs w:val="20"/>
        </w:rPr>
        <w:t>.»</w:t>
      </w:r>
    </w:p>
    <w:p w14:paraId="27D35510" w14:textId="77777777" w:rsidR="00A64C71" w:rsidRPr="00554476" w:rsidRDefault="00A64C71" w:rsidP="00554476">
      <w:pPr>
        <w:suppressAutoHyphens/>
        <w:autoSpaceDE w:val="0"/>
        <w:autoSpaceDN w:val="0"/>
        <w:adjustRightInd w:val="0"/>
        <w:spacing w:after="0" w:line="360" w:lineRule="auto"/>
        <w:jc w:val="both"/>
        <w:rPr>
          <w:rFonts w:ascii="Arial" w:hAnsi="Arial" w:cs="Arial"/>
          <w:sz w:val="20"/>
          <w:szCs w:val="20"/>
        </w:rPr>
      </w:pPr>
    </w:p>
    <w:p w14:paraId="7172FFD5" w14:textId="77777777" w:rsidR="00A64C71" w:rsidRPr="00554476" w:rsidRDefault="00A64C71" w:rsidP="001618DF">
      <w:pPr>
        <w:pStyle w:val="Prrafodelista"/>
        <w:numPr>
          <w:ilvl w:val="0"/>
          <w:numId w:val="4"/>
        </w:numPr>
        <w:spacing w:after="0" w:line="360" w:lineRule="auto"/>
        <w:ind w:right="-1"/>
        <w:jc w:val="both"/>
        <w:rPr>
          <w:rFonts w:ascii="Arial" w:hAnsi="Arial" w:cs="Arial"/>
          <w:sz w:val="20"/>
          <w:szCs w:val="20"/>
        </w:rPr>
      </w:pPr>
      <w:r w:rsidRPr="00554476">
        <w:rPr>
          <w:rFonts w:ascii="Arial" w:hAnsi="Arial" w:cs="Arial"/>
          <w:b/>
          <w:bCs/>
          <w:sz w:val="20"/>
          <w:szCs w:val="20"/>
          <w:u w:val="single"/>
        </w:rPr>
        <w:t>Sentencia nº 151/2018, de 13 de junio, de la Audiencia Provincial de Álava</w:t>
      </w:r>
      <w:r w:rsidRPr="00554476">
        <w:rPr>
          <w:rFonts w:ascii="Arial" w:hAnsi="Arial" w:cs="Arial"/>
          <w:sz w:val="20"/>
          <w:szCs w:val="20"/>
        </w:rPr>
        <w:t>: “</w:t>
      </w:r>
      <w:r w:rsidRPr="00554476">
        <w:rPr>
          <w:rFonts w:ascii="Arial" w:hAnsi="Arial" w:cs="Arial"/>
          <w:i/>
          <w:sz w:val="20"/>
          <w:szCs w:val="20"/>
        </w:rPr>
        <w:t xml:space="preserve">Así las cosas, aun cuando el carácter </w:t>
      </w:r>
      <w:proofErr w:type="spellStart"/>
      <w:r w:rsidRPr="00554476">
        <w:rPr>
          <w:rFonts w:ascii="Arial" w:hAnsi="Arial" w:cs="Arial"/>
          <w:i/>
          <w:sz w:val="20"/>
          <w:szCs w:val="20"/>
        </w:rPr>
        <w:t>multidivisa</w:t>
      </w:r>
      <w:proofErr w:type="spellEnd"/>
      <w:r w:rsidRPr="00554476">
        <w:rPr>
          <w:rFonts w:ascii="Arial" w:hAnsi="Arial" w:cs="Arial"/>
          <w:i/>
          <w:sz w:val="20"/>
          <w:szCs w:val="20"/>
        </w:rPr>
        <w:t xml:space="preserve"> del préstamo originalmente concertado pudiere considerarse abusivo y, por ende nulo, sin sometimiento a plazo de prescripción o caducidad, no es menos cierto que hasta que se interpuso la demanda rectora del presente procedimiento, 17 de marzo de 2.017, había transcurrido casi cinco años desde la conversión del préstamo a euros, momento en el que se despejó completamente la nebulosa que, desde el punto de vista del consumidor, podría haber envuelto al contrato originariamente concertado.</w:t>
      </w:r>
    </w:p>
    <w:p w14:paraId="63CD70FC" w14:textId="77777777" w:rsidR="00A64C71" w:rsidRPr="00554476" w:rsidRDefault="00A64C71" w:rsidP="00554476">
      <w:pPr>
        <w:spacing w:after="0" w:line="360" w:lineRule="auto"/>
        <w:ind w:left="567" w:right="-1"/>
        <w:jc w:val="both"/>
        <w:rPr>
          <w:rFonts w:ascii="Arial" w:hAnsi="Arial" w:cs="Arial"/>
          <w:i/>
          <w:sz w:val="20"/>
          <w:szCs w:val="20"/>
        </w:rPr>
      </w:pPr>
    </w:p>
    <w:p w14:paraId="5B744EE2"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En palabras de nuestro más Alto Tribunal “mal puede hablarse de abuso de derecho cuando la actora se ha limitado a ejercitar una acción con base en una facultad reconocida legalmente" (STS de 4 de abril de 2011).</w:t>
      </w:r>
    </w:p>
    <w:p w14:paraId="18031E0E" w14:textId="77777777" w:rsidR="00A64C71" w:rsidRPr="00554476" w:rsidRDefault="00A64C71" w:rsidP="00554476">
      <w:pPr>
        <w:spacing w:after="0" w:line="360" w:lineRule="auto"/>
        <w:ind w:left="567" w:right="-1"/>
        <w:jc w:val="both"/>
        <w:rPr>
          <w:rFonts w:ascii="Arial" w:hAnsi="Arial" w:cs="Arial"/>
          <w:i/>
          <w:sz w:val="20"/>
          <w:szCs w:val="20"/>
        </w:rPr>
      </w:pPr>
    </w:p>
    <w:p w14:paraId="4AA4AC6B"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Son reglas interpretativas que se extraen de la doctrina jurisprudencial sobre el abuso del derecho al proceso que:</w:t>
      </w:r>
    </w:p>
    <w:p w14:paraId="2A775A97" w14:textId="77777777" w:rsidR="00A64C71" w:rsidRPr="00554476" w:rsidRDefault="00A64C71" w:rsidP="00554476">
      <w:pPr>
        <w:spacing w:after="0" w:line="360" w:lineRule="auto"/>
        <w:ind w:left="567" w:right="-1"/>
        <w:jc w:val="both"/>
        <w:rPr>
          <w:rFonts w:ascii="Arial" w:hAnsi="Arial" w:cs="Arial"/>
          <w:i/>
          <w:sz w:val="20"/>
          <w:szCs w:val="20"/>
        </w:rPr>
      </w:pPr>
    </w:p>
    <w:p w14:paraId="3FDB24E7"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 xml:space="preserve">a).- La regla general consiste en que quien usa de su derecho, no ocasiona daño (qui iure sui </w:t>
      </w:r>
      <w:proofErr w:type="spellStart"/>
      <w:r w:rsidRPr="00554476">
        <w:rPr>
          <w:rFonts w:ascii="Arial" w:hAnsi="Arial" w:cs="Arial"/>
          <w:i/>
          <w:sz w:val="20"/>
          <w:szCs w:val="20"/>
        </w:rPr>
        <w:t>utitur</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neminen</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laedit</w:t>
      </w:r>
      <w:proofErr w:type="spellEnd"/>
      <w:r w:rsidRPr="00554476">
        <w:rPr>
          <w:rFonts w:ascii="Arial" w:hAnsi="Arial" w:cs="Arial"/>
          <w:i/>
          <w:sz w:val="20"/>
          <w:szCs w:val="20"/>
        </w:rPr>
        <w:t>), aunque no obtenga una solución positiva a su demanda. Esta regla está relacionada con el derecho constitucional a la tutela judicial, de modo que esta Sala ha manifestado en diversas ocasiones que el abuso del derecho en relación al proceso debe ser cuidadosamente examinado para no coartar el ejercicio de acciones (STS 905/2007 y las sentencias allí citadas, así como las SSTS 1229/2004, de 29 diciembre y 769/2010, de 3 diciembre).</w:t>
      </w:r>
    </w:p>
    <w:p w14:paraId="552387C9" w14:textId="77777777" w:rsidR="00A64C71" w:rsidRPr="00554476" w:rsidRDefault="00A64C71" w:rsidP="00554476">
      <w:pPr>
        <w:spacing w:after="0" w:line="360" w:lineRule="auto"/>
        <w:ind w:left="567" w:right="-1"/>
        <w:jc w:val="both"/>
        <w:rPr>
          <w:rFonts w:ascii="Arial" w:hAnsi="Arial" w:cs="Arial"/>
          <w:i/>
          <w:sz w:val="20"/>
          <w:szCs w:val="20"/>
        </w:rPr>
      </w:pPr>
    </w:p>
    <w:p w14:paraId="4F1D0A01"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b).- Sin embargo, no se excluye la posibilidad de que se pueda producir un uso abusivo del proceso, que ocasione daños que deben ser objeto de reparación.</w:t>
      </w:r>
    </w:p>
    <w:p w14:paraId="281595FE" w14:textId="77777777" w:rsidR="00A64C71" w:rsidRPr="00554476" w:rsidRDefault="00A64C71" w:rsidP="00554476">
      <w:pPr>
        <w:spacing w:after="0" w:line="360" w:lineRule="auto"/>
        <w:ind w:left="567" w:right="-1"/>
        <w:jc w:val="both"/>
        <w:rPr>
          <w:rFonts w:ascii="Arial" w:hAnsi="Arial" w:cs="Arial"/>
          <w:i/>
          <w:sz w:val="20"/>
          <w:szCs w:val="20"/>
        </w:rPr>
      </w:pPr>
    </w:p>
    <w:p w14:paraId="5F27EBA4"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c).- En cualquier caso deben concurrir los requisitos que se han exigido para que se constate la concurrencia de abuso o ejercicio desleal. Como afirma la STS 769/2010, de 3 diciembre "Se considera que son características de esta situación de retraso desleal (</w:t>
      </w:r>
      <w:proofErr w:type="spellStart"/>
      <w:r w:rsidRPr="00554476">
        <w:rPr>
          <w:rFonts w:ascii="Arial" w:hAnsi="Arial" w:cs="Arial"/>
          <w:i/>
          <w:sz w:val="20"/>
          <w:szCs w:val="20"/>
        </w:rPr>
        <w:t>Verwirkug</w:t>
      </w:r>
      <w:proofErr w:type="spellEnd"/>
      <w:r w:rsidRPr="00554476">
        <w:rPr>
          <w:rFonts w:ascii="Arial" w:hAnsi="Arial" w:cs="Arial"/>
          <w:i/>
          <w:sz w:val="20"/>
          <w:szCs w:val="20"/>
        </w:rPr>
        <w:t>): a) el transcurso de un periodo de tiempo sin ejercitar el derecho; b) la omisión del ejercicio; c) creación de una confianza legítima en la otra parte de que no se ejercitará. En este sentido, la jurisprudencia de esta Sala se ha pronunciado en temas directamente relacionados con esta cuestión, si bien en la mayoría de las sentencias se produce una remisión bien a la doctrina de los actos propios (SS por ejemplo, 16 febrero 2005, 8 marzo y 12 abril 2006, entre otras), bien a la doctrina del abuso del derecho (entre otras, SSTS 17 junio 1988, 21 diciembre 2000 y todas las allí citadas)".</w:t>
      </w:r>
    </w:p>
    <w:p w14:paraId="1987DF87" w14:textId="77777777" w:rsidR="00A64C71" w:rsidRPr="00554476" w:rsidRDefault="00A64C71" w:rsidP="00554476">
      <w:pPr>
        <w:spacing w:after="0" w:line="360" w:lineRule="auto"/>
        <w:ind w:left="567" w:right="-1"/>
        <w:jc w:val="both"/>
        <w:rPr>
          <w:rFonts w:ascii="Arial" w:hAnsi="Arial" w:cs="Arial"/>
          <w:i/>
          <w:sz w:val="20"/>
          <w:szCs w:val="20"/>
        </w:rPr>
      </w:pPr>
    </w:p>
    <w:p w14:paraId="0C96F591"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lastRenderedPageBreak/>
        <w:t xml:space="preserve">d).- Para que concurra este abuso o ejercicio desleal debe actuarse o bien de forma dolosa o bien con manifiesta negligencia, entendiendo la STS 905/2007, que "la parte que las inició haya actuado dolosamente o cuando menos con manifiesta negligencia por no haberse asegurado el alcance de la acción ejercitada, lo que significa la intención de dañar no existirá "cuando sin traspasar los límites de la equidad y buena fe se pone en marcha el mecanismo judicial con sus consecuencias ejecutivas para hacer valer una atribución que el actor estima corresponderle, por oponerse a ello la máxima qui iure sui </w:t>
      </w:r>
      <w:proofErr w:type="spellStart"/>
      <w:r w:rsidRPr="00554476">
        <w:rPr>
          <w:rFonts w:ascii="Arial" w:hAnsi="Arial" w:cs="Arial"/>
          <w:i/>
          <w:sz w:val="20"/>
          <w:szCs w:val="20"/>
        </w:rPr>
        <w:t>utitur</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neminem</w:t>
      </w:r>
      <w:proofErr w:type="spellEnd"/>
      <w:r w:rsidRPr="00554476">
        <w:rPr>
          <w:rFonts w:ascii="Arial" w:hAnsi="Arial" w:cs="Arial"/>
          <w:i/>
          <w:sz w:val="20"/>
          <w:szCs w:val="20"/>
        </w:rPr>
        <w:t xml:space="preserve"> </w:t>
      </w:r>
      <w:proofErr w:type="spellStart"/>
      <w:r w:rsidRPr="00554476">
        <w:rPr>
          <w:rFonts w:ascii="Arial" w:hAnsi="Arial" w:cs="Arial"/>
          <w:i/>
          <w:sz w:val="20"/>
          <w:szCs w:val="20"/>
        </w:rPr>
        <w:t>laedit</w:t>
      </w:r>
      <w:proofErr w:type="spellEnd"/>
      <w:r w:rsidRPr="00554476">
        <w:rPr>
          <w:rFonts w:ascii="Arial" w:hAnsi="Arial" w:cs="Arial"/>
          <w:i/>
          <w:sz w:val="20"/>
          <w:szCs w:val="20"/>
        </w:rPr>
        <w:t xml:space="preserve"> salvo, claro está, que el Tribunal sentenciador hubiera declarado su culpabilidad estimando la inexistencia de justa causa </w:t>
      </w:r>
      <w:proofErr w:type="spellStart"/>
      <w:r w:rsidRPr="00554476">
        <w:rPr>
          <w:rFonts w:ascii="Arial" w:hAnsi="Arial" w:cs="Arial"/>
          <w:i/>
          <w:sz w:val="20"/>
          <w:szCs w:val="20"/>
        </w:rPr>
        <w:t>litigantis</w:t>
      </w:r>
      <w:proofErr w:type="spellEnd"/>
      <w:r w:rsidRPr="00554476">
        <w:rPr>
          <w:rFonts w:ascii="Arial" w:hAnsi="Arial" w:cs="Arial"/>
          <w:i/>
          <w:sz w:val="20"/>
          <w:szCs w:val="20"/>
        </w:rPr>
        <w:t xml:space="preserve"> (...)".</w:t>
      </w:r>
    </w:p>
    <w:p w14:paraId="16578602" w14:textId="77777777" w:rsidR="00A64C71" w:rsidRPr="00554476" w:rsidRDefault="00A64C71" w:rsidP="00554476">
      <w:pPr>
        <w:spacing w:after="0" w:line="360" w:lineRule="auto"/>
        <w:ind w:left="567" w:right="-1"/>
        <w:jc w:val="both"/>
        <w:rPr>
          <w:rFonts w:ascii="Arial" w:hAnsi="Arial" w:cs="Arial"/>
          <w:i/>
          <w:sz w:val="20"/>
          <w:szCs w:val="20"/>
        </w:rPr>
      </w:pPr>
    </w:p>
    <w:p w14:paraId="36BCB565" w14:textId="77777777" w:rsidR="00A64C71" w:rsidRPr="00554476" w:rsidRDefault="00A64C71" w:rsidP="00554476">
      <w:pPr>
        <w:spacing w:after="0" w:line="360" w:lineRule="auto"/>
        <w:ind w:left="708" w:right="-1"/>
        <w:jc w:val="both"/>
        <w:rPr>
          <w:rFonts w:ascii="Arial" w:hAnsi="Arial" w:cs="Arial"/>
          <w:i/>
          <w:sz w:val="20"/>
          <w:szCs w:val="20"/>
        </w:rPr>
      </w:pPr>
      <w:r w:rsidRPr="00554476">
        <w:rPr>
          <w:rFonts w:ascii="Arial" w:hAnsi="Arial" w:cs="Arial"/>
          <w:i/>
          <w:sz w:val="20"/>
          <w:szCs w:val="20"/>
        </w:rPr>
        <w:t>Aplicando tal doctrina al supuesto de autos, cabe concluir que existe un ejercicio desleal o tardío del derecho a ejercitar la pretensión esgrimida cuando el préstamo fue novado en el año 2.012 y la demanda rectora fue presentada en el año 2.017, esto es, en el transcurso de un lapso temporal más que suficiente para fundar la deslealtad que sustenta la teoría del abuso del derecho, lo que no hace sino determinar el éxito del recurso y la revocación de la sentencia de instancia.”</w:t>
      </w:r>
    </w:p>
    <w:p w14:paraId="0087C627" w14:textId="77777777" w:rsidR="00A64C71" w:rsidRPr="00554476" w:rsidRDefault="00A64C71" w:rsidP="00554476">
      <w:pPr>
        <w:suppressAutoHyphens/>
        <w:autoSpaceDE w:val="0"/>
        <w:autoSpaceDN w:val="0"/>
        <w:adjustRightInd w:val="0"/>
        <w:spacing w:after="0" w:line="360" w:lineRule="auto"/>
        <w:jc w:val="both"/>
        <w:rPr>
          <w:rFonts w:ascii="Arial" w:hAnsi="Arial" w:cs="Arial"/>
          <w:i/>
          <w:sz w:val="20"/>
          <w:szCs w:val="20"/>
        </w:rPr>
      </w:pPr>
    </w:p>
    <w:p w14:paraId="73C96D34" w14:textId="77777777" w:rsidR="00A64C71" w:rsidRPr="00554476" w:rsidRDefault="00A64C71" w:rsidP="001618DF">
      <w:pPr>
        <w:pStyle w:val="Prrafodelista"/>
        <w:numPr>
          <w:ilvl w:val="0"/>
          <w:numId w:val="4"/>
        </w:numPr>
        <w:spacing w:after="0" w:line="360" w:lineRule="auto"/>
        <w:ind w:left="708" w:right="74"/>
        <w:jc w:val="both"/>
        <w:rPr>
          <w:rFonts w:ascii="Arial" w:hAnsi="Arial" w:cs="Arial"/>
          <w:i/>
          <w:sz w:val="20"/>
          <w:szCs w:val="20"/>
        </w:rPr>
      </w:pPr>
      <w:r w:rsidRPr="00554476">
        <w:rPr>
          <w:rFonts w:ascii="Arial" w:hAnsi="Arial" w:cs="Arial"/>
          <w:b/>
          <w:bCs/>
          <w:sz w:val="20"/>
          <w:szCs w:val="20"/>
          <w:u w:val="single"/>
        </w:rPr>
        <w:t>Sentencia de 2 de febrero de 2010 de la Audiencia Provincial de Madrid de 2 de febrero de 2010</w:t>
      </w:r>
      <w:r w:rsidR="00B02DFE" w:rsidRPr="00554476">
        <w:rPr>
          <w:rFonts w:ascii="Arial" w:hAnsi="Arial" w:cs="Arial"/>
          <w:sz w:val="20"/>
          <w:szCs w:val="20"/>
        </w:rPr>
        <w:t xml:space="preserve">: </w:t>
      </w:r>
      <w:r w:rsidRPr="00554476">
        <w:rPr>
          <w:rFonts w:ascii="Arial" w:hAnsi="Arial" w:cs="Arial"/>
          <w:i/>
          <w:sz w:val="20"/>
          <w:szCs w:val="20"/>
        </w:rPr>
        <w:t>“La teoría del retraso desleal (</w:t>
      </w:r>
      <w:proofErr w:type="spellStart"/>
      <w:r w:rsidRPr="00554476">
        <w:rPr>
          <w:rFonts w:ascii="Arial" w:hAnsi="Arial" w:cs="Arial"/>
          <w:i/>
          <w:sz w:val="20"/>
          <w:szCs w:val="20"/>
        </w:rPr>
        <w:t>Werwirburg</w:t>
      </w:r>
      <w:proofErr w:type="spellEnd"/>
      <w:r w:rsidRPr="00554476">
        <w:rPr>
          <w:rFonts w:ascii="Arial" w:hAnsi="Arial" w:cs="Arial"/>
          <w:i/>
          <w:sz w:val="20"/>
          <w:szCs w:val="20"/>
        </w:rPr>
        <w:t xml:space="preserve"> alemán) parte del principio de buena fe como límite al ejercicio de los derechos subjetivos de modo que éstos no podrán reclamarse cuando el titular del mismo no sólo no se ha preocupado durante mucho tiempo de hacerlos valer, sino incluso cuando ha dado lugar con su inactividad a que el adversario de la pretensión pueda esperar objetivamente que el derecho ya no se ejercitará. </w:t>
      </w:r>
    </w:p>
    <w:p w14:paraId="116F5616" w14:textId="77777777" w:rsidR="00A64C71" w:rsidRPr="00554476" w:rsidRDefault="00A64C71" w:rsidP="00554476">
      <w:pPr>
        <w:spacing w:after="0" w:line="360" w:lineRule="auto"/>
        <w:ind w:left="708"/>
        <w:jc w:val="both"/>
        <w:rPr>
          <w:rFonts w:ascii="Arial" w:hAnsi="Arial" w:cs="Arial"/>
          <w:i/>
          <w:sz w:val="20"/>
          <w:szCs w:val="20"/>
        </w:rPr>
      </w:pPr>
    </w:p>
    <w:p w14:paraId="7746421C" w14:textId="77777777" w:rsidR="00A64C71" w:rsidRPr="00554476" w:rsidRDefault="00A64C71" w:rsidP="00554476">
      <w:pPr>
        <w:spacing w:after="0" w:line="360" w:lineRule="auto"/>
        <w:ind w:left="708"/>
        <w:jc w:val="both"/>
        <w:rPr>
          <w:rFonts w:ascii="Arial" w:hAnsi="Arial" w:cs="Arial"/>
          <w:i/>
          <w:sz w:val="20"/>
          <w:szCs w:val="20"/>
        </w:rPr>
      </w:pPr>
      <w:r w:rsidRPr="00554476">
        <w:rPr>
          <w:rFonts w:ascii="Arial" w:hAnsi="Arial" w:cs="Arial"/>
          <w:i/>
          <w:sz w:val="20"/>
          <w:szCs w:val="20"/>
        </w:rPr>
        <w:t>Precisa pues tres requisitos: omisión del ejercicio del derecho, transcurso de un período de tiempo largo y deslealtad e intolerabilidad de un posterior ejercicio retrasado. El Tribunal Supremo la aplicado en ocasiones diciendo que el principio de buena fe se infringe por aquel que ejercita su derecho tan tardíamente que la otra parte pudo efectivamente pensar que no iba a actuarlo (S.T.S. 4 de julio de 1997)”.</w:t>
      </w:r>
    </w:p>
    <w:p w14:paraId="5D632E3F" w14:textId="77777777" w:rsidR="00A64C71" w:rsidRPr="00554476" w:rsidRDefault="00A64C71" w:rsidP="00554476">
      <w:pPr>
        <w:spacing w:after="0" w:line="360" w:lineRule="auto"/>
        <w:ind w:left="708"/>
        <w:jc w:val="both"/>
        <w:rPr>
          <w:rFonts w:ascii="Arial" w:hAnsi="Arial" w:cs="Arial"/>
          <w:i/>
          <w:sz w:val="20"/>
          <w:szCs w:val="20"/>
        </w:rPr>
      </w:pPr>
    </w:p>
    <w:p w14:paraId="40F20D50" w14:textId="6B7174E5" w:rsidR="001A5BEF" w:rsidRPr="00554476" w:rsidRDefault="00CE6ECF" w:rsidP="00554476">
      <w:pPr>
        <w:suppressAutoHyphens/>
        <w:spacing w:after="0" w:line="360" w:lineRule="auto"/>
        <w:jc w:val="both"/>
        <w:rPr>
          <w:rFonts w:ascii="Arial" w:hAnsi="Arial" w:cs="Arial"/>
          <w:sz w:val="20"/>
          <w:szCs w:val="20"/>
        </w:rPr>
      </w:pPr>
      <w:r w:rsidRPr="00554476">
        <w:rPr>
          <w:rFonts w:ascii="Arial" w:hAnsi="Arial" w:cs="Arial"/>
          <w:sz w:val="20"/>
          <w:szCs w:val="20"/>
        </w:rPr>
        <w:t xml:space="preserve">Trasladando esta doctrina a nuestro caso, es evidente que la parte actora ha incurrido en un claro retraso desleal en el ejercicio de las acciones, pues los gastos de formalización del préstamo hipotecario cuya devolución reclama a mi representada fueron desembolsados </w:t>
      </w:r>
      <w:r w:rsidR="00A25EBA" w:rsidRPr="00554476">
        <w:rPr>
          <w:rFonts w:ascii="Arial" w:hAnsi="Arial" w:cs="Arial"/>
          <w:sz w:val="20"/>
          <w:szCs w:val="20"/>
        </w:rPr>
        <w:t>más</w:t>
      </w:r>
      <w:r w:rsidRPr="00554476">
        <w:rPr>
          <w:rFonts w:ascii="Arial" w:hAnsi="Arial" w:cs="Arial"/>
          <w:sz w:val="20"/>
          <w:szCs w:val="20"/>
        </w:rPr>
        <w:t xml:space="preserve"> de </w:t>
      </w:r>
      <w:r w:rsidR="00A42C7C">
        <w:rPr>
          <w:rFonts w:ascii="Arial" w:hAnsi="Arial" w:cs="Arial"/>
          <w:sz w:val="20"/>
          <w:szCs w:val="20"/>
        </w:rPr>
        <w:fldChar w:fldCharType="begin"/>
      </w:r>
      <w:r w:rsidR="00A42C7C">
        <w:rPr>
          <w:rFonts w:ascii="Arial" w:hAnsi="Arial" w:cs="Arial"/>
          <w:sz w:val="20"/>
          <w:szCs w:val="20"/>
        </w:rPr>
        <w:instrText>persovalores_personalizable1297</w:instrText>
      </w:r>
      <w:r w:rsidR="00A42C7C">
        <w:rPr>
          <w:rFonts w:ascii="Arial" w:hAnsi="Arial" w:cs="Arial"/>
          <w:sz w:val="20"/>
          <w:szCs w:val="20"/>
        </w:rPr>
        <w:fldChar w:fldCharType="separate"/>
      </w:r>
      <w:r w:rsidR="00A42C7C">
        <w:rPr>
          <w:rFonts w:ascii="Arial" w:hAnsi="Arial" w:cs="Arial"/>
          <w:noProof/>
          <w:sz w:val="20"/>
          <w:szCs w:val="20"/>
        </w:rPr>
        <w:t>«BANKINTER_CLAUSULAS_AÑOS_TRANSCURRIDOS»</w:t>
      </w:r>
      <w:r w:rsidR="00A42C7C">
        <w:rPr>
          <w:rFonts w:ascii="Arial" w:hAnsi="Arial" w:cs="Arial"/>
          <w:sz w:val="20"/>
          <w:szCs w:val="20"/>
        </w:rPr>
        <w:fldChar w:fldCharType="end"/>
      </w:r>
      <w:r w:rsidR="00A8586C" w:rsidRPr="00554476">
        <w:rPr>
          <w:rFonts w:ascii="Arial" w:hAnsi="Arial" w:cs="Arial"/>
          <w:sz w:val="20"/>
          <w:szCs w:val="20"/>
        </w:rPr>
        <w:t xml:space="preserve"> años</w:t>
      </w:r>
      <w:r w:rsidR="00A25EBA" w:rsidRPr="00554476">
        <w:rPr>
          <w:rFonts w:ascii="Arial" w:hAnsi="Arial" w:cs="Arial"/>
          <w:sz w:val="20"/>
          <w:szCs w:val="20"/>
        </w:rPr>
        <w:t xml:space="preserve"> </w:t>
      </w:r>
      <w:r w:rsidR="00015C92" w:rsidRPr="00554476">
        <w:rPr>
          <w:rFonts w:ascii="Arial" w:hAnsi="Arial" w:cs="Arial"/>
          <w:sz w:val="20"/>
          <w:szCs w:val="20"/>
        </w:rPr>
        <w:t xml:space="preserve">antes </w:t>
      </w:r>
      <w:r w:rsidRPr="00554476">
        <w:rPr>
          <w:rFonts w:ascii="Arial" w:hAnsi="Arial" w:cs="Arial"/>
          <w:sz w:val="20"/>
          <w:szCs w:val="20"/>
        </w:rPr>
        <w:t>de la interposición de la demanda</w:t>
      </w:r>
      <w:r w:rsidR="00015C92" w:rsidRPr="00554476">
        <w:rPr>
          <w:rFonts w:ascii="Arial" w:hAnsi="Arial" w:cs="Arial"/>
          <w:sz w:val="20"/>
          <w:szCs w:val="20"/>
        </w:rPr>
        <w:t>, sin que, durante todo este tiempo el demandante cuestionara en ningún momento el abono de los gastos mencionados en la cláusula</w:t>
      </w:r>
      <w:r w:rsidR="00865697" w:rsidRPr="00554476">
        <w:rPr>
          <w:rFonts w:ascii="Arial" w:hAnsi="Arial" w:cs="Arial"/>
          <w:sz w:val="20"/>
          <w:szCs w:val="20"/>
        </w:rPr>
        <w:t>.</w:t>
      </w:r>
    </w:p>
    <w:p w14:paraId="20F59B85" w14:textId="77777777" w:rsidR="00953E0B" w:rsidRPr="00554476" w:rsidRDefault="00953E0B" w:rsidP="00554476">
      <w:pPr>
        <w:suppressAutoHyphens/>
        <w:spacing w:after="0" w:line="360" w:lineRule="auto"/>
        <w:jc w:val="both"/>
        <w:rPr>
          <w:rFonts w:ascii="Arial" w:hAnsi="Arial" w:cs="Arial"/>
          <w:sz w:val="20"/>
          <w:szCs w:val="20"/>
        </w:rPr>
      </w:pPr>
    </w:p>
    <w:p w14:paraId="30DB7476" w14:textId="77777777" w:rsidR="00967E66" w:rsidRDefault="00967E66" w:rsidP="00554476">
      <w:pPr>
        <w:pStyle w:val="Ttulo2"/>
        <w:spacing w:before="0" w:line="360" w:lineRule="auto"/>
        <w:jc w:val="both"/>
        <w:rPr>
          <w:rFonts w:ascii="Arial" w:eastAsia="Bankinter" w:hAnsi="Arial" w:cs="Arial"/>
          <w:b/>
          <w:color w:val="auto"/>
          <w:sz w:val="20"/>
          <w:szCs w:val="20"/>
          <w:u w:val="single"/>
        </w:rPr>
      </w:pPr>
      <w:bookmarkStart w:id="44" w:name="_Toc54185206"/>
    </w:p>
    <w:p w14:paraId="5B7756A8" w14:textId="58863CE8" w:rsidR="00E95030" w:rsidRPr="00554476" w:rsidRDefault="00F259E3" w:rsidP="00554476">
      <w:pPr>
        <w:pStyle w:val="Ttulo2"/>
        <w:spacing w:before="0" w:line="360" w:lineRule="auto"/>
        <w:jc w:val="both"/>
        <w:rPr>
          <w:rFonts w:ascii="Arial" w:eastAsia="Bankinter" w:hAnsi="Arial" w:cs="Arial"/>
          <w:b/>
          <w:color w:val="auto"/>
          <w:sz w:val="20"/>
          <w:szCs w:val="20"/>
          <w:u w:val="single"/>
        </w:rPr>
      </w:pPr>
      <w:r w:rsidRPr="00554476">
        <w:rPr>
          <w:rFonts w:ascii="Arial" w:eastAsia="Bankinter" w:hAnsi="Arial" w:cs="Arial"/>
          <w:b/>
          <w:color w:val="auto"/>
          <w:sz w:val="20"/>
          <w:szCs w:val="20"/>
          <w:u w:val="single"/>
        </w:rPr>
        <w:t>TERCERO</w:t>
      </w:r>
      <w:r w:rsidR="00DF7285" w:rsidRPr="00554476">
        <w:rPr>
          <w:rFonts w:ascii="Arial" w:eastAsia="Bankinter" w:hAnsi="Arial" w:cs="Arial"/>
          <w:b/>
          <w:color w:val="auto"/>
          <w:sz w:val="20"/>
          <w:szCs w:val="20"/>
          <w:u w:val="single"/>
        </w:rPr>
        <w:t>. -</w:t>
      </w:r>
      <w:r w:rsidR="00E95030" w:rsidRPr="00554476">
        <w:rPr>
          <w:rFonts w:ascii="Arial" w:eastAsia="Bankinter" w:hAnsi="Arial" w:cs="Arial"/>
          <w:b/>
          <w:color w:val="auto"/>
          <w:sz w:val="20"/>
          <w:szCs w:val="20"/>
          <w:u w:val="single"/>
        </w:rPr>
        <w:t xml:space="preserve"> Existencia de negociación individual de la cláusula de </w:t>
      </w:r>
      <w:r w:rsidR="00E95030" w:rsidRPr="00967E66">
        <w:rPr>
          <w:rFonts w:ascii="Arial" w:eastAsia="Bankinter" w:hAnsi="Arial" w:cs="Arial"/>
          <w:b/>
          <w:color w:val="auto"/>
          <w:sz w:val="20"/>
          <w:szCs w:val="20"/>
          <w:highlight w:val="cyan"/>
          <w:u w:val="single"/>
        </w:rPr>
        <w:t>gastos</w:t>
      </w:r>
      <w:r w:rsidR="00E95030" w:rsidRPr="00554476">
        <w:rPr>
          <w:rFonts w:ascii="Arial" w:eastAsia="Bankinter" w:hAnsi="Arial" w:cs="Arial"/>
          <w:b/>
          <w:color w:val="auto"/>
          <w:sz w:val="20"/>
          <w:szCs w:val="20"/>
          <w:u w:val="single"/>
        </w:rPr>
        <w:t xml:space="preserve"> de formalización.</w:t>
      </w:r>
      <w:bookmarkEnd w:id="44"/>
      <w:r w:rsidR="00E73DEE" w:rsidRPr="00554476">
        <w:rPr>
          <w:rFonts w:ascii="Arial" w:eastAsia="Bankinter" w:hAnsi="Arial" w:cs="Arial"/>
          <w:b/>
          <w:color w:val="auto"/>
          <w:sz w:val="20"/>
          <w:szCs w:val="20"/>
          <w:u w:val="single"/>
        </w:rPr>
        <w:t xml:space="preserve"> </w:t>
      </w:r>
    </w:p>
    <w:p w14:paraId="3A7BCC5D" w14:textId="77777777" w:rsidR="00F04469" w:rsidRPr="00554476" w:rsidRDefault="00F04469" w:rsidP="00554476">
      <w:pPr>
        <w:autoSpaceDE w:val="0"/>
        <w:autoSpaceDN w:val="0"/>
        <w:adjustRightInd w:val="0"/>
        <w:spacing w:after="0" w:line="360" w:lineRule="auto"/>
        <w:jc w:val="both"/>
        <w:rPr>
          <w:rFonts w:ascii="Arial" w:hAnsi="Arial" w:cs="Arial"/>
          <w:sz w:val="20"/>
          <w:szCs w:val="20"/>
        </w:rPr>
      </w:pPr>
    </w:p>
    <w:p w14:paraId="0C444D57" w14:textId="7651C83D" w:rsidR="00F73169" w:rsidRPr="00554476" w:rsidRDefault="00E95030"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 xml:space="preserve">La parte actora pretende obtener una declaración de nulidad de la cláusula de gastos incorporada en el préstamo hipotecario suscrito con mi </w:t>
      </w:r>
      <w:r w:rsidR="00CC25AD" w:rsidRPr="00554476">
        <w:rPr>
          <w:rFonts w:ascii="Arial" w:hAnsi="Arial" w:cs="Arial"/>
          <w:sz w:val="20"/>
          <w:szCs w:val="20"/>
        </w:rPr>
        <w:t>mandante.</w:t>
      </w:r>
    </w:p>
    <w:p w14:paraId="3357C212" w14:textId="77777777" w:rsidR="00F73169" w:rsidRPr="00554476" w:rsidRDefault="00F73169" w:rsidP="00554476">
      <w:pPr>
        <w:autoSpaceDE w:val="0"/>
        <w:autoSpaceDN w:val="0"/>
        <w:adjustRightInd w:val="0"/>
        <w:spacing w:after="0" w:line="360" w:lineRule="auto"/>
        <w:jc w:val="both"/>
        <w:rPr>
          <w:rFonts w:ascii="Arial" w:hAnsi="Arial" w:cs="Arial"/>
          <w:sz w:val="20"/>
          <w:szCs w:val="20"/>
        </w:rPr>
      </w:pPr>
    </w:p>
    <w:p w14:paraId="48BD009C" w14:textId="77777777" w:rsidR="00E95030" w:rsidRPr="00554476" w:rsidRDefault="00CC25AD"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P</w:t>
      </w:r>
      <w:r w:rsidR="00E95030" w:rsidRPr="00554476">
        <w:rPr>
          <w:rFonts w:ascii="Arial" w:hAnsi="Arial" w:cs="Arial"/>
          <w:sz w:val="20"/>
          <w:szCs w:val="20"/>
        </w:rPr>
        <w:t>ara justificar tal pretensión, se apoya</w:t>
      </w:r>
      <w:r w:rsidRPr="00554476">
        <w:rPr>
          <w:rFonts w:ascii="Arial" w:hAnsi="Arial" w:cs="Arial"/>
          <w:sz w:val="20"/>
          <w:szCs w:val="20"/>
        </w:rPr>
        <w:t xml:space="preserve">, de un lado, </w:t>
      </w:r>
      <w:r w:rsidR="00E95030" w:rsidRPr="00554476">
        <w:rPr>
          <w:rFonts w:ascii="Arial" w:hAnsi="Arial" w:cs="Arial"/>
          <w:sz w:val="20"/>
          <w:szCs w:val="20"/>
        </w:rPr>
        <w:t xml:space="preserve">en </w:t>
      </w:r>
      <w:r w:rsidRPr="00554476">
        <w:rPr>
          <w:rFonts w:ascii="Arial" w:hAnsi="Arial" w:cs="Arial"/>
          <w:sz w:val="20"/>
          <w:szCs w:val="20"/>
        </w:rPr>
        <w:t xml:space="preserve">la </w:t>
      </w:r>
      <w:r w:rsidR="00E95030" w:rsidRPr="00554476">
        <w:rPr>
          <w:rFonts w:ascii="Arial" w:hAnsi="Arial" w:cs="Arial"/>
          <w:sz w:val="20"/>
          <w:szCs w:val="20"/>
        </w:rPr>
        <w:t xml:space="preserve">supuesta </w:t>
      </w:r>
      <w:r w:rsidRPr="00554476">
        <w:rPr>
          <w:rFonts w:ascii="Arial" w:hAnsi="Arial" w:cs="Arial"/>
          <w:sz w:val="20"/>
          <w:szCs w:val="20"/>
        </w:rPr>
        <w:t xml:space="preserve">ausencia </w:t>
      </w:r>
      <w:r w:rsidR="00E95030" w:rsidRPr="00554476">
        <w:rPr>
          <w:rFonts w:ascii="Arial" w:hAnsi="Arial" w:cs="Arial"/>
          <w:sz w:val="20"/>
          <w:szCs w:val="20"/>
        </w:rPr>
        <w:t>de negociación y</w:t>
      </w:r>
      <w:r w:rsidRPr="00554476">
        <w:rPr>
          <w:rFonts w:ascii="Arial" w:hAnsi="Arial" w:cs="Arial"/>
          <w:sz w:val="20"/>
          <w:szCs w:val="20"/>
        </w:rPr>
        <w:t>, de otro lado,</w:t>
      </w:r>
      <w:r w:rsidR="00E95030" w:rsidRPr="00554476">
        <w:rPr>
          <w:rFonts w:ascii="Arial" w:hAnsi="Arial" w:cs="Arial"/>
          <w:sz w:val="20"/>
          <w:szCs w:val="20"/>
        </w:rPr>
        <w:t xml:space="preserve"> en </w:t>
      </w:r>
      <w:r w:rsidRPr="00554476">
        <w:rPr>
          <w:rFonts w:ascii="Arial" w:hAnsi="Arial" w:cs="Arial"/>
          <w:sz w:val="20"/>
          <w:szCs w:val="20"/>
        </w:rPr>
        <w:t xml:space="preserve">el carácter abusivo </w:t>
      </w:r>
      <w:r w:rsidR="00E95030" w:rsidRPr="00554476">
        <w:rPr>
          <w:rFonts w:ascii="Arial" w:hAnsi="Arial" w:cs="Arial"/>
          <w:sz w:val="20"/>
          <w:szCs w:val="20"/>
        </w:rPr>
        <w:t>de la cláusula, remitiéndose</w:t>
      </w:r>
      <w:r w:rsidRPr="00554476">
        <w:rPr>
          <w:rFonts w:ascii="Arial" w:hAnsi="Arial" w:cs="Arial"/>
          <w:sz w:val="20"/>
          <w:szCs w:val="20"/>
        </w:rPr>
        <w:t>,</w:t>
      </w:r>
      <w:r w:rsidR="00E95030" w:rsidRPr="00554476">
        <w:rPr>
          <w:rFonts w:ascii="Arial" w:hAnsi="Arial" w:cs="Arial"/>
          <w:sz w:val="20"/>
          <w:szCs w:val="20"/>
        </w:rPr>
        <w:t xml:space="preserve"> fundamentalmente</w:t>
      </w:r>
      <w:r w:rsidRPr="00554476">
        <w:rPr>
          <w:rFonts w:ascii="Arial" w:hAnsi="Arial" w:cs="Arial"/>
          <w:sz w:val="20"/>
          <w:szCs w:val="20"/>
        </w:rPr>
        <w:t>,</w:t>
      </w:r>
      <w:r w:rsidR="00E95030" w:rsidRPr="00554476">
        <w:rPr>
          <w:rFonts w:ascii="Arial" w:hAnsi="Arial" w:cs="Arial"/>
          <w:sz w:val="20"/>
          <w:szCs w:val="20"/>
        </w:rPr>
        <w:t xml:space="preserve"> </w:t>
      </w:r>
      <w:r w:rsidRPr="00554476">
        <w:rPr>
          <w:rFonts w:ascii="Arial" w:hAnsi="Arial" w:cs="Arial"/>
          <w:sz w:val="20"/>
          <w:szCs w:val="20"/>
        </w:rPr>
        <w:t xml:space="preserve">a </w:t>
      </w:r>
      <w:r w:rsidR="00E95030" w:rsidRPr="00554476">
        <w:rPr>
          <w:rFonts w:ascii="Arial" w:hAnsi="Arial" w:cs="Arial"/>
          <w:sz w:val="20"/>
          <w:szCs w:val="20"/>
        </w:rPr>
        <w:t>la Sentencia núm. 705/2015</w:t>
      </w:r>
      <w:r w:rsidRPr="00554476">
        <w:rPr>
          <w:rFonts w:ascii="Arial" w:hAnsi="Arial" w:cs="Arial"/>
          <w:sz w:val="20"/>
          <w:szCs w:val="20"/>
        </w:rPr>
        <w:t>,</w:t>
      </w:r>
      <w:r w:rsidR="00E95030" w:rsidRPr="00554476">
        <w:rPr>
          <w:rFonts w:ascii="Arial" w:hAnsi="Arial" w:cs="Arial"/>
          <w:sz w:val="20"/>
          <w:szCs w:val="20"/>
        </w:rPr>
        <w:t xml:space="preserve"> </w:t>
      </w:r>
      <w:r w:rsidRPr="00554476">
        <w:rPr>
          <w:rFonts w:ascii="Arial" w:hAnsi="Arial" w:cs="Arial"/>
          <w:sz w:val="20"/>
          <w:szCs w:val="20"/>
        </w:rPr>
        <w:t>de 23 de diciembre</w:t>
      </w:r>
      <w:r w:rsidR="00A90F2D" w:rsidRPr="00554476">
        <w:rPr>
          <w:rFonts w:ascii="Arial" w:hAnsi="Arial" w:cs="Arial"/>
          <w:sz w:val="20"/>
          <w:szCs w:val="20"/>
        </w:rPr>
        <w:t>,</w:t>
      </w:r>
      <w:r w:rsidRPr="00554476">
        <w:rPr>
          <w:rFonts w:ascii="Arial" w:hAnsi="Arial" w:cs="Arial"/>
          <w:sz w:val="20"/>
          <w:szCs w:val="20"/>
        </w:rPr>
        <w:t xml:space="preserve"> de la Sala Primera </w:t>
      </w:r>
      <w:r w:rsidR="00E95030" w:rsidRPr="00554476">
        <w:rPr>
          <w:rFonts w:ascii="Arial" w:hAnsi="Arial" w:cs="Arial"/>
          <w:sz w:val="20"/>
          <w:szCs w:val="20"/>
        </w:rPr>
        <w:t>del Tribunal Supremo</w:t>
      </w:r>
      <w:r w:rsidR="00E73DEE" w:rsidRPr="00554476">
        <w:rPr>
          <w:rFonts w:ascii="Arial" w:hAnsi="Arial" w:cs="Arial"/>
          <w:sz w:val="20"/>
          <w:szCs w:val="20"/>
        </w:rPr>
        <w:t>,</w:t>
      </w:r>
      <w:r w:rsidR="005866CC" w:rsidRPr="00554476">
        <w:rPr>
          <w:rFonts w:ascii="Arial" w:hAnsi="Arial" w:cs="Arial"/>
          <w:sz w:val="20"/>
          <w:szCs w:val="20"/>
        </w:rPr>
        <w:t xml:space="preserve"> </w:t>
      </w:r>
      <w:r w:rsidR="00E73DEE" w:rsidRPr="00554476">
        <w:rPr>
          <w:rFonts w:ascii="Arial" w:hAnsi="Arial" w:cs="Arial"/>
          <w:sz w:val="20"/>
          <w:szCs w:val="20"/>
        </w:rPr>
        <w:t>c</w:t>
      </w:r>
      <w:r w:rsidR="005866CC" w:rsidRPr="00554476">
        <w:rPr>
          <w:rFonts w:ascii="Arial" w:hAnsi="Arial" w:cs="Arial"/>
          <w:sz w:val="20"/>
          <w:szCs w:val="20"/>
        </w:rPr>
        <w:t>uestiones sobre las que esta parte muestra su total disconformidad conforme expondremos a continuación.</w:t>
      </w:r>
    </w:p>
    <w:p w14:paraId="15CD32DF" w14:textId="77777777" w:rsidR="00E95030" w:rsidRPr="00554476" w:rsidRDefault="00E95030" w:rsidP="00554476">
      <w:pPr>
        <w:autoSpaceDE w:val="0"/>
        <w:autoSpaceDN w:val="0"/>
        <w:adjustRightInd w:val="0"/>
        <w:spacing w:after="0" w:line="360" w:lineRule="auto"/>
        <w:jc w:val="both"/>
        <w:rPr>
          <w:rFonts w:ascii="Arial" w:hAnsi="Arial" w:cs="Arial"/>
          <w:sz w:val="20"/>
          <w:szCs w:val="20"/>
        </w:rPr>
      </w:pPr>
    </w:p>
    <w:p w14:paraId="7C255273" w14:textId="77777777" w:rsidR="00A457CB" w:rsidRPr="00554476" w:rsidRDefault="00A457CB"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Tal</w:t>
      </w:r>
      <w:r w:rsidR="00A90F2D" w:rsidRPr="00554476">
        <w:rPr>
          <w:rFonts w:ascii="Arial" w:hAnsi="Arial" w:cs="Arial"/>
          <w:sz w:val="20"/>
          <w:szCs w:val="20"/>
        </w:rPr>
        <w:t xml:space="preserve"> y como consta en el H</w:t>
      </w:r>
      <w:r w:rsidRPr="00554476">
        <w:rPr>
          <w:rFonts w:ascii="Arial" w:hAnsi="Arial" w:cs="Arial"/>
          <w:sz w:val="20"/>
          <w:szCs w:val="20"/>
        </w:rPr>
        <w:t xml:space="preserve">echo </w:t>
      </w:r>
      <w:r w:rsidR="008831CC" w:rsidRPr="00554476">
        <w:rPr>
          <w:rFonts w:ascii="Arial" w:hAnsi="Arial" w:cs="Arial"/>
          <w:sz w:val="20"/>
          <w:szCs w:val="20"/>
        </w:rPr>
        <w:t>Segundo</w:t>
      </w:r>
      <w:r w:rsidRPr="00554476">
        <w:rPr>
          <w:rFonts w:ascii="Arial" w:hAnsi="Arial" w:cs="Arial"/>
          <w:sz w:val="20"/>
          <w:szCs w:val="20"/>
        </w:rPr>
        <w:t xml:space="preserve"> del presente escrito, </w:t>
      </w:r>
      <w:r w:rsidR="00A90F2D" w:rsidRPr="00554476">
        <w:rPr>
          <w:rFonts w:ascii="Arial" w:hAnsi="Arial" w:cs="Arial"/>
          <w:sz w:val="20"/>
          <w:szCs w:val="20"/>
        </w:rPr>
        <w:t xml:space="preserve">resulta </w:t>
      </w:r>
      <w:r w:rsidRPr="00554476">
        <w:rPr>
          <w:rFonts w:ascii="Arial" w:hAnsi="Arial" w:cs="Arial"/>
          <w:sz w:val="20"/>
          <w:szCs w:val="20"/>
        </w:rPr>
        <w:t xml:space="preserve">acreditado que la cláusula </w:t>
      </w:r>
      <w:r w:rsidR="00A90F2D" w:rsidRPr="00554476">
        <w:rPr>
          <w:rFonts w:ascii="Arial" w:hAnsi="Arial" w:cs="Arial"/>
          <w:sz w:val="20"/>
          <w:szCs w:val="20"/>
        </w:rPr>
        <w:t xml:space="preserve">respecto </w:t>
      </w:r>
      <w:r w:rsidR="004A055E" w:rsidRPr="00554476">
        <w:rPr>
          <w:rFonts w:ascii="Arial" w:hAnsi="Arial" w:cs="Arial"/>
          <w:sz w:val="20"/>
          <w:szCs w:val="20"/>
        </w:rPr>
        <w:t xml:space="preserve">de </w:t>
      </w:r>
      <w:r w:rsidR="00222997" w:rsidRPr="00554476">
        <w:rPr>
          <w:rFonts w:ascii="Arial" w:hAnsi="Arial" w:cs="Arial"/>
          <w:sz w:val="20"/>
          <w:szCs w:val="20"/>
        </w:rPr>
        <w:t>la que se pretende la</w:t>
      </w:r>
      <w:r w:rsidRPr="00554476">
        <w:rPr>
          <w:rFonts w:ascii="Arial" w:hAnsi="Arial" w:cs="Arial"/>
          <w:sz w:val="20"/>
          <w:szCs w:val="20"/>
        </w:rPr>
        <w:t xml:space="preserve"> nulidad</w:t>
      </w:r>
      <w:r w:rsidR="00A90F2D" w:rsidRPr="00554476">
        <w:rPr>
          <w:rFonts w:ascii="Arial" w:hAnsi="Arial" w:cs="Arial"/>
          <w:sz w:val="20"/>
          <w:szCs w:val="20"/>
        </w:rPr>
        <w:t>,</w:t>
      </w:r>
      <w:r w:rsidRPr="00554476">
        <w:rPr>
          <w:rFonts w:ascii="Arial" w:hAnsi="Arial" w:cs="Arial"/>
          <w:sz w:val="20"/>
          <w:szCs w:val="20"/>
        </w:rPr>
        <w:t xml:space="preserve"> fue negocia</w:t>
      </w:r>
      <w:r w:rsidR="00A90F2D" w:rsidRPr="00554476">
        <w:rPr>
          <w:rFonts w:ascii="Arial" w:hAnsi="Arial" w:cs="Arial"/>
          <w:sz w:val="20"/>
          <w:szCs w:val="20"/>
        </w:rPr>
        <w:t xml:space="preserve">da </w:t>
      </w:r>
      <w:r w:rsidR="00E17248" w:rsidRPr="00554476">
        <w:rPr>
          <w:rFonts w:ascii="Arial" w:hAnsi="Arial" w:cs="Arial"/>
          <w:sz w:val="20"/>
          <w:szCs w:val="20"/>
        </w:rPr>
        <w:t xml:space="preserve">o, en todo caso, fue consentida expresamente por el cliente </w:t>
      </w:r>
      <w:r w:rsidR="00A90F2D" w:rsidRPr="00554476">
        <w:rPr>
          <w:rFonts w:ascii="Arial" w:hAnsi="Arial" w:cs="Arial"/>
          <w:sz w:val="20"/>
          <w:szCs w:val="20"/>
        </w:rPr>
        <w:t xml:space="preserve">y, por tanto, </w:t>
      </w:r>
      <w:r w:rsidR="002041A8" w:rsidRPr="00554476">
        <w:rPr>
          <w:rFonts w:ascii="Arial" w:hAnsi="Arial" w:cs="Arial"/>
          <w:sz w:val="20"/>
          <w:szCs w:val="20"/>
        </w:rPr>
        <w:t xml:space="preserve">carece del </w:t>
      </w:r>
      <w:r w:rsidR="00A90F2D" w:rsidRPr="00554476">
        <w:rPr>
          <w:rFonts w:ascii="Arial" w:hAnsi="Arial" w:cs="Arial"/>
          <w:sz w:val="20"/>
          <w:szCs w:val="20"/>
        </w:rPr>
        <w:t xml:space="preserve">carácter </w:t>
      </w:r>
      <w:r w:rsidRPr="00554476">
        <w:rPr>
          <w:rFonts w:ascii="Arial" w:hAnsi="Arial" w:cs="Arial"/>
          <w:sz w:val="20"/>
          <w:szCs w:val="20"/>
        </w:rPr>
        <w:t>de condi</w:t>
      </w:r>
      <w:r w:rsidR="002D50AD" w:rsidRPr="00554476">
        <w:rPr>
          <w:rFonts w:ascii="Arial" w:hAnsi="Arial" w:cs="Arial"/>
          <w:sz w:val="20"/>
          <w:szCs w:val="20"/>
        </w:rPr>
        <w:t>ción general de la contratación</w:t>
      </w:r>
      <w:r w:rsidR="00A90F2D" w:rsidRPr="00554476">
        <w:rPr>
          <w:rFonts w:ascii="Arial" w:hAnsi="Arial" w:cs="Arial"/>
          <w:sz w:val="20"/>
          <w:szCs w:val="20"/>
        </w:rPr>
        <w:t>.</w:t>
      </w:r>
    </w:p>
    <w:p w14:paraId="3ED903E2" w14:textId="77777777" w:rsidR="00A457CB" w:rsidRPr="00554476" w:rsidRDefault="00A457CB" w:rsidP="00554476">
      <w:pPr>
        <w:autoSpaceDE w:val="0"/>
        <w:autoSpaceDN w:val="0"/>
        <w:adjustRightInd w:val="0"/>
        <w:spacing w:after="0" w:line="360" w:lineRule="auto"/>
        <w:jc w:val="both"/>
        <w:rPr>
          <w:rFonts w:ascii="Arial" w:hAnsi="Arial" w:cs="Arial"/>
          <w:sz w:val="20"/>
          <w:szCs w:val="20"/>
        </w:rPr>
      </w:pPr>
    </w:p>
    <w:p w14:paraId="2676C38E" w14:textId="77777777" w:rsidR="00F73169" w:rsidRPr="00554476" w:rsidRDefault="00C228F2" w:rsidP="00554476">
      <w:pPr>
        <w:pStyle w:val="Sinespaciado"/>
        <w:spacing w:line="360" w:lineRule="auto"/>
        <w:jc w:val="both"/>
        <w:rPr>
          <w:rFonts w:ascii="Arial" w:hAnsi="Arial" w:cs="Arial"/>
          <w:sz w:val="20"/>
          <w:szCs w:val="20"/>
        </w:rPr>
      </w:pPr>
      <w:r w:rsidRPr="00554476">
        <w:rPr>
          <w:rFonts w:ascii="Arial" w:hAnsi="Arial" w:cs="Arial"/>
          <w:sz w:val="20"/>
          <w:szCs w:val="20"/>
        </w:rPr>
        <w:t>Por tanto, l</w:t>
      </w:r>
      <w:r w:rsidR="00F73169" w:rsidRPr="00554476">
        <w:rPr>
          <w:rFonts w:ascii="Arial" w:hAnsi="Arial" w:cs="Arial"/>
          <w:sz w:val="20"/>
          <w:szCs w:val="20"/>
        </w:rPr>
        <w:t xml:space="preserve">a cláusula de gastos </w:t>
      </w:r>
      <w:r w:rsidR="002D50AD" w:rsidRPr="00554476">
        <w:rPr>
          <w:rFonts w:ascii="Arial" w:hAnsi="Arial" w:cs="Arial"/>
          <w:sz w:val="20"/>
          <w:szCs w:val="20"/>
        </w:rPr>
        <w:t xml:space="preserve">es </w:t>
      </w:r>
      <w:r w:rsidRPr="00554476">
        <w:rPr>
          <w:rFonts w:ascii="Arial" w:hAnsi="Arial" w:cs="Arial"/>
          <w:sz w:val="20"/>
          <w:szCs w:val="20"/>
        </w:rPr>
        <w:t xml:space="preserve">consecuencia </w:t>
      </w:r>
      <w:r w:rsidR="00F73169" w:rsidRPr="00554476">
        <w:rPr>
          <w:rFonts w:ascii="Arial" w:hAnsi="Arial" w:cs="Arial"/>
          <w:sz w:val="20"/>
          <w:szCs w:val="20"/>
        </w:rPr>
        <w:t xml:space="preserve">de la libertad contractual de la que disponen las partes de conformidad con lo establecido en el artículo 1255 del </w:t>
      </w:r>
      <w:r w:rsidR="002D50AD" w:rsidRPr="00554476">
        <w:rPr>
          <w:rFonts w:ascii="Arial" w:hAnsi="Arial" w:cs="Arial"/>
          <w:sz w:val="20"/>
          <w:szCs w:val="20"/>
        </w:rPr>
        <w:t>CC</w:t>
      </w:r>
      <w:r w:rsidR="00271218" w:rsidRPr="00554476">
        <w:rPr>
          <w:rFonts w:ascii="Arial" w:hAnsi="Arial" w:cs="Arial"/>
          <w:sz w:val="20"/>
          <w:szCs w:val="20"/>
        </w:rPr>
        <w:t>.</w:t>
      </w:r>
    </w:p>
    <w:p w14:paraId="3538D8E2" w14:textId="77777777" w:rsidR="00F73169" w:rsidRPr="00554476" w:rsidRDefault="00F73169" w:rsidP="00554476">
      <w:pPr>
        <w:autoSpaceDE w:val="0"/>
        <w:autoSpaceDN w:val="0"/>
        <w:adjustRightInd w:val="0"/>
        <w:spacing w:after="0" w:line="360" w:lineRule="auto"/>
        <w:jc w:val="both"/>
        <w:rPr>
          <w:rFonts w:ascii="Arial" w:hAnsi="Arial" w:cs="Arial"/>
          <w:sz w:val="20"/>
          <w:szCs w:val="20"/>
        </w:rPr>
      </w:pPr>
    </w:p>
    <w:p w14:paraId="60E515B7" w14:textId="77777777" w:rsidR="00A457CB" w:rsidRPr="00554476" w:rsidRDefault="002D50AD"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Precisamente, e</w:t>
      </w:r>
      <w:r w:rsidR="00A457CB" w:rsidRPr="00554476">
        <w:rPr>
          <w:rFonts w:ascii="Arial" w:hAnsi="Arial" w:cs="Arial"/>
          <w:sz w:val="20"/>
          <w:szCs w:val="20"/>
        </w:rPr>
        <w:t xml:space="preserve">l artículo 1 de la Ley </w:t>
      </w:r>
      <w:r w:rsidR="00D57057" w:rsidRPr="00554476">
        <w:rPr>
          <w:rFonts w:ascii="Arial" w:hAnsi="Arial" w:cs="Arial"/>
          <w:sz w:val="20"/>
          <w:szCs w:val="20"/>
        </w:rPr>
        <w:t xml:space="preserve">7/1998, de 13 de abril, sobre </w:t>
      </w:r>
      <w:r w:rsidR="00A457CB" w:rsidRPr="00554476">
        <w:rPr>
          <w:rFonts w:ascii="Arial" w:hAnsi="Arial" w:cs="Arial"/>
          <w:sz w:val="20"/>
          <w:szCs w:val="20"/>
        </w:rPr>
        <w:t xml:space="preserve">de Condiciones Generales de </w:t>
      </w:r>
      <w:r w:rsidR="00D57057" w:rsidRPr="00554476">
        <w:rPr>
          <w:rFonts w:ascii="Arial" w:hAnsi="Arial" w:cs="Arial"/>
          <w:sz w:val="20"/>
          <w:szCs w:val="20"/>
        </w:rPr>
        <w:t xml:space="preserve">la </w:t>
      </w:r>
      <w:r w:rsidR="00A457CB" w:rsidRPr="00554476">
        <w:rPr>
          <w:rFonts w:ascii="Arial" w:hAnsi="Arial" w:cs="Arial"/>
          <w:sz w:val="20"/>
          <w:szCs w:val="20"/>
        </w:rPr>
        <w:t>Contratación</w:t>
      </w:r>
      <w:r w:rsidR="002041A8" w:rsidRPr="00554476">
        <w:rPr>
          <w:rFonts w:ascii="Arial" w:hAnsi="Arial" w:cs="Arial"/>
          <w:sz w:val="20"/>
          <w:szCs w:val="20"/>
        </w:rPr>
        <w:t xml:space="preserve"> (en adelante, LCGC)</w:t>
      </w:r>
      <w:r w:rsidR="00A457CB" w:rsidRPr="00554476">
        <w:rPr>
          <w:rFonts w:ascii="Arial" w:hAnsi="Arial" w:cs="Arial"/>
          <w:sz w:val="20"/>
          <w:szCs w:val="20"/>
        </w:rPr>
        <w:t>, excluye de su ámbito de aplicación, aquéllas cláusulas que hayan sido negocia</w:t>
      </w:r>
      <w:r w:rsidR="002041A8" w:rsidRPr="00554476">
        <w:rPr>
          <w:rFonts w:ascii="Arial" w:hAnsi="Arial" w:cs="Arial"/>
          <w:sz w:val="20"/>
          <w:szCs w:val="20"/>
        </w:rPr>
        <w:t>das individualmente:</w:t>
      </w:r>
      <w:r w:rsidR="00A457CB" w:rsidRPr="00554476">
        <w:rPr>
          <w:rFonts w:ascii="Arial" w:hAnsi="Arial" w:cs="Arial"/>
          <w:sz w:val="20"/>
          <w:szCs w:val="20"/>
        </w:rPr>
        <w:t xml:space="preserve"> </w:t>
      </w:r>
    </w:p>
    <w:p w14:paraId="4F7EEF7C" w14:textId="77777777" w:rsidR="00A457CB" w:rsidRPr="00554476" w:rsidRDefault="00A457CB" w:rsidP="00554476">
      <w:pPr>
        <w:autoSpaceDE w:val="0"/>
        <w:autoSpaceDN w:val="0"/>
        <w:adjustRightInd w:val="0"/>
        <w:spacing w:after="0" w:line="360" w:lineRule="auto"/>
        <w:jc w:val="both"/>
        <w:rPr>
          <w:rFonts w:ascii="Arial" w:hAnsi="Arial" w:cs="Arial"/>
          <w:sz w:val="20"/>
          <w:szCs w:val="20"/>
        </w:rPr>
      </w:pPr>
    </w:p>
    <w:p w14:paraId="53B6585D" w14:textId="77777777" w:rsidR="00A457CB" w:rsidRPr="00554476" w:rsidRDefault="00A457CB" w:rsidP="00967E66">
      <w:pPr>
        <w:autoSpaceDE w:val="0"/>
        <w:autoSpaceDN w:val="0"/>
        <w:adjustRightInd w:val="0"/>
        <w:spacing w:after="0" w:line="360" w:lineRule="auto"/>
        <w:ind w:left="709" w:right="-1" w:hanging="1"/>
        <w:jc w:val="both"/>
        <w:rPr>
          <w:rFonts w:ascii="Arial" w:hAnsi="Arial" w:cs="Arial"/>
          <w:i/>
          <w:sz w:val="20"/>
          <w:szCs w:val="20"/>
        </w:rPr>
      </w:pPr>
      <w:r w:rsidRPr="00554476">
        <w:rPr>
          <w:rFonts w:ascii="Arial" w:hAnsi="Arial" w:cs="Arial"/>
          <w:sz w:val="20"/>
          <w:szCs w:val="20"/>
        </w:rPr>
        <w:t>“</w:t>
      </w:r>
      <w:r w:rsidR="00D57057" w:rsidRPr="00554476">
        <w:rPr>
          <w:rFonts w:ascii="Arial" w:hAnsi="Arial" w:cs="Arial"/>
          <w:i/>
          <w:sz w:val="20"/>
          <w:szCs w:val="20"/>
        </w:rPr>
        <w:t xml:space="preserve">1. </w:t>
      </w:r>
      <w:r w:rsidRPr="00554476">
        <w:rPr>
          <w:rFonts w:ascii="Arial" w:hAnsi="Arial" w:cs="Arial"/>
          <w:i/>
          <w:sz w:val="20"/>
          <w:szCs w:val="20"/>
        </w:rPr>
        <w:t>Son condiciones generales de la contratación las cláusulas predispuestas cuya incorporación al contrato sea impuesta por una de las partes, con independencia de la autoría material de las mismas, de su apariencia externa, de su extensión y de cualesquiera otras circunstancias, habiendo sido redactadas con la finalidad de ser incorporadas a una pluralidad de contratos.</w:t>
      </w:r>
    </w:p>
    <w:p w14:paraId="1568CC58" w14:textId="77777777" w:rsidR="00A457CB" w:rsidRPr="00554476" w:rsidRDefault="00A457CB" w:rsidP="00967E66">
      <w:pPr>
        <w:autoSpaceDE w:val="0"/>
        <w:autoSpaceDN w:val="0"/>
        <w:adjustRightInd w:val="0"/>
        <w:spacing w:after="0" w:line="360" w:lineRule="auto"/>
        <w:ind w:left="709" w:right="-1" w:hanging="1"/>
        <w:jc w:val="both"/>
        <w:rPr>
          <w:rFonts w:ascii="Arial" w:hAnsi="Arial" w:cs="Arial"/>
          <w:i/>
          <w:sz w:val="20"/>
          <w:szCs w:val="20"/>
        </w:rPr>
      </w:pPr>
    </w:p>
    <w:p w14:paraId="7073F64D" w14:textId="77777777" w:rsidR="00A457CB" w:rsidRPr="00554476" w:rsidRDefault="00A457CB" w:rsidP="00967E66">
      <w:pPr>
        <w:autoSpaceDE w:val="0"/>
        <w:autoSpaceDN w:val="0"/>
        <w:adjustRightInd w:val="0"/>
        <w:spacing w:after="0" w:line="360" w:lineRule="auto"/>
        <w:ind w:left="709" w:right="-1" w:hanging="1"/>
        <w:jc w:val="both"/>
        <w:rPr>
          <w:rFonts w:ascii="Arial" w:hAnsi="Arial" w:cs="Arial"/>
          <w:sz w:val="20"/>
          <w:szCs w:val="20"/>
        </w:rPr>
      </w:pPr>
      <w:r w:rsidRPr="00554476">
        <w:rPr>
          <w:rFonts w:ascii="Arial" w:hAnsi="Arial" w:cs="Arial"/>
          <w:i/>
          <w:sz w:val="20"/>
          <w:szCs w:val="20"/>
        </w:rPr>
        <w:t>2. El hecho de que ciertos elementos de una cláusula o que una o varias cláusulas aisladas se hayan negociado individualmente no excluirá la aplicación de esta Ley al resto del contrato si la apreciación global lleva a la conclusión de que se trata de un contrato de adhesión</w:t>
      </w:r>
      <w:r w:rsidR="004A055E" w:rsidRPr="00554476">
        <w:rPr>
          <w:rFonts w:ascii="Arial" w:hAnsi="Arial" w:cs="Arial"/>
          <w:i/>
          <w:sz w:val="20"/>
          <w:szCs w:val="20"/>
        </w:rPr>
        <w:t>.</w:t>
      </w:r>
      <w:r w:rsidRPr="00554476">
        <w:rPr>
          <w:rFonts w:ascii="Arial" w:hAnsi="Arial" w:cs="Arial"/>
          <w:sz w:val="20"/>
          <w:szCs w:val="20"/>
        </w:rPr>
        <w:t>”</w:t>
      </w:r>
    </w:p>
    <w:p w14:paraId="2BBCD9DD" w14:textId="77777777" w:rsidR="002041A8" w:rsidRPr="00554476" w:rsidRDefault="002041A8" w:rsidP="00554476">
      <w:pPr>
        <w:autoSpaceDE w:val="0"/>
        <w:autoSpaceDN w:val="0"/>
        <w:adjustRightInd w:val="0"/>
        <w:spacing w:after="0" w:line="360" w:lineRule="auto"/>
        <w:jc w:val="both"/>
        <w:rPr>
          <w:rFonts w:ascii="Arial" w:hAnsi="Arial" w:cs="Arial"/>
          <w:sz w:val="20"/>
          <w:szCs w:val="20"/>
        </w:rPr>
      </w:pPr>
    </w:p>
    <w:p w14:paraId="06FED0B9" w14:textId="77777777" w:rsidR="00A457CB" w:rsidRPr="00554476" w:rsidRDefault="00A457CB"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 xml:space="preserve">En este sentido se </w:t>
      </w:r>
      <w:r w:rsidR="00DC37EC" w:rsidRPr="00554476">
        <w:rPr>
          <w:rFonts w:ascii="Arial" w:hAnsi="Arial" w:cs="Arial"/>
          <w:sz w:val="20"/>
          <w:szCs w:val="20"/>
        </w:rPr>
        <w:t xml:space="preserve">ha </w:t>
      </w:r>
      <w:r w:rsidRPr="00554476">
        <w:rPr>
          <w:rFonts w:ascii="Arial" w:hAnsi="Arial" w:cs="Arial"/>
          <w:sz w:val="20"/>
          <w:szCs w:val="20"/>
        </w:rPr>
        <w:t>pronunci</w:t>
      </w:r>
      <w:r w:rsidR="00DC37EC" w:rsidRPr="00554476">
        <w:rPr>
          <w:rFonts w:ascii="Arial" w:hAnsi="Arial" w:cs="Arial"/>
          <w:sz w:val="20"/>
          <w:szCs w:val="20"/>
        </w:rPr>
        <w:t xml:space="preserve">ado </w:t>
      </w:r>
      <w:r w:rsidR="0031360C" w:rsidRPr="00554476">
        <w:rPr>
          <w:rFonts w:ascii="Arial" w:hAnsi="Arial" w:cs="Arial"/>
          <w:sz w:val="20"/>
          <w:szCs w:val="20"/>
        </w:rPr>
        <w:t xml:space="preserve">la </w:t>
      </w:r>
      <w:r w:rsidR="0031360C" w:rsidRPr="00554476">
        <w:rPr>
          <w:rFonts w:ascii="Arial" w:hAnsi="Arial" w:cs="Arial"/>
          <w:b/>
          <w:bCs/>
          <w:sz w:val="20"/>
          <w:szCs w:val="20"/>
          <w:u w:val="single"/>
        </w:rPr>
        <w:t xml:space="preserve">Sentencia núm. 171/2017, de 9 de marzo, de la Sala Primera del </w:t>
      </w:r>
      <w:r w:rsidRPr="00554476">
        <w:rPr>
          <w:rFonts w:ascii="Arial" w:hAnsi="Arial" w:cs="Arial"/>
          <w:b/>
          <w:bCs/>
          <w:sz w:val="20"/>
          <w:szCs w:val="20"/>
          <w:u w:val="single"/>
        </w:rPr>
        <w:t>Tribunal Supremo</w:t>
      </w:r>
      <w:r w:rsidRPr="00554476">
        <w:rPr>
          <w:rFonts w:ascii="Arial" w:hAnsi="Arial" w:cs="Arial"/>
          <w:sz w:val="20"/>
          <w:szCs w:val="20"/>
        </w:rPr>
        <w:t>,</w:t>
      </w:r>
      <w:r w:rsidR="00DC37EC" w:rsidRPr="00554476">
        <w:rPr>
          <w:rFonts w:ascii="Arial" w:hAnsi="Arial" w:cs="Arial"/>
          <w:sz w:val="20"/>
          <w:szCs w:val="20"/>
        </w:rPr>
        <w:t xml:space="preserve"> en la </w:t>
      </w:r>
      <w:r w:rsidRPr="00554476">
        <w:rPr>
          <w:rFonts w:ascii="Arial" w:hAnsi="Arial" w:cs="Arial"/>
          <w:sz w:val="20"/>
          <w:szCs w:val="20"/>
        </w:rPr>
        <w:t>que</w:t>
      </w:r>
      <w:r w:rsidR="00DC37EC" w:rsidRPr="00554476">
        <w:rPr>
          <w:rFonts w:ascii="Arial" w:hAnsi="Arial" w:cs="Arial"/>
          <w:sz w:val="20"/>
          <w:szCs w:val="20"/>
        </w:rPr>
        <w:t xml:space="preserve"> se establece que</w:t>
      </w:r>
      <w:r w:rsidRPr="00554476">
        <w:rPr>
          <w:rFonts w:ascii="Arial" w:hAnsi="Arial" w:cs="Arial"/>
          <w:sz w:val="20"/>
          <w:szCs w:val="20"/>
        </w:rPr>
        <w:t xml:space="preserve">, si bien el supuesto analizado era la nulidad de una cláusula suelo contenida en un contrato de préstamo hipotecario, la fundamentación jurídica que realiza la Sala resulta plenamente aplicable al </w:t>
      </w:r>
      <w:r w:rsidR="00DB7A82" w:rsidRPr="00554476">
        <w:rPr>
          <w:rFonts w:ascii="Arial" w:hAnsi="Arial" w:cs="Arial"/>
          <w:sz w:val="20"/>
          <w:szCs w:val="20"/>
        </w:rPr>
        <w:t xml:space="preserve">presente </w:t>
      </w:r>
      <w:r w:rsidRPr="00554476">
        <w:rPr>
          <w:rFonts w:ascii="Arial" w:hAnsi="Arial" w:cs="Arial"/>
          <w:sz w:val="20"/>
          <w:szCs w:val="20"/>
        </w:rPr>
        <w:t>caso</w:t>
      </w:r>
      <w:r w:rsidR="00C432D1" w:rsidRPr="00554476">
        <w:rPr>
          <w:rFonts w:ascii="Arial" w:hAnsi="Arial" w:cs="Arial"/>
          <w:sz w:val="20"/>
          <w:szCs w:val="20"/>
        </w:rPr>
        <w:t xml:space="preserve"> dado: </w:t>
      </w:r>
    </w:p>
    <w:p w14:paraId="789A1016" w14:textId="77777777" w:rsidR="00A457CB" w:rsidRPr="00554476" w:rsidRDefault="00A457CB" w:rsidP="00554476">
      <w:pPr>
        <w:autoSpaceDE w:val="0"/>
        <w:autoSpaceDN w:val="0"/>
        <w:adjustRightInd w:val="0"/>
        <w:spacing w:after="0" w:line="360" w:lineRule="auto"/>
        <w:jc w:val="both"/>
        <w:rPr>
          <w:rFonts w:ascii="Arial" w:hAnsi="Arial" w:cs="Arial"/>
          <w:sz w:val="20"/>
          <w:szCs w:val="20"/>
        </w:rPr>
      </w:pPr>
    </w:p>
    <w:p w14:paraId="496815C0" w14:textId="77777777" w:rsidR="00A457CB" w:rsidRPr="00554476" w:rsidRDefault="00A457CB" w:rsidP="00967E66">
      <w:pPr>
        <w:autoSpaceDE w:val="0"/>
        <w:autoSpaceDN w:val="0"/>
        <w:adjustRightInd w:val="0"/>
        <w:spacing w:after="0" w:line="360" w:lineRule="auto"/>
        <w:ind w:left="709" w:right="-1" w:hanging="1"/>
        <w:jc w:val="both"/>
        <w:rPr>
          <w:rFonts w:ascii="Arial" w:hAnsi="Arial" w:cs="Arial"/>
          <w:i/>
          <w:sz w:val="20"/>
          <w:szCs w:val="20"/>
        </w:rPr>
      </w:pPr>
      <w:r w:rsidRPr="00554476">
        <w:rPr>
          <w:rFonts w:ascii="Arial" w:hAnsi="Arial" w:cs="Arial"/>
          <w:sz w:val="20"/>
          <w:szCs w:val="20"/>
        </w:rPr>
        <w:lastRenderedPageBreak/>
        <w:t>“</w:t>
      </w:r>
      <w:r w:rsidRPr="00554476">
        <w:rPr>
          <w:rFonts w:ascii="Arial" w:hAnsi="Arial" w:cs="Arial"/>
          <w:i/>
          <w:sz w:val="20"/>
          <w:szCs w:val="20"/>
        </w:rPr>
        <w:t>(…)</w:t>
      </w:r>
      <w:r w:rsidR="00C12CAC" w:rsidRPr="00554476">
        <w:rPr>
          <w:rFonts w:ascii="Arial" w:hAnsi="Arial" w:cs="Arial"/>
          <w:sz w:val="20"/>
          <w:szCs w:val="20"/>
        </w:rPr>
        <w:t xml:space="preserve"> </w:t>
      </w:r>
      <w:r w:rsidRPr="00554476">
        <w:rPr>
          <w:rFonts w:ascii="Arial" w:hAnsi="Arial" w:cs="Arial"/>
          <w:i/>
          <w:sz w:val="20"/>
          <w:szCs w:val="20"/>
        </w:rPr>
        <w:t>Si no fuera por el respeto debido a lo que ha sido objeto de debate entre las partes, este hecho declarado probado por la Audiencia hubiera permitido que nos cuestionáramos en qué medida en este contrato la cláusula suelo no había sido predispuesta por el banco, al haber sido negociada, y si por ello no resultaba de aplicación la normativa y la jurisprudencia sobre cláusulas abusivas, al quedar en entredicho la propia cualidad de condición general de la contratación de la cláusula litigiosa”.</w:t>
      </w:r>
    </w:p>
    <w:p w14:paraId="39174709" w14:textId="77777777" w:rsidR="00A457CB" w:rsidRPr="00554476" w:rsidRDefault="00A457CB" w:rsidP="00554476">
      <w:pPr>
        <w:autoSpaceDE w:val="0"/>
        <w:autoSpaceDN w:val="0"/>
        <w:adjustRightInd w:val="0"/>
        <w:spacing w:after="0" w:line="360" w:lineRule="auto"/>
        <w:ind w:left="709" w:right="566" w:hanging="1"/>
        <w:jc w:val="both"/>
        <w:rPr>
          <w:rFonts w:ascii="Arial" w:hAnsi="Arial" w:cs="Arial"/>
          <w:i/>
          <w:sz w:val="20"/>
          <w:szCs w:val="20"/>
        </w:rPr>
      </w:pPr>
    </w:p>
    <w:p w14:paraId="4D0CE768" w14:textId="77777777" w:rsidR="00EE27F0" w:rsidRPr="00554476" w:rsidRDefault="00A25EBA" w:rsidP="00554476">
      <w:pPr>
        <w:spacing w:after="0" w:line="360" w:lineRule="auto"/>
        <w:jc w:val="both"/>
        <w:rPr>
          <w:rFonts w:ascii="Arial" w:hAnsi="Arial" w:cs="Arial"/>
          <w:sz w:val="20"/>
          <w:szCs w:val="20"/>
        </w:rPr>
      </w:pPr>
      <w:r w:rsidRPr="00554476">
        <w:rPr>
          <w:rFonts w:ascii="Arial" w:hAnsi="Arial" w:cs="Arial"/>
          <w:sz w:val="20"/>
          <w:szCs w:val="20"/>
        </w:rPr>
        <w:t>Si remitimos y trasladamos lo anterior al asunto que nos ocupa, señalar que la parte actora tuvo la oportunidad de acudir a otras entidades bancarias en busca de la financiación y, si finalmente, eligió Bankinter, es porque es la que más le interesó. Además, consta acreditado que, con anterioridad a la firma del préstamo, se informó en distintas ocasiones y en todo momento a la parte actora de la asunción de los gastos derivados de la suscripción de la operación.</w:t>
      </w:r>
    </w:p>
    <w:p w14:paraId="03165109" w14:textId="77777777" w:rsidR="00EE27F0" w:rsidRPr="00554476" w:rsidRDefault="00EE27F0" w:rsidP="00554476">
      <w:pPr>
        <w:spacing w:after="0" w:line="360" w:lineRule="auto"/>
        <w:jc w:val="both"/>
        <w:rPr>
          <w:rFonts w:ascii="Arial" w:hAnsi="Arial" w:cs="Arial"/>
          <w:sz w:val="20"/>
          <w:szCs w:val="20"/>
        </w:rPr>
      </w:pPr>
    </w:p>
    <w:p w14:paraId="0A2F67FE" w14:textId="77777777" w:rsidR="00A25EBA" w:rsidRPr="00554476" w:rsidRDefault="00E17248" w:rsidP="00554476">
      <w:pPr>
        <w:spacing w:after="0" w:line="360" w:lineRule="auto"/>
        <w:jc w:val="both"/>
        <w:rPr>
          <w:rFonts w:ascii="Arial" w:hAnsi="Arial" w:cs="Arial"/>
          <w:sz w:val="20"/>
          <w:szCs w:val="20"/>
        </w:rPr>
      </w:pPr>
      <w:r w:rsidRPr="00554476">
        <w:rPr>
          <w:rFonts w:ascii="Arial" w:hAnsi="Arial" w:cs="Arial"/>
          <w:sz w:val="20"/>
          <w:szCs w:val="20"/>
        </w:rPr>
        <w:t xml:space="preserve">Por tanto, la norma articulada de contrario para fundamentar su pretensión no resulta de aplicación, pues ha quedado evidenciada la negociación individual de la cláusula o, en todo caso, su aceptación expresa por la parte actora al amparo de lo dispuesto </w:t>
      </w:r>
      <w:r w:rsidR="00A25EBA" w:rsidRPr="00554476">
        <w:rPr>
          <w:rFonts w:ascii="Arial" w:hAnsi="Arial" w:cs="Arial"/>
          <w:sz w:val="20"/>
          <w:szCs w:val="20"/>
        </w:rPr>
        <w:t>en el art. 10 bis de la LGDCU.</w:t>
      </w:r>
    </w:p>
    <w:p w14:paraId="5B4E35BE" w14:textId="403F3598" w:rsidR="00A25EBA" w:rsidRDefault="00A25EBA" w:rsidP="00554476">
      <w:pPr>
        <w:autoSpaceDE w:val="0"/>
        <w:autoSpaceDN w:val="0"/>
        <w:adjustRightInd w:val="0"/>
        <w:spacing w:after="0" w:line="360" w:lineRule="auto"/>
        <w:jc w:val="both"/>
        <w:rPr>
          <w:rFonts w:ascii="Arial" w:hAnsi="Arial" w:cs="Arial"/>
          <w:sz w:val="20"/>
          <w:szCs w:val="20"/>
        </w:rPr>
      </w:pPr>
    </w:p>
    <w:p w14:paraId="53F7ECB2" w14:textId="77777777" w:rsidR="00177619" w:rsidRPr="00554476" w:rsidRDefault="00177619" w:rsidP="00554476">
      <w:pPr>
        <w:autoSpaceDE w:val="0"/>
        <w:autoSpaceDN w:val="0"/>
        <w:adjustRightInd w:val="0"/>
        <w:spacing w:after="0" w:line="360" w:lineRule="auto"/>
        <w:jc w:val="both"/>
        <w:rPr>
          <w:rFonts w:ascii="Arial" w:hAnsi="Arial" w:cs="Arial"/>
          <w:sz w:val="20"/>
          <w:szCs w:val="20"/>
        </w:rPr>
      </w:pPr>
    </w:p>
    <w:p w14:paraId="1832456E" w14:textId="09B4599B" w:rsidR="00FE7AC6" w:rsidRPr="00554476" w:rsidRDefault="00D230F8" w:rsidP="00554476">
      <w:pPr>
        <w:pStyle w:val="Ttulo2"/>
        <w:spacing w:before="0" w:line="360" w:lineRule="auto"/>
        <w:jc w:val="both"/>
        <w:rPr>
          <w:rFonts w:ascii="Arial" w:eastAsia="Bankinter" w:hAnsi="Arial" w:cs="Arial"/>
          <w:b/>
          <w:color w:val="auto"/>
          <w:sz w:val="20"/>
          <w:szCs w:val="20"/>
          <w:u w:val="single"/>
        </w:rPr>
      </w:pPr>
      <w:bookmarkStart w:id="45" w:name="_Toc54185207"/>
      <w:r w:rsidRPr="00554476">
        <w:rPr>
          <w:rFonts w:ascii="Arial" w:eastAsia="Bankinter" w:hAnsi="Arial" w:cs="Arial"/>
          <w:b/>
          <w:color w:val="auto"/>
          <w:sz w:val="20"/>
          <w:szCs w:val="20"/>
          <w:u w:val="single"/>
        </w:rPr>
        <w:t>CUARTO</w:t>
      </w:r>
      <w:r w:rsidR="00DF7285" w:rsidRPr="00554476">
        <w:rPr>
          <w:rFonts w:ascii="Arial" w:eastAsia="Bankinter" w:hAnsi="Arial" w:cs="Arial"/>
          <w:b/>
          <w:color w:val="auto"/>
          <w:sz w:val="20"/>
          <w:szCs w:val="20"/>
          <w:u w:val="single"/>
        </w:rPr>
        <w:t>. -</w:t>
      </w:r>
      <w:r w:rsidR="00FE7AC6" w:rsidRPr="00554476">
        <w:rPr>
          <w:rFonts w:ascii="Arial" w:eastAsia="Bankinter" w:hAnsi="Arial" w:cs="Arial"/>
          <w:b/>
          <w:color w:val="auto"/>
          <w:sz w:val="20"/>
          <w:szCs w:val="20"/>
          <w:u w:val="single"/>
        </w:rPr>
        <w:t xml:space="preserve"> Exclusión del control de </w:t>
      </w:r>
      <w:proofErr w:type="spellStart"/>
      <w:r w:rsidR="00FE7AC6" w:rsidRPr="00554476">
        <w:rPr>
          <w:rFonts w:ascii="Arial" w:eastAsia="Bankinter" w:hAnsi="Arial" w:cs="Arial"/>
          <w:b/>
          <w:color w:val="auto"/>
          <w:sz w:val="20"/>
          <w:szCs w:val="20"/>
          <w:u w:val="single"/>
        </w:rPr>
        <w:t>abusividad</w:t>
      </w:r>
      <w:proofErr w:type="spellEnd"/>
      <w:r w:rsidR="00FE7AC6" w:rsidRPr="00554476">
        <w:rPr>
          <w:rFonts w:ascii="Arial" w:eastAsia="Bankinter" w:hAnsi="Arial" w:cs="Arial"/>
          <w:b/>
          <w:color w:val="auto"/>
          <w:sz w:val="20"/>
          <w:szCs w:val="20"/>
          <w:u w:val="single"/>
        </w:rPr>
        <w:t xml:space="preserve"> por aplicación del artículo 1, apartado 2 de la Directiva 93/13/CEE del Consejo, de 5 de abril de 1993, sobre las cláusulas abusivas en los contratos celebrados con consumidores</w:t>
      </w:r>
      <w:r w:rsidR="00B10257" w:rsidRPr="00554476">
        <w:rPr>
          <w:rFonts w:ascii="Arial" w:eastAsia="Bankinter" w:hAnsi="Arial" w:cs="Arial"/>
          <w:b/>
          <w:color w:val="auto"/>
          <w:sz w:val="20"/>
          <w:szCs w:val="20"/>
          <w:u w:val="single"/>
        </w:rPr>
        <w:t>.</w:t>
      </w:r>
      <w:bookmarkEnd w:id="45"/>
    </w:p>
    <w:p w14:paraId="78AAF5F5" w14:textId="77777777" w:rsidR="00F04469" w:rsidRPr="00554476" w:rsidRDefault="00F04469" w:rsidP="00554476">
      <w:pPr>
        <w:spacing w:after="0" w:line="360" w:lineRule="auto"/>
        <w:contextualSpacing/>
        <w:jc w:val="both"/>
        <w:rPr>
          <w:rFonts w:ascii="Arial" w:eastAsia="Calibri" w:hAnsi="Arial" w:cs="Arial"/>
          <w:spacing w:val="4"/>
          <w:sz w:val="20"/>
          <w:szCs w:val="20"/>
        </w:rPr>
      </w:pPr>
    </w:p>
    <w:p w14:paraId="5B9E3A84" w14:textId="02405289" w:rsidR="00FE7AC6" w:rsidRPr="00554476" w:rsidRDefault="007F34DD" w:rsidP="00554476">
      <w:pPr>
        <w:spacing w:after="0" w:line="360" w:lineRule="auto"/>
        <w:contextualSpacing/>
        <w:jc w:val="both"/>
        <w:rPr>
          <w:rFonts w:ascii="Arial" w:eastAsia="Calibri" w:hAnsi="Arial" w:cs="Arial"/>
          <w:spacing w:val="4"/>
          <w:sz w:val="20"/>
          <w:szCs w:val="20"/>
          <w:lang w:val="es-ES_tradnl"/>
        </w:rPr>
      </w:pPr>
      <w:r w:rsidRPr="00554476">
        <w:rPr>
          <w:rFonts w:ascii="Arial" w:eastAsia="Calibri" w:hAnsi="Arial" w:cs="Arial"/>
          <w:spacing w:val="4"/>
          <w:sz w:val="20"/>
          <w:szCs w:val="20"/>
        </w:rPr>
        <w:t>Para el improbable caso de que se entendiera que estamos ante una condición general, no podemos olvidar que e</w:t>
      </w:r>
      <w:r w:rsidR="00FE7AC6" w:rsidRPr="00554476">
        <w:rPr>
          <w:rFonts w:ascii="Arial" w:eastAsia="Calibri" w:hAnsi="Arial" w:cs="Arial"/>
          <w:spacing w:val="4"/>
          <w:sz w:val="20"/>
          <w:szCs w:val="20"/>
        </w:rPr>
        <w:t xml:space="preserve">l apartado 2 del artículo </w:t>
      </w:r>
      <w:r w:rsidR="00FE7AC6" w:rsidRPr="00554476">
        <w:rPr>
          <w:rFonts w:ascii="Arial" w:eastAsia="Calibri" w:hAnsi="Arial" w:cs="Arial"/>
          <w:spacing w:val="4"/>
          <w:sz w:val="20"/>
          <w:szCs w:val="20"/>
          <w:lang w:val="es-ES_tradnl"/>
        </w:rPr>
        <w:t xml:space="preserve">1 de la </w:t>
      </w:r>
      <w:r w:rsidR="00FE7AC6" w:rsidRPr="00554476">
        <w:rPr>
          <w:rFonts w:ascii="Arial" w:hAnsi="Arial" w:cs="Arial"/>
          <w:sz w:val="20"/>
          <w:szCs w:val="20"/>
        </w:rPr>
        <w:t>Directiva 93/13/CEE del Consejo, de 5 de abril de 1993, sobre las cláusulas abusivas en los contratos celebrados con consumidores,</w:t>
      </w:r>
      <w:r w:rsidR="00FE7AC6" w:rsidRPr="00554476">
        <w:rPr>
          <w:rFonts w:ascii="Arial" w:eastAsia="Calibri" w:hAnsi="Arial" w:cs="Arial"/>
          <w:spacing w:val="4"/>
          <w:sz w:val="20"/>
          <w:szCs w:val="20"/>
          <w:lang w:val="es-ES_tradnl"/>
        </w:rPr>
        <w:t xml:space="preserve"> establece que </w:t>
      </w:r>
      <w:r w:rsidR="00FE7AC6" w:rsidRPr="00554476">
        <w:rPr>
          <w:rFonts w:ascii="Arial" w:eastAsia="Calibri" w:hAnsi="Arial" w:cs="Arial"/>
          <w:spacing w:val="4"/>
          <w:sz w:val="20"/>
          <w:szCs w:val="20"/>
        </w:rPr>
        <w:t>las cláusulas contractuales que reflejen disposiciones legales o reglamentarias</w:t>
      </w:r>
      <w:r w:rsidR="00FE7AC6" w:rsidRPr="00554476">
        <w:rPr>
          <w:rFonts w:ascii="Arial" w:eastAsia="Calibri" w:hAnsi="Arial" w:cs="Arial"/>
          <w:spacing w:val="4"/>
          <w:sz w:val="20"/>
          <w:szCs w:val="20"/>
          <w:lang w:val="es-ES_tradnl"/>
        </w:rPr>
        <w:t xml:space="preserve"> imperativas no están sometidas a lo dispuesto en la Directiva. Es decir, tales cláusulas no pueden ser declaradas abusivas. </w:t>
      </w:r>
    </w:p>
    <w:p w14:paraId="6037C493" w14:textId="77777777" w:rsidR="00FE7AC6" w:rsidRPr="00554476" w:rsidRDefault="00FE7AC6" w:rsidP="00554476">
      <w:pPr>
        <w:spacing w:after="0" w:line="360" w:lineRule="auto"/>
        <w:ind w:left="720"/>
        <w:contextualSpacing/>
        <w:jc w:val="both"/>
        <w:rPr>
          <w:rFonts w:ascii="Arial" w:eastAsia="Calibri" w:hAnsi="Arial" w:cs="Arial"/>
          <w:b/>
          <w:spacing w:val="4"/>
          <w:sz w:val="20"/>
          <w:szCs w:val="20"/>
        </w:rPr>
      </w:pPr>
    </w:p>
    <w:p w14:paraId="567D2773" w14:textId="77777777" w:rsidR="00FE7AC6" w:rsidRPr="00554476" w:rsidRDefault="00FE7AC6" w:rsidP="00554476">
      <w:pPr>
        <w:tabs>
          <w:tab w:val="left" w:pos="0"/>
        </w:tabs>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lang w:val="es-ES_tradnl"/>
        </w:rPr>
        <w:t xml:space="preserve">Esta exclusión se predica también de las disposiciones legales o reglamentarias supletorias, es decir, de aquellas </w:t>
      </w:r>
      <w:r w:rsidRPr="00554476">
        <w:rPr>
          <w:rFonts w:ascii="Arial" w:eastAsia="Calibri" w:hAnsi="Arial" w:cs="Arial"/>
          <w:spacing w:val="4"/>
          <w:sz w:val="20"/>
          <w:szCs w:val="20"/>
        </w:rPr>
        <w:t xml:space="preserve">que son aplicables por defecto, cuando las partes no hayan pactado otra cosa. </w:t>
      </w:r>
    </w:p>
    <w:p w14:paraId="1A5F3DC6" w14:textId="77777777" w:rsidR="00FE7AC6" w:rsidRPr="00554476" w:rsidRDefault="00FE7AC6" w:rsidP="00554476">
      <w:pPr>
        <w:tabs>
          <w:tab w:val="left" w:pos="0"/>
        </w:tabs>
        <w:spacing w:after="0" w:line="360" w:lineRule="auto"/>
        <w:ind w:left="708"/>
        <w:jc w:val="both"/>
        <w:rPr>
          <w:rFonts w:ascii="Arial" w:eastAsia="Calibri" w:hAnsi="Arial" w:cs="Arial"/>
          <w:spacing w:val="4"/>
          <w:sz w:val="20"/>
          <w:szCs w:val="20"/>
        </w:rPr>
      </w:pPr>
    </w:p>
    <w:p w14:paraId="52D183FC" w14:textId="77777777" w:rsidR="00FE7AC6" w:rsidRPr="00554476" w:rsidRDefault="00FE7AC6" w:rsidP="00554476">
      <w:pPr>
        <w:tabs>
          <w:tab w:val="left" w:pos="0"/>
        </w:tabs>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Recientemente esta exclusión de la aplicación de la Directiva 93/13/</w:t>
      </w:r>
      <w:r w:rsidRPr="00554476">
        <w:rPr>
          <w:rFonts w:ascii="Arial" w:eastAsia="Calibri" w:hAnsi="Arial" w:cs="Arial"/>
          <w:spacing w:val="4"/>
          <w:sz w:val="20"/>
          <w:szCs w:val="20"/>
          <w:shd w:val="clear" w:color="auto" w:fill="FFFFFF"/>
        </w:rPr>
        <w:t xml:space="preserve">CEE </w:t>
      </w:r>
      <w:r w:rsidRPr="00554476">
        <w:rPr>
          <w:rFonts w:ascii="Arial" w:eastAsia="Calibri" w:hAnsi="Arial" w:cs="Arial"/>
          <w:spacing w:val="4"/>
          <w:sz w:val="20"/>
          <w:szCs w:val="20"/>
        </w:rPr>
        <w:t xml:space="preserve">ha sido recordada por el Tribunal de Justicia de la UE en la reciente Sentencia de 20 de septiembre de 2018 (Asunto C51/17 </w:t>
      </w:r>
      <w:r w:rsidRPr="00554476">
        <w:rPr>
          <w:rFonts w:ascii="Arial" w:eastAsia="Calibri" w:hAnsi="Arial" w:cs="Arial"/>
          <w:bCs/>
          <w:spacing w:val="4"/>
          <w:sz w:val="20"/>
          <w:szCs w:val="20"/>
        </w:rPr>
        <w:t xml:space="preserve">OTP Bank </w:t>
      </w:r>
      <w:proofErr w:type="spellStart"/>
      <w:r w:rsidRPr="00554476">
        <w:rPr>
          <w:rFonts w:ascii="Arial" w:eastAsia="Calibri" w:hAnsi="Arial" w:cs="Arial"/>
          <w:bCs/>
          <w:spacing w:val="4"/>
          <w:sz w:val="20"/>
          <w:szCs w:val="20"/>
        </w:rPr>
        <w:t>Nyrt</w:t>
      </w:r>
      <w:proofErr w:type="spellEnd"/>
      <w:r w:rsidRPr="00554476">
        <w:rPr>
          <w:rFonts w:ascii="Arial" w:eastAsia="Calibri" w:hAnsi="Arial" w:cs="Arial"/>
          <w:bCs/>
          <w:spacing w:val="4"/>
          <w:sz w:val="20"/>
          <w:szCs w:val="20"/>
        </w:rPr>
        <w:t>.</w:t>
      </w:r>
      <w:r w:rsidRPr="00554476">
        <w:rPr>
          <w:rFonts w:ascii="Arial" w:eastAsia="Calibri" w:hAnsi="Arial" w:cs="Arial"/>
          <w:spacing w:val="4"/>
          <w:sz w:val="20"/>
          <w:szCs w:val="20"/>
        </w:rPr>
        <w:t>,</w:t>
      </w:r>
      <w:r w:rsidRPr="00554476">
        <w:rPr>
          <w:rFonts w:ascii="Arial" w:eastAsia="Calibri" w:hAnsi="Arial" w:cs="Arial"/>
          <w:bCs/>
          <w:spacing w:val="4"/>
          <w:sz w:val="20"/>
          <w:szCs w:val="20"/>
        </w:rPr>
        <w:t xml:space="preserve">OTP </w:t>
      </w:r>
      <w:proofErr w:type="spellStart"/>
      <w:r w:rsidRPr="00554476">
        <w:rPr>
          <w:rFonts w:ascii="Arial" w:eastAsia="Calibri" w:hAnsi="Arial" w:cs="Arial"/>
          <w:bCs/>
          <w:spacing w:val="4"/>
          <w:sz w:val="20"/>
          <w:szCs w:val="20"/>
        </w:rPr>
        <w:t>Faktoring</w:t>
      </w:r>
      <w:proofErr w:type="spellEnd"/>
      <w:r w:rsidRPr="00554476">
        <w:rPr>
          <w:rFonts w:ascii="Arial" w:eastAsia="Calibri" w:hAnsi="Arial" w:cs="Arial"/>
          <w:bCs/>
          <w:spacing w:val="4"/>
          <w:sz w:val="20"/>
          <w:szCs w:val="20"/>
        </w:rPr>
        <w:t xml:space="preserve"> </w:t>
      </w:r>
      <w:proofErr w:type="spellStart"/>
      <w:r w:rsidRPr="00554476">
        <w:rPr>
          <w:rFonts w:ascii="Arial" w:eastAsia="Calibri" w:hAnsi="Arial" w:cs="Arial"/>
          <w:bCs/>
          <w:spacing w:val="4"/>
          <w:sz w:val="20"/>
          <w:szCs w:val="20"/>
        </w:rPr>
        <w:t>Követeléskezelő</w:t>
      </w:r>
      <w:proofErr w:type="spellEnd"/>
      <w:r w:rsidRPr="00554476">
        <w:rPr>
          <w:rFonts w:ascii="Arial" w:eastAsia="Calibri" w:hAnsi="Arial" w:cs="Arial"/>
          <w:bCs/>
          <w:spacing w:val="4"/>
          <w:sz w:val="20"/>
          <w:szCs w:val="20"/>
        </w:rPr>
        <w:t xml:space="preserve"> </w:t>
      </w:r>
      <w:proofErr w:type="spellStart"/>
      <w:r w:rsidRPr="00554476">
        <w:rPr>
          <w:rFonts w:ascii="Arial" w:eastAsia="Calibri" w:hAnsi="Arial" w:cs="Arial"/>
          <w:bCs/>
          <w:spacing w:val="4"/>
          <w:sz w:val="20"/>
          <w:szCs w:val="20"/>
        </w:rPr>
        <w:t>Zrt</w:t>
      </w:r>
      <w:proofErr w:type="spellEnd"/>
      <w:r w:rsidRPr="00554476">
        <w:rPr>
          <w:rFonts w:ascii="Arial" w:eastAsia="Calibri" w:hAnsi="Arial" w:cs="Arial"/>
          <w:bCs/>
          <w:spacing w:val="4"/>
          <w:sz w:val="20"/>
          <w:szCs w:val="20"/>
        </w:rPr>
        <w:t xml:space="preserve">. </w:t>
      </w:r>
      <w:proofErr w:type="spellStart"/>
      <w:r w:rsidRPr="00554476">
        <w:rPr>
          <w:rFonts w:ascii="Arial" w:eastAsia="Calibri" w:hAnsi="Arial" w:cs="Arial"/>
          <w:bCs/>
          <w:spacing w:val="4"/>
          <w:sz w:val="20"/>
          <w:szCs w:val="20"/>
        </w:rPr>
        <w:t>v.Teréz</w:t>
      </w:r>
      <w:proofErr w:type="spellEnd"/>
      <w:r w:rsidRPr="00554476">
        <w:rPr>
          <w:rFonts w:ascii="Arial" w:eastAsia="Calibri" w:hAnsi="Arial" w:cs="Arial"/>
          <w:bCs/>
          <w:spacing w:val="4"/>
          <w:sz w:val="20"/>
          <w:szCs w:val="20"/>
        </w:rPr>
        <w:t xml:space="preserve"> </w:t>
      </w:r>
      <w:proofErr w:type="spellStart"/>
      <w:r w:rsidRPr="00554476">
        <w:rPr>
          <w:rFonts w:ascii="Arial" w:eastAsia="Calibri" w:hAnsi="Arial" w:cs="Arial"/>
          <w:bCs/>
          <w:spacing w:val="4"/>
          <w:sz w:val="20"/>
          <w:szCs w:val="20"/>
        </w:rPr>
        <w:t>Ilyés</w:t>
      </w:r>
      <w:r w:rsidRPr="00554476">
        <w:rPr>
          <w:rFonts w:ascii="Arial" w:eastAsia="Calibri" w:hAnsi="Arial" w:cs="Arial"/>
          <w:spacing w:val="4"/>
          <w:sz w:val="20"/>
          <w:szCs w:val="20"/>
        </w:rPr>
        <w:t>,</w:t>
      </w:r>
      <w:r w:rsidRPr="00554476">
        <w:rPr>
          <w:rFonts w:ascii="Arial" w:eastAsia="Calibri" w:hAnsi="Arial" w:cs="Arial"/>
          <w:bCs/>
          <w:spacing w:val="4"/>
          <w:sz w:val="20"/>
          <w:szCs w:val="20"/>
        </w:rPr>
        <w:t>Emil</w:t>
      </w:r>
      <w:proofErr w:type="spellEnd"/>
      <w:r w:rsidRPr="00554476">
        <w:rPr>
          <w:rFonts w:ascii="Arial" w:eastAsia="Calibri" w:hAnsi="Arial" w:cs="Arial"/>
          <w:bCs/>
          <w:spacing w:val="4"/>
          <w:sz w:val="20"/>
          <w:szCs w:val="20"/>
        </w:rPr>
        <w:t> Kiss)</w:t>
      </w:r>
      <w:r w:rsidRPr="00554476">
        <w:rPr>
          <w:rFonts w:ascii="Arial" w:eastAsia="Calibri" w:hAnsi="Arial" w:cs="Arial"/>
          <w:spacing w:val="4"/>
          <w:sz w:val="20"/>
          <w:szCs w:val="20"/>
        </w:rPr>
        <w:t>) donde ha recordado que “</w:t>
      </w:r>
      <w:r w:rsidRPr="00554476">
        <w:rPr>
          <w:rFonts w:ascii="Arial" w:eastAsia="Calibri" w:hAnsi="Arial" w:cs="Arial"/>
          <w:i/>
          <w:spacing w:val="4"/>
          <w:sz w:val="20"/>
          <w:szCs w:val="20"/>
        </w:rPr>
        <w:t xml:space="preserve">el Tribunal de Justica ya ha declarado que el artículo 1, apartado 2 de la Directiva 93/13 debe interpretarse en el sentido de que ésta última no se aplican a las condiciones que figuran en el contrato entre un profesional y un  consumidor que están </w:t>
      </w:r>
      <w:r w:rsidRPr="00554476">
        <w:rPr>
          <w:rFonts w:ascii="Arial" w:eastAsia="Calibri" w:hAnsi="Arial" w:cs="Arial"/>
          <w:i/>
          <w:spacing w:val="4"/>
          <w:sz w:val="20"/>
          <w:szCs w:val="20"/>
        </w:rPr>
        <w:lastRenderedPageBreak/>
        <w:t xml:space="preserve">determinadas por una normativa nacional (véase en este sentido el Auto de 7 de diciembre de 2017 </w:t>
      </w:r>
      <w:proofErr w:type="spellStart"/>
      <w:r w:rsidRPr="00554476">
        <w:rPr>
          <w:rFonts w:ascii="Arial" w:eastAsia="Calibri" w:hAnsi="Arial" w:cs="Arial"/>
          <w:i/>
          <w:spacing w:val="4"/>
          <w:sz w:val="20"/>
          <w:szCs w:val="20"/>
        </w:rPr>
        <w:t>Woonhaven</w:t>
      </w:r>
      <w:proofErr w:type="spellEnd"/>
      <w:r w:rsidRPr="00554476">
        <w:rPr>
          <w:rFonts w:ascii="Arial" w:eastAsia="Calibri" w:hAnsi="Arial" w:cs="Arial"/>
          <w:i/>
          <w:spacing w:val="4"/>
          <w:sz w:val="20"/>
          <w:szCs w:val="20"/>
        </w:rPr>
        <w:t xml:space="preserve"> </w:t>
      </w:r>
      <w:proofErr w:type="spellStart"/>
      <w:r w:rsidRPr="00554476">
        <w:rPr>
          <w:rFonts w:ascii="Arial" w:eastAsia="Calibri" w:hAnsi="Arial" w:cs="Arial"/>
          <w:i/>
          <w:spacing w:val="4"/>
          <w:sz w:val="20"/>
          <w:szCs w:val="20"/>
        </w:rPr>
        <w:t>Antwerpen</w:t>
      </w:r>
      <w:proofErr w:type="spellEnd"/>
      <w:r w:rsidRPr="00554476">
        <w:rPr>
          <w:rFonts w:ascii="Arial" w:eastAsia="Calibri" w:hAnsi="Arial" w:cs="Arial"/>
          <w:i/>
          <w:spacing w:val="4"/>
          <w:sz w:val="20"/>
          <w:szCs w:val="20"/>
        </w:rPr>
        <w:t xml:space="preserve"> C-446/17), por lo que este tipo de cláusulas no estarían comprendidas dentro del ámbito de la Directiva</w:t>
      </w:r>
      <w:r w:rsidRPr="00554476">
        <w:rPr>
          <w:rFonts w:ascii="Arial" w:eastAsia="Calibri" w:hAnsi="Arial" w:cs="Arial"/>
          <w:spacing w:val="4"/>
          <w:sz w:val="20"/>
          <w:szCs w:val="20"/>
        </w:rPr>
        <w:t>”.</w:t>
      </w:r>
    </w:p>
    <w:p w14:paraId="4AC13715" w14:textId="77777777" w:rsidR="00FE7AC6" w:rsidRPr="00554476" w:rsidRDefault="00FE7AC6" w:rsidP="00554476">
      <w:pPr>
        <w:tabs>
          <w:tab w:val="left" w:pos="0"/>
        </w:tabs>
        <w:spacing w:after="0" w:line="360" w:lineRule="auto"/>
        <w:ind w:left="708"/>
        <w:jc w:val="both"/>
        <w:rPr>
          <w:rFonts w:ascii="Arial" w:eastAsia="Calibri" w:hAnsi="Arial" w:cs="Arial"/>
          <w:spacing w:val="4"/>
          <w:sz w:val="20"/>
          <w:szCs w:val="20"/>
        </w:rPr>
      </w:pPr>
    </w:p>
    <w:p w14:paraId="716B06FA" w14:textId="77777777" w:rsidR="00FE7AC6" w:rsidRPr="00554476" w:rsidRDefault="00FE7AC6" w:rsidP="00554476">
      <w:pPr>
        <w:tabs>
          <w:tab w:val="left" w:pos="0"/>
        </w:tabs>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En idéntico sentido, que aboga por la inaplicación de la citada Directiva cuando exista una norma imperativa, como es el caso, se pronuncia la Sentencia de 7 de agosto de 2018 del Tribunal de Justicia de la UE (Sección Quinta) cuando en su apartado 43 refiere, expresamente, que “</w:t>
      </w:r>
      <w:r w:rsidRPr="00554476">
        <w:rPr>
          <w:rFonts w:ascii="Arial" w:eastAsia="Calibri" w:hAnsi="Arial" w:cs="Arial"/>
          <w:i/>
          <w:spacing w:val="4"/>
          <w:sz w:val="20"/>
          <w:szCs w:val="20"/>
          <w:shd w:val="clear" w:color="auto" w:fill="FFFFFF"/>
        </w:rPr>
        <w:t xml:space="preserve">según reiterada jurisprudencia del Tribunal de Justicia, tal como resulta del considerando decimotercero de la Directiva 93/13, la exclusión del ámbito de aplicación de esta Directiva prevista en el citado artículo 1, apartado 2, se extiende a las disposiciones de Derecho nacional aplicables a las partes contratantes, tanto si son normas imperativas como si se trata de normas dispositivas, es decir, de normas que únicamente se aplican si las partes no han dispuesto otra cosa. Tal exclusión se justifica por el hecho de que es legítimo presumir que el legislador nacional ha dispuesto un equilibrio entre el conjunto de derechos y obligaciones de las partes en determinados contratos, equilibro que el legislador de la Unión ha querido expresamente preservar (véase, en este sentido, el auto de 7 de diciembre de 2017, </w:t>
      </w:r>
      <w:proofErr w:type="spellStart"/>
      <w:r w:rsidRPr="00554476">
        <w:rPr>
          <w:rFonts w:ascii="Arial" w:eastAsia="Calibri" w:hAnsi="Arial" w:cs="Arial"/>
          <w:i/>
          <w:spacing w:val="4"/>
          <w:sz w:val="20"/>
          <w:szCs w:val="20"/>
          <w:shd w:val="clear" w:color="auto" w:fill="FFFFFF"/>
        </w:rPr>
        <w:t>Woonhaven</w:t>
      </w:r>
      <w:proofErr w:type="spellEnd"/>
      <w:r w:rsidRPr="00554476">
        <w:rPr>
          <w:rFonts w:ascii="Arial" w:eastAsia="Calibri" w:hAnsi="Arial" w:cs="Arial"/>
          <w:i/>
          <w:spacing w:val="4"/>
          <w:sz w:val="20"/>
          <w:szCs w:val="20"/>
          <w:shd w:val="clear" w:color="auto" w:fill="FFFFFF"/>
        </w:rPr>
        <w:t xml:space="preserve"> </w:t>
      </w:r>
      <w:proofErr w:type="spellStart"/>
      <w:r w:rsidRPr="00554476">
        <w:rPr>
          <w:rFonts w:ascii="Arial" w:eastAsia="Calibri" w:hAnsi="Arial" w:cs="Arial"/>
          <w:i/>
          <w:spacing w:val="4"/>
          <w:sz w:val="20"/>
          <w:szCs w:val="20"/>
          <w:shd w:val="clear" w:color="auto" w:fill="FFFFFF"/>
        </w:rPr>
        <w:t>Antwerpen</w:t>
      </w:r>
      <w:proofErr w:type="spellEnd"/>
      <w:r w:rsidRPr="00554476">
        <w:rPr>
          <w:rFonts w:ascii="Arial" w:eastAsia="Calibri" w:hAnsi="Arial" w:cs="Arial"/>
          <w:i/>
          <w:spacing w:val="4"/>
          <w:sz w:val="20"/>
          <w:szCs w:val="20"/>
          <w:shd w:val="clear" w:color="auto" w:fill="FFFFFF"/>
        </w:rPr>
        <w:t>, C</w:t>
      </w:r>
      <w:r w:rsidRPr="00554476">
        <w:rPr>
          <w:rFonts w:ascii="Arial" w:eastAsia="Calibri" w:hAnsi="Arial" w:cs="Arial"/>
          <w:i/>
          <w:spacing w:val="4"/>
          <w:sz w:val="20"/>
          <w:szCs w:val="20"/>
          <w:shd w:val="clear" w:color="auto" w:fill="FFFFFF"/>
        </w:rPr>
        <w:noBreakHyphen/>
        <w:t>446/17, no publicado, EU:C:2017:954, apartados 25 y 26 y jurisprudencia citada</w:t>
      </w:r>
      <w:r w:rsidRPr="00554476">
        <w:rPr>
          <w:rFonts w:ascii="Arial" w:eastAsia="Calibri" w:hAnsi="Arial" w:cs="Arial"/>
          <w:spacing w:val="4"/>
          <w:sz w:val="20"/>
          <w:szCs w:val="20"/>
        </w:rPr>
        <w:t>)” –en el mismo sentido STJUE de 21 de marzo de 2013 C-92/11, STJUE de 30-4-2014 C-280/13 y ATJUE de 5 de julio de 2016 C-7/16-.</w:t>
      </w:r>
    </w:p>
    <w:p w14:paraId="31F7A9AB" w14:textId="77777777" w:rsidR="00FE7AC6" w:rsidRPr="00554476" w:rsidRDefault="00FE7AC6" w:rsidP="00554476">
      <w:pPr>
        <w:tabs>
          <w:tab w:val="left" w:pos="0"/>
        </w:tabs>
        <w:spacing w:after="0" w:line="360" w:lineRule="auto"/>
        <w:jc w:val="both"/>
        <w:rPr>
          <w:rFonts w:ascii="Arial" w:eastAsia="Calibri" w:hAnsi="Arial" w:cs="Arial"/>
          <w:spacing w:val="4"/>
          <w:sz w:val="20"/>
          <w:szCs w:val="20"/>
        </w:rPr>
      </w:pPr>
    </w:p>
    <w:p w14:paraId="0534E0EA" w14:textId="77777777" w:rsidR="00FE7AC6" w:rsidRPr="00554476" w:rsidRDefault="00FE7AC6" w:rsidP="00554476">
      <w:pPr>
        <w:tabs>
          <w:tab w:val="left" w:pos="0"/>
        </w:tabs>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El Auto mencionado en la anterior</w:t>
      </w:r>
      <w:r w:rsidRPr="00554476">
        <w:rPr>
          <w:rFonts w:ascii="Arial" w:eastAsia="Calibri" w:hAnsi="Arial" w:cs="Arial"/>
          <w:b/>
          <w:spacing w:val="4"/>
          <w:sz w:val="20"/>
          <w:szCs w:val="20"/>
        </w:rPr>
        <w:t xml:space="preserve"> </w:t>
      </w:r>
      <w:r w:rsidRPr="00554476">
        <w:rPr>
          <w:rFonts w:ascii="Arial" w:eastAsia="Calibri" w:hAnsi="Arial" w:cs="Arial"/>
          <w:spacing w:val="4"/>
          <w:sz w:val="20"/>
          <w:szCs w:val="20"/>
        </w:rPr>
        <w:t xml:space="preserve">Sentencia del Tribunal de Justicia de la UE de 7 de diciembre de 2017 (C-446/17) donde se indica en el apartado 25, que según la jurisprudencia reiterada del Tribunal, como se desprende del considerando 13 de la Directiva 93/13, la exclusión prevista en su artículo 1, apartado 2, se refiere a las disposiciones de la legislación nacional que se imponen a las partes contratantes, independientemente de los pactos o a aquellas disposiciones que sean aplicables por defecto, esto es, en ausencia de un pacto diferente por las partes sobre la cuestión, así como a las cláusulas contractuales que reflejen tales disposiciones (véase, en ese sentido, sentencia de 21 de marzo de 2013, RWE </w:t>
      </w:r>
      <w:proofErr w:type="spellStart"/>
      <w:r w:rsidRPr="00554476">
        <w:rPr>
          <w:rFonts w:ascii="Arial" w:eastAsia="Calibri" w:hAnsi="Arial" w:cs="Arial"/>
          <w:spacing w:val="4"/>
          <w:sz w:val="20"/>
          <w:szCs w:val="20"/>
        </w:rPr>
        <w:t>Vertrieb</w:t>
      </w:r>
      <w:proofErr w:type="spellEnd"/>
      <w:r w:rsidRPr="00554476">
        <w:rPr>
          <w:rFonts w:ascii="Arial" w:eastAsia="Calibri" w:hAnsi="Arial" w:cs="Arial"/>
          <w:spacing w:val="4"/>
          <w:sz w:val="20"/>
          <w:szCs w:val="20"/>
        </w:rPr>
        <w:t>, C-92/11, EU: C: 2013: 180, punto 26, y de 30 de abril de 2014, Barclays Bank, C-280/13, EU: C: 2014: 279, párrafos 31 y 42, y orden de 5 de julio de 2016, Banco Popular Español y PL Salvador, C-7/16, inédito, EU: C: 2016: 523, punto 21). En su apartado 26 refiere que esta exclusión del régimen de la Directiva 93/13 se justifica por el hecho de que es legítimo suponer que el legislador nacional ha logrado un equilibrio entre todos los derechos y obligaciones de las partes en determinados contratos, un equilibrio que el legislador de la Unión tiene la intención explícita de preservar (orden de 5 de julio de 2016, Banco Popular Español y PL Salvador, C 7/16, inédito, EU: C: 2016: 523, punto 22 y la jurisprudencia citada).</w:t>
      </w:r>
    </w:p>
    <w:p w14:paraId="58A511AD" w14:textId="77777777" w:rsidR="00156CD8" w:rsidRPr="00554476" w:rsidRDefault="00156CD8" w:rsidP="00554476">
      <w:pPr>
        <w:tabs>
          <w:tab w:val="left" w:pos="0"/>
        </w:tabs>
        <w:spacing w:after="0" w:line="360" w:lineRule="auto"/>
        <w:jc w:val="both"/>
        <w:rPr>
          <w:rFonts w:ascii="Arial" w:eastAsia="Calibri" w:hAnsi="Arial" w:cs="Arial"/>
          <w:spacing w:val="4"/>
          <w:sz w:val="20"/>
          <w:szCs w:val="20"/>
        </w:rPr>
      </w:pPr>
    </w:p>
    <w:p w14:paraId="4FA3FB2E" w14:textId="0145AFD6" w:rsidR="001F6569" w:rsidRPr="00554476" w:rsidRDefault="001F6569" w:rsidP="00554476">
      <w:pPr>
        <w:tabs>
          <w:tab w:val="left" w:pos="0"/>
        </w:tabs>
        <w:spacing w:after="0" w:line="360" w:lineRule="auto"/>
        <w:jc w:val="both"/>
        <w:rPr>
          <w:rFonts w:ascii="Arial" w:eastAsia="Calibri" w:hAnsi="Arial" w:cs="Arial"/>
          <w:spacing w:val="4"/>
          <w:sz w:val="20"/>
          <w:szCs w:val="20"/>
        </w:rPr>
      </w:pPr>
    </w:p>
    <w:p w14:paraId="3C492F21" w14:textId="513A82E1" w:rsidR="00B5129B" w:rsidRPr="00554476" w:rsidRDefault="00D230F8" w:rsidP="00554476">
      <w:pPr>
        <w:pStyle w:val="Ttulo2"/>
        <w:spacing w:before="0" w:line="360" w:lineRule="auto"/>
        <w:jc w:val="both"/>
        <w:rPr>
          <w:rFonts w:ascii="Arial" w:eastAsia="Bankinter" w:hAnsi="Arial" w:cs="Arial"/>
          <w:b/>
          <w:color w:val="auto"/>
          <w:sz w:val="20"/>
          <w:szCs w:val="20"/>
          <w:u w:val="single"/>
        </w:rPr>
      </w:pPr>
      <w:bookmarkStart w:id="46" w:name="_Toc54185208"/>
      <w:r w:rsidRPr="00554476">
        <w:rPr>
          <w:rFonts w:ascii="Arial" w:eastAsia="Bankinter" w:hAnsi="Arial" w:cs="Arial"/>
          <w:b/>
          <w:color w:val="auto"/>
          <w:sz w:val="20"/>
          <w:szCs w:val="20"/>
          <w:u w:val="single"/>
        </w:rPr>
        <w:lastRenderedPageBreak/>
        <w:t>QUINTO</w:t>
      </w:r>
      <w:r w:rsidR="00DF7285" w:rsidRPr="00554476">
        <w:rPr>
          <w:rFonts w:ascii="Arial" w:eastAsia="Bankinter" w:hAnsi="Arial" w:cs="Arial"/>
          <w:b/>
          <w:color w:val="auto"/>
          <w:sz w:val="20"/>
          <w:szCs w:val="20"/>
          <w:u w:val="single"/>
        </w:rPr>
        <w:t>. -</w:t>
      </w:r>
      <w:r w:rsidR="00D7761A" w:rsidRPr="00554476">
        <w:rPr>
          <w:rFonts w:ascii="Arial" w:eastAsia="Bankinter" w:hAnsi="Arial" w:cs="Arial"/>
          <w:b/>
          <w:color w:val="auto"/>
          <w:sz w:val="20"/>
          <w:szCs w:val="20"/>
          <w:u w:val="single"/>
        </w:rPr>
        <w:t xml:space="preserve"> </w:t>
      </w:r>
      <w:r w:rsidR="00716DD2" w:rsidRPr="00554476">
        <w:rPr>
          <w:rFonts w:ascii="Arial" w:eastAsia="Bankinter" w:hAnsi="Arial" w:cs="Arial"/>
          <w:b/>
          <w:color w:val="auto"/>
          <w:sz w:val="20"/>
          <w:szCs w:val="20"/>
          <w:u w:val="single"/>
        </w:rPr>
        <w:t>Ausencia</w:t>
      </w:r>
      <w:r w:rsidR="00B87E4C" w:rsidRPr="00554476">
        <w:rPr>
          <w:rFonts w:ascii="Arial" w:eastAsia="Bankinter" w:hAnsi="Arial" w:cs="Arial"/>
          <w:b/>
          <w:color w:val="auto"/>
          <w:sz w:val="20"/>
          <w:szCs w:val="20"/>
          <w:u w:val="single"/>
        </w:rPr>
        <w:t xml:space="preserve"> </w:t>
      </w:r>
      <w:r w:rsidR="00D7761A" w:rsidRPr="00554476">
        <w:rPr>
          <w:rFonts w:ascii="Arial" w:eastAsia="Bankinter" w:hAnsi="Arial" w:cs="Arial"/>
          <w:b/>
          <w:color w:val="auto"/>
          <w:sz w:val="20"/>
          <w:szCs w:val="20"/>
          <w:u w:val="single"/>
        </w:rPr>
        <w:t xml:space="preserve">de los requisitos </w:t>
      </w:r>
      <w:r w:rsidR="00B87E4C" w:rsidRPr="00554476">
        <w:rPr>
          <w:rFonts w:ascii="Arial" w:eastAsia="Bankinter" w:hAnsi="Arial" w:cs="Arial"/>
          <w:b/>
          <w:color w:val="auto"/>
          <w:sz w:val="20"/>
          <w:szCs w:val="20"/>
          <w:u w:val="single"/>
        </w:rPr>
        <w:t xml:space="preserve">que determinan el carácter </w:t>
      </w:r>
      <w:r w:rsidR="00D7761A" w:rsidRPr="00554476">
        <w:rPr>
          <w:rFonts w:ascii="Arial" w:eastAsia="Bankinter" w:hAnsi="Arial" w:cs="Arial"/>
          <w:b/>
          <w:color w:val="auto"/>
          <w:sz w:val="20"/>
          <w:szCs w:val="20"/>
          <w:u w:val="single"/>
        </w:rPr>
        <w:t>abusiv</w:t>
      </w:r>
      <w:r w:rsidR="00B87E4C" w:rsidRPr="00554476">
        <w:rPr>
          <w:rFonts w:ascii="Arial" w:eastAsia="Bankinter" w:hAnsi="Arial" w:cs="Arial"/>
          <w:b/>
          <w:color w:val="auto"/>
          <w:sz w:val="20"/>
          <w:szCs w:val="20"/>
          <w:u w:val="single"/>
        </w:rPr>
        <w:t>o de</w:t>
      </w:r>
      <w:r w:rsidRPr="00554476">
        <w:rPr>
          <w:rFonts w:ascii="Arial" w:eastAsia="Bankinter" w:hAnsi="Arial" w:cs="Arial"/>
          <w:b/>
          <w:color w:val="auto"/>
          <w:sz w:val="20"/>
          <w:szCs w:val="20"/>
          <w:u w:val="single"/>
        </w:rPr>
        <w:t>l clausulado que se cuestiona.</w:t>
      </w:r>
      <w:bookmarkEnd w:id="46"/>
    </w:p>
    <w:p w14:paraId="5DCC8F0F" w14:textId="77777777" w:rsidR="00F04469" w:rsidRPr="00554476" w:rsidRDefault="00F04469" w:rsidP="00554476">
      <w:pPr>
        <w:tabs>
          <w:tab w:val="left" w:pos="0"/>
        </w:tabs>
        <w:spacing w:after="0" w:line="360" w:lineRule="auto"/>
        <w:jc w:val="both"/>
        <w:rPr>
          <w:rFonts w:ascii="Arial" w:hAnsi="Arial" w:cs="Arial"/>
          <w:sz w:val="20"/>
          <w:szCs w:val="20"/>
        </w:rPr>
      </w:pPr>
    </w:p>
    <w:p w14:paraId="5EA1D250" w14:textId="5E7F898B" w:rsidR="0094222E" w:rsidRPr="00554476" w:rsidRDefault="0094222E" w:rsidP="00554476">
      <w:pPr>
        <w:tabs>
          <w:tab w:val="left" w:pos="0"/>
        </w:tabs>
        <w:spacing w:after="0" w:line="360" w:lineRule="auto"/>
        <w:jc w:val="both"/>
        <w:rPr>
          <w:rFonts w:ascii="Arial" w:hAnsi="Arial" w:cs="Arial"/>
          <w:sz w:val="20"/>
          <w:szCs w:val="20"/>
        </w:rPr>
      </w:pPr>
      <w:r w:rsidRPr="00554476">
        <w:rPr>
          <w:rFonts w:ascii="Arial" w:hAnsi="Arial" w:cs="Arial"/>
          <w:sz w:val="20"/>
          <w:szCs w:val="20"/>
        </w:rPr>
        <w:t>Con carácter previo a entrar a valorar en profundidad</w:t>
      </w:r>
      <w:r w:rsidR="00D230F8" w:rsidRPr="00554476">
        <w:rPr>
          <w:rFonts w:ascii="Arial" w:hAnsi="Arial" w:cs="Arial"/>
          <w:sz w:val="20"/>
          <w:szCs w:val="20"/>
        </w:rPr>
        <w:t xml:space="preserve"> sobre</w:t>
      </w:r>
      <w:r w:rsidRPr="00554476">
        <w:rPr>
          <w:rFonts w:ascii="Arial" w:hAnsi="Arial" w:cs="Arial"/>
          <w:sz w:val="20"/>
          <w:szCs w:val="20"/>
        </w:rPr>
        <w:t xml:space="preserve"> si se cumplen o no los requisitos legales que determinan la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de las cláusulas, debemos partir de que no se puede </w:t>
      </w:r>
      <w:r w:rsidR="00E4147F" w:rsidRPr="00554476">
        <w:rPr>
          <w:rFonts w:ascii="Arial" w:hAnsi="Arial" w:cs="Arial"/>
          <w:sz w:val="20"/>
          <w:szCs w:val="20"/>
        </w:rPr>
        <w:t>apreciar</w:t>
      </w:r>
      <w:r w:rsidRPr="00554476">
        <w:rPr>
          <w:rFonts w:ascii="Arial" w:hAnsi="Arial" w:cs="Arial"/>
          <w:sz w:val="20"/>
          <w:szCs w:val="20"/>
        </w:rPr>
        <w:t xml:space="preserve"> de forma genérica </w:t>
      </w:r>
      <w:r w:rsidR="00C41321" w:rsidRPr="00554476">
        <w:rPr>
          <w:rFonts w:ascii="Arial" w:hAnsi="Arial" w:cs="Arial"/>
          <w:sz w:val="20"/>
          <w:szCs w:val="20"/>
        </w:rPr>
        <w:t>el carácter abusivo de las mismas, sino que deberemos tener en consideración que se ha de estar necesariamente a las circunstancias particulares</w:t>
      </w:r>
      <w:r w:rsidR="00EE27F0" w:rsidRPr="00554476">
        <w:rPr>
          <w:rFonts w:ascii="Arial" w:hAnsi="Arial" w:cs="Arial"/>
          <w:sz w:val="20"/>
          <w:szCs w:val="20"/>
        </w:rPr>
        <w:t xml:space="preserve"> de cada contratación.</w:t>
      </w:r>
    </w:p>
    <w:p w14:paraId="010E324A" w14:textId="77777777" w:rsidR="00EE27F0" w:rsidRPr="00554476" w:rsidRDefault="00EE27F0" w:rsidP="00554476">
      <w:pPr>
        <w:tabs>
          <w:tab w:val="left" w:pos="0"/>
        </w:tabs>
        <w:spacing w:after="0" w:line="360" w:lineRule="auto"/>
        <w:jc w:val="both"/>
        <w:rPr>
          <w:rFonts w:ascii="Arial" w:hAnsi="Arial" w:cs="Arial"/>
          <w:b/>
          <w:sz w:val="20"/>
          <w:szCs w:val="20"/>
          <w:u w:val="single"/>
        </w:rPr>
      </w:pPr>
    </w:p>
    <w:p w14:paraId="18ABF197" w14:textId="77777777" w:rsidR="007C415C" w:rsidRPr="00554476" w:rsidRDefault="007C415C" w:rsidP="00554476">
      <w:pPr>
        <w:spacing w:after="0" w:line="360" w:lineRule="auto"/>
        <w:jc w:val="both"/>
        <w:rPr>
          <w:rFonts w:ascii="Arial" w:hAnsi="Arial" w:cs="Arial"/>
          <w:sz w:val="20"/>
          <w:szCs w:val="20"/>
        </w:rPr>
      </w:pPr>
      <w:r w:rsidRPr="00554476">
        <w:rPr>
          <w:rFonts w:ascii="Arial" w:hAnsi="Arial" w:cs="Arial"/>
          <w:sz w:val="20"/>
          <w:szCs w:val="20"/>
        </w:rPr>
        <w:t xml:space="preserve">Como indicábamos al comienzo de la presente contestación, es cada vez mayor el número </w:t>
      </w:r>
      <w:r w:rsidR="00332A08" w:rsidRPr="00554476">
        <w:rPr>
          <w:rFonts w:ascii="Arial" w:hAnsi="Arial" w:cs="Arial"/>
          <w:sz w:val="20"/>
          <w:szCs w:val="20"/>
        </w:rPr>
        <w:t xml:space="preserve">de </w:t>
      </w:r>
      <w:r w:rsidR="00E4147F" w:rsidRPr="00554476">
        <w:rPr>
          <w:rFonts w:ascii="Arial" w:hAnsi="Arial" w:cs="Arial"/>
          <w:sz w:val="20"/>
          <w:szCs w:val="20"/>
        </w:rPr>
        <w:t xml:space="preserve">sentencias </w:t>
      </w:r>
      <w:r w:rsidRPr="00554476">
        <w:rPr>
          <w:rFonts w:ascii="Arial" w:hAnsi="Arial" w:cs="Arial"/>
          <w:sz w:val="20"/>
          <w:szCs w:val="20"/>
        </w:rPr>
        <w:t xml:space="preserve">que </w:t>
      </w:r>
      <w:r w:rsidR="00E4147F" w:rsidRPr="00554476">
        <w:rPr>
          <w:rFonts w:ascii="Arial" w:hAnsi="Arial" w:cs="Arial"/>
          <w:sz w:val="20"/>
          <w:szCs w:val="20"/>
        </w:rPr>
        <w:t>consideran que la cláusula</w:t>
      </w:r>
      <w:r w:rsidRPr="00554476">
        <w:rPr>
          <w:rFonts w:ascii="Arial" w:hAnsi="Arial" w:cs="Arial"/>
          <w:sz w:val="20"/>
          <w:szCs w:val="20"/>
        </w:rPr>
        <w:t xml:space="preserve"> de imputación de gastos no </w:t>
      </w:r>
      <w:r w:rsidR="00E4147F" w:rsidRPr="00554476">
        <w:rPr>
          <w:rFonts w:ascii="Arial" w:hAnsi="Arial" w:cs="Arial"/>
          <w:sz w:val="20"/>
          <w:szCs w:val="20"/>
        </w:rPr>
        <w:t>es abusiva</w:t>
      </w:r>
      <w:r w:rsidRPr="00554476">
        <w:rPr>
          <w:rFonts w:ascii="Arial" w:hAnsi="Arial" w:cs="Arial"/>
          <w:sz w:val="20"/>
          <w:szCs w:val="20"/>
        </w:rPr>
        <w:t xml:space="preserve"> </w:t>
      </w:r>
      <w:r w:rsidRPr="00554476">
        <w:rPr>
          <w:rFonts w:ascii="Arial" w:hAnsi="Arial" w:cs="Arial"/>
          <w:i/>
          <w:sz w:val="20"/>
          <w:szCs w:val="20"/>
        </w:rPr>
        <w:t>per se</w:t>
      </w:r>
      <w:r w:rsidRPr="00554476">
        <w:rPr>
          <w:rFonts w:ascii="Arial" w:hAnsi="Arial" w:cs="Arial"/>
          <w:sz w:val="20"/>
          <w:szCs w:val="20"/>
        </w:rPr>
        <w:t xml:space="preserve"> y que dicha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no puede ser decretada de </w:t>
      </w:r>
      <w:r w:rsidR="00B86557" w:rsidRPr="00554476">
        <w:rPr>
          <w:rFonts w:ascii="Arial" w:hAnsi="Arial" w:cs="Arial"/>
          <w:sz w:val="20"/>
          <w:szCs w:val="20"/>
        </w:rPr>
        <w:t>forma generalizada</w:t>
      </w:r>
      <w:r w:rsidRPr="00554476">
        <w:rPr>
          <w:rFonts w:ascii="Arial" w:hAnsi="Arial" w:cs="Arial"/>
          <w:sz w:val="20"/>
          <w:szCs w:val="20"/>
        </w:rPr>
        <w:t xml:space="preserve">. </w:t>
      </w:r>
    </w:p>
    <w:p w14:paraId="175FE3E2" w14:textId="77777777" w:rsidR="007C415C" w:rsidRPr="00554476" w:rsidRDefault="007C415C" w:rsidP="00554476">
      <w:pPr>
        <w:spacing w:after="0" w:line="360" w:lineRule="auto"/>
        <w:jc w:val="both"/>
        <w:rPr>
          <w:rFonts w:ascii="Arial" w:hAnsi="Arial" w:cs="Arial"/>
          <w:sz w:val="20"/>
          <w:szCs w:val="20"/>
        </w:rPr>
      </w:pPr>
    </w:p>
    <w:p w14:paraId="54B612A7" w14:textId="77777777" w:rsidR="007C415C" w:rsidRPr="00554476" w:rsidRDefault="007C415C" w:rsidP="00554476">
      <w:pPr>
        <w:spacing w:after="0" w:line="360" w:lineRule="auto"/>
        <w:jc w:val="both"/>
        <w:rPr>
          <w:rFonts w:ascii="Arial" w:hAnsi="Arial" w:cs="Arial"/>
          <w:sz w:val="20"/>
          <w:szCs w:val="20"/>
        </w:rPr>
      </w:pPr>
      <w:r w:rsidRPr="00554476">
        <w:rPr>
          <w:rFonts w:ascii="Arial" w:hAnsi="Arial" w:cs="Arial"/>
          <w:sz w:val="20"/>
          <w:szCs w:val="20"/>
        </w:rPr>
        <w:t xml:space="preserve">Exponentes de esta corriente son, por ejemplo, los Magistrados de la </w:t>
      </w:r>
      <w:r w:rsidRPr="00554476">
        <w:rPr>
          <w:rFonts w:ascii="Arial" w:hAnsi="Arial" w:cs="Arial"/>
          <w:sz w:val="20"/>
          <w:szCs w:val="20"/>
          <w:u w:val="single"/>
        </w:rPr>
        <w:t>Sección 15ª de la Audiencia Provincial de Barcelona</w:t>
      </w:r>
      <w:r w:rsidRPr="00554476">
        <w:rPr>
          <w:rFonts w:ascii="Arial" w:hAnsi="Arial" w:cs="Arial"/>
          <w:sz w:val="20"/>
          <w:szCs w:val="20"/>
        </w:rPr>
        <w:t xml:space="preserve">, D. Juan Francisco Garnica Martín y D. Luis Rodríguez Vega quienes, mediante voto particular en la </w:t>
      </w:r>
      <w:r w:rsidRPr="00554476">
        <w:rPr>
          <w:rFonts w:ascii="Arial" w:hAnsi="Arial" w:cs="Arial"/>
          <w:sz w:val="20"/>
          <w:szCs w:val="20"/>
          <w:u w:val="single"/>
        </w:rPr>
        <w:t>Sentencia nº 568/2018, de 14 de septiembre</w:t>
      </w:r>
      <w:r w:rsidRPr="00554476">
        <w:rPr>
          <w:rFonts w:ascii="Arial" w:hAnsi="Arial" w:cs="Arial"/>
          <w:sz w:val="20"/>
          <w:szCs w:val="20"/>
        </w:rPr>
        <w:t>, realizaron un profundo análisis de la cuestión.</w:t>
      </w:r>
    </w:p>
    <w:p w14:paraId="67F6860B" w14:textId="77777777" w:rsidR="007C415C" w:rsidRPr="00554476" w:rsidRDefault="007C415C" w:rsidP="00554476">
      <w:pPr>
        <w:spacing w:after="0" w:line="360" w:lineRule="auto"/>
        <w:rPr>
          <w:rFonts w:ascii="Arial" w:hAnsi="Arial" w:cs="Arial"/>
          <w:b/>
          <w:sz w:val="20"/>
          <w:szCs w:val="20"/>
        </w:rPr>
      </w:pPr>
    </w:p>
    <w:p w14:paraId="77812F68" w14:textId="77777777" w:rsidR="007C415C" w:rsidRPr="00554476" w:rsidRDefault="007C415C"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Los Magistrados afirman que la mayoría de los Tribunales, con el fin de evitar una mayor litigiosidad, basan sus pronunciamientos en la doctrina jurisprudencial recogida en la Sentencia de 23 de diciembre de 2015, de la Sala Primera, del Tribunal Supremo sin plantearse siquiera si la misma puede ser considerada o no acertada.</w:t>
      </w:r>
    </w:p>
    <w:p w14:paraId="320499B3" w14:textId="77777777" w:rsidR="002C6049" w:rsidRPr="00554476" w:rsidRDefault="002C6049" w:rsidP="00554476">
      <w:pPr>
        <w:autoSpaceDE w:val="0"/>
        <w:autoSpaceDN w:val="0"/>
        <w:adjustRightInd w:val="0"/>
        <w:spacing w:after="0" w:line="360" w:lineRule="auto"/>
        <w:jc w:val="both"/>
        <w:rPr>
          <w:rFonts w:ascii="Arial" w:hAnsi="Arial" w:cs="Arial"/>
          <w:sz w:val="20"/>
          <w:szCs w:val="20"/>
        </w:rPr>
      </w:pPr>
    </w:p>
    <w:p w14:paraId="758937AC" w14:textId="77777777" w:rsidR="00974AB5" w:rsidRPr="00554476" w:rsidRDefault="007C415C"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En todo caso, abogan por un análisis individualizado y concreto de cada uno de los gastos imputados, sin poder decretarse automáticamente una anulación total de la cláusula</w:t>
      </w:r>
      <w:r w:rsidR="00AC009A" w:rsidRPr="00554476">
        <w:rPr>
          <w:rFonts w:ascii="Arial" w:hAnsi="Arial" w:cs="Arial"/>
          <w:sz w:val="20"/>
          <w:szCs w:val="20"/>
        </w:rPr>
        <w:t>:</w:t>
      </w:r>
    </w:p>
    <w:p w14:paraId="2C29C4E9" w14:textId="77777777" w:rsidR="00AC009A" w:rsidRPr="00554476" w:rsidRDefault="00AC009A" w:rsidP="00554476">
      <w:pPr>
        <w:autoSpaceDE w:val="0"/>
        <w:autoSpaceDN w:val="0"/>
        <w:adjustRightInd w:val="0"/>
        <w:spacing w:after="0" w:line="360" w:lineRule="auto"/>
        <w:jc w:val="both"/>
        <w:rPr>
          <w:rFonts w:ascii="Arial" w:hAnsi="Arial" w:cs="Arial"/>
          <w:sz w:val="20"/>
          <w:szCs w:val="20"/>
        </w:rPr>
      </w:pPr>
    </w:p>
    <w:p w14:paraId="5973E932" w14:textId="77777777" w:rsidR="00AC009A" w:rsidRPr="00554476" w:rsidRDefault="00AC009A" w:rsidP="00967E66">
      <w:pPr>
        <w:tabs>
          <w:tab w:val="left" w:pos="0"/>
        </w:tabs>
        <w:spacing w:after="0" w:line="360" w:lineRule="auto"/>
        <w:ind w:left="709" w:right="-1"/>
        <w:jc w:val="both"/>
        <w:rPr>
          <w:rFonts w:ascii="Arial" w:eastAsia="Calibri" w:hAnsi="Arial" w:cs="Arial"/>
          <w:i/>
          <w:spacing w:val="4"/>
          <w:sz w:val="20"/>
          <w:szCs w:val="20"/>
        </w:rPr>
      </w:pPr>
      <w:r w:rsidRPr="00554476">
        <w:rPr>
          <w:rFonts w:ascii="Arial" w:eastAsia="Calibri" w:hAnsi="Arial" w:cs="Arial"/>
          <w:i/>
          <w:spacing w:val="4"/>
          <w:sz w:val="20"/>
          <w:szCs w:val="20"/>
        </w:rPr>
        <w:t xml:space="preserve">“11. Por tanto, tenemos dos precedentes jurisprudenciales, lo que nos puede llevar a pensar en la existencia de una línea jurisprudencial asentada, si bien creemos que no es así porque la doctrina jurisprudencial solo la establece la ratio </w:t>
      </w:r>
      <w:proofErr w:type="spellStart"/>
      <w:r w:rsidRPr="00554476">
        <w:rPr>
          <w:rFonts w:ascii="Arial" w:eastAsia="Calibri" w:hAnsi="Arial" w:cs="Arial"/>
          <w:i/>
          <w:spacing w:val="4"/>
          <w:sz w:val="20"/>
          <w:szCs w:val="20"/>
        </w:rPr>
        <w:t>decidendi</w:t>
      </w:r>
      <w:proofErr w:type="spellEnd"/>
      <w:r w:rsidRPr="00554476">
        <w:rPr>
          <w:rFonts w:ascii="Arial" w:eastAsia="Calibri" w:hAnsi="Arial" w:cs="Arial"/>
          <w:i/>
          <w:spacing w:val="4"/>
          <w:sz w:val="20"/>
          <w:szCs w:val="20"/>
        </w:rPr>
        <w:t xml:space="preserve"> del pronunciamiento jurisprudencial y, en ambos casos, tal y como venían expuestos los motivos del recurso de casación, la ratio </w:t>
      </w:r>
      <w:proofErr w:type="spellStart"/>
      <w:r w:rsidRPr="00554476">
        <w:rPr>
          <w:rFonts w:ascii="Arial" w:eastAsia="Calibri" w:hAnsi="Arial" w:cs="Arial"/>
          <w:i/>
          <w:spacing w:val="4"/>
          <w:sz w:val="20"/>
          <w:szCs w:val="20"/>
        </w:rPr>
        <w:t>decidendi</w:t>
      </w:r>
      <w:proofErr w:type="spellEnd"/>
      <w:r w:rsidRPr="00554476">
        <w:rPr>
          <w:rFonts w:ascii="Arial" w:eastAsia="Calibri" w:hAnsi="Arial" w:cs="Arial"/>
          <w:i/>
          <w:spacing w:val="4"/>
          <w:sz w:val="20"/>
          <w:szCs w:val="20"/>
        </w:rPr>
        <w:t xml:space="preserve"> solo puede entenderse referida a aquello que la resolución afirma respecto de la interpretación de esa norma, que no es mucho, al menos de forma explícita. Si nos quedamos con ello, la nulidad solo podía nacer de que la cláusula contractual hubiera querido modificar el régimen de los gastos del contrato tal y como aparece definido en una norma legal explícita y de carácter dispositivo. </w:t>
      </w:r>
    </w:p>
    <w:p w14:paraId="4EC6191A" w14:textId="77777777" w:rsidR="00AC009A" w:rsidRPr="00554476" w:rsidRDefault="00AC009A" w:rsidP="00967E66">
      <w:pPr>
        <w:tabs>
          <w:tab w:val="left" w:pos="0"/>
        </w:tabs>
        <w:spacing w:after="0" w:line="360" w:lineRule="auto"/>
        <w:ind w:left="709" w:right="-1"/>
        <w:jc w:val="both"/>
        <w:rPr>
          <w:rFonts w:ascii="Arial" w:eastAsia="Calibri" w:hAnsi="Arial" w:cs="Arial"/>
          <w:i/>
          <w:spacing w:val="4"/>
          <w:sz w:val="20"/>
          <w:szCs w:val="20"/>
        </w:rPr>
      </w:pPr>
    </w:p>
    <w:p w14:paraId="20BDD08A" w14:textId="77777777" w:rsidR="00AC009A" w:rsidRPr="00554476" w:rsidRDefault="00AC009A" w:rsidP="00967E66">
      <w:pPr>
        <w:tabs>
          <w:tab w:val="left" w:pos="0"/>
        </w:tabs>
        <w:spacing w:after="0" w:line="360" w:lineRule="auto"/>
        <w:ind w:left="709" w:right="-1"/>
        <w:jc w:val="both"/>
        <w:rPr>
          <w:rFonts w:ascii="Arial" w:eastAsia="Calibri" w:hAnsi="Arial" w:cs="Arial"/>
          <w:i/>
          <w:spacing w:val="4"/>
          <w:sz w:val="20"/>
          <w:szCs w:val="20"/>
        </w:rPr>
      </w:pPr>
      <w:r w:rsidRPr="00554476">
        <w:rPr>
          <w:rFonts w:ascii="Arial" w:eastAsia="Calibri" w:hAnsi="Arial" w:cs="Arial"/>
          <w:i/>
          <w:spacing w:val="4"/>
          <w:sz w:val="20"/>
          <w:szCs w:val="20"/>
        </w:rPr>
        <w:t xml:space="preserve">Así lo habíamos entendido nosotros en nuestros pronunciamientos anteriores, en los que afirmamos la nulidad de las estipulaciones, si bien, cuando hemos analizado la incidencia de la misma hemos constatado que la cláusula no ha pretendido modificar </w:t>
      </w:r>
      <w:r w:rsidRPr="00554476">
        <w:rPr>
          <w:rFonts w:ascii="Arial" w:eastAsia="Calibri" w:hAnsi="Arial" w:cs="Arial"/>
          <w:i/>
          <w:spacing w:val="4"/>
          <w:sz w:val="20"/>
          <w:szCs w:val="20"/>
        </w:rPr>
        <w:lastRenderedPageBreak/>
        <w:t xml:space="preserve">el régimen legal de ninguna norma legal de carácter dispositivo sino que se ha limitado a regular un ámbito en el que o bien no existía regulación legal alguna (es el caso, por ejemplo, de los gastos notariales y registrales o de los gastos de tasación de la finca) o bien lo ha hecho sin apartarse del modelo legal (es el caso del impuesto de actos jurídicos documentados que grava el contrato). Por tanto, si la cláusula no pretende modificar el régimen legal de un concreto concepto de gasto, la misma no puede ser considerada abusiva, al menos por esta razón. Y, si hubiera querido modificar el régimen legal de un concreto concepto de gasto, habrá que analizar si su contenido, complejo y con mucha frecuencia bien detallado, permite identificar qué concreta parte de la misma merece el reproche de </w:t>
      </w:r>
      <w:proofErr w:type="spellStart"/>
      <w:r w:rsidRPr="00554476">
        <w:rPr>
          <w:rFonts w:ascii="Arial" w:eastAsia="Calibri" w:hAnsi="Arial" w:cs="Arial"/>
          <w:i/>
          <w:spacing w:val="4"/>
          <w:sz w:val="20"/>
          <w:szCs w:val="20"/>
        </w:rPr>
        <w:t>abusividad</w:t>
      </w:r>
      <w:proofErr w:type="spellEnd"/>
      <w:r w:rsidRPr="00554476">
        <w:rPr>
          <w:rFonts w:ascii="Arial" w:eastAsia="Calibri" w:hAnsi="Arial" w:cs="Arial"/>
          <w:i/>
          <w:spacing w:val="4"/>
          <w:sz w:val="20"/>
          <w:szCs w:val="20"/>
        </w:rPr>
        <w:t>, pues tal reproche no puede hacerse de forma global como si de una sola estipulación se tratara cuando su contenido permite distinguir entre los diferentes conceptos concernidos en el genérico de "gastos derivados del préstamo hipotecario".</w:t>
      </w:r>
    </w:p>
    <w:p w14:paraId="2CF60CA9" w14:textId="77777777" w:rsidR="00AC009A" w:rsidRPr="00554476" w:rsidRDefault="00AC009A" w:rsidP="00967E66">
      <w:pPr>
        <w:tabs>
          <w:tab w:val="left" w:pos="0"/>
        </w:tabs>
        <w:spacing w:after="0" w:line="360" w:lineRule="auto"/>
        <w:ind w:left="709" w:right="-1"/>
        <w:jc w:val="both"/>
        <w:rPr>
          <w:rFonts w:ascii="Arial" w:eastAsia="Calibri" w:hAnsi="Arial" w:cs="Arial"/>
          <w:i/>
          <w:spacing w:val="4"/>
          <w:sz w:val="20"/>
          <w:szCs w:val="20"/>
        </w:rPr>
      </w:pPr>
    </w:p>
    <w:p w14:paraId="765070A7" w14:textId="77777777" w:rsidR="00AC009A" w:rsidRPr="00554476" w:rsidRDefault="00AC009A" w:rsidP="00967E66">
      <w:pPr>
        <w:tabs>
          <w:tab w:val="left" w:pos="0"/>
        </w:tabs>
        <w:spacing w:after="0" w:line="360" w:lineRule="auto"/>
        <w:ind w:left="709" w:right="-1"/>
        <w:jc w:val="both"/>
        <w:rPr>
          <w:rFonts w:ascii="Arial" w:eastAsia="Calibri" w:hAnsi="Arial" w:cs="Arial"/>
          <w:i/>
          <w:spacing w:val="4"/>
          <w:sz w:val="20"/>
          <w:szCs w:val="20"/>
        </w:rPr>
      </w:pPr>
      <w:r w:rsidRPr="00554476">
        <w:rPr>
          <w:rFonts w:ascii="Arial" w:eastAsia="Calibri" w:hAnsi="Arial" w:cs="Arial"/>
          <w:i/>
          <w:spacing w:val="4"/>
          <w:sz w:val="20"/>
          <w:szCs w:val="20"/>
        </w:rPr>
        <w:t xml:space="preserve">Por tanto, la </w:t>
      </w:r>
      <w:proofErr w:type="spellStart"/>
      <w:r w:rsidRPr="00554476">
        <w:rPr>
          <w:rFonts w:ascii="Arial" w:eastAsia="Calibri" w:hAnsi="Arial" w:cs="Arial"/>
          <w:i/>
          <w:spacing w:val="4"/>
          <w:sz w:val="20"/>
          <w:szCs w:val="20"/>
        </w:rPr>
        <w:t>abusividad</w:t>
      </w:r>
      <w:proofErr w:type="spellEnd"/>
      <w:r w:rsidRPr="00554476">
        <w:rPr>
          <w:rFonts w:ascii="Arial" w:eastAsia="Calibri" w:hAnsi="Arial" w:cs="Arial"/>
          <w:i/>
          <w:spacing w:val="4"/>
          <w:sz w:val="20"/>
          <w:szCs w:val="20"/>
        </w:rPr>
        <w:t>, caso de existir, debe analizarse de forma concreta y no de forma indiscriminada cuanto el contenido de la cláusula permite distinguir conceptos concretos. Y, como veremos a continuación, no es esto lo que ha hecho la jurisprudencia que citamos y de la que respetuosamente discrepamos."</w:t>
      </w:r>
    </w:p>
    <w:p w14:paraId="06FEBEE4" w14:textId="77777777" w:rsidR="007B1079" w:rsidRPr="00554476" w:rsidRDefault="007B1079" w:rsidP="00554476">
      <w:pPr>
        <w:autoSpaceDE w:val="0"/>
        <w:autoSpaceDN w:val="0"/>
        <w:adjustRightInd w:val="0"/>
        <w:spacing w:after="0" w:line="360" w:lineRule="auto"/>
        <w:ind w:right="566"/>
        <w:jc w:val="both"/>
        <w:rPr>
          <w:rFonts w:ascii="Arial" w:hAnsi="Arial" w:cs="Arial"/>
          <w:sz w:val="20"/>
          <w:szCs w:val="20"/>
        </w:rPr>
      </w:pPr>
    </w:p>
    <w:p w14:paraId="75EDECFE" w14:textId="77777777" w:rsidR="00974AB5" w:rsidRPr="00554476" w:rsidRDefault="00D06F66" w:rsidP="00554476">
      <w:pPr>
        <w:autoSpaceDE w:val="0"/>
        <w:autoSpaceDN w:val="0"/>
        <w:adjustRightInd w:val="0"/>
        <w:spacing w:after="0" w:line="360" w:lineRule="auto"/>
        <w:ind w:right="-1"/>
        <w:jc w:val="both"/>
        <w:rPr>
          <w:rFonts w:ascii="Arial" w:hAnsi="Arial" w:cs="Arial"/>
          <w:sz w:val="20"/>
          <w:szCs w:val="20"/>
        </w:rPr>
      </w:pPr>
      <w:r w:rsidRPr="00554476">
        <w:rPr>
          <w:rFonts w:ascii="Arial" w:hAnsi="Arial" w:cs="Arial"/>
          <w:sz w:val="20"/>
          <w:szCs w:val="20"/>
        </w:rPr>
        <w:t>En el caso que nos ocupa es necesario además tener en cuenta lo que se afirma en el voto particular sobre las razones por las que en el caso que se analiza existen circunstancias distintas a las que se dan en el caso enjuiciado, circunstancias que por otro lado, tambi</w:t>
      </w:r>
      <w:r w:rsidR="007B1079" w:rsidRPr="00554476">
        <w:rPr>
          <w:rFonts w:ascii="Arial" w:hAnsi="Arial" w:cs="Arial"/>
          <w:sz w:val="20"/>
          <w:szCs w:val="20"/>
        </w:rPr>
        <w:t>én se dan en el supuesto</w:t>
      </w:r>
      <w:r w:rsidRPr="00554476">
        <w:rPr>
          <w:rFonts w:ascii="Arial" w:hAnsi="Arial" w:cs="Arial"/>
          <w:sz w:val="20"/>
          <w:szCs w:val="20"/>
        </w:rPr>
        <w:t xml:space="preserve"> que nos ocupa. </w:t>
      </w:r>
    </w:p>
    <w:p w14:paraId="43A9C702" w14:textId="77777777" w:rsidR="00D06F66" w:rsidRPr="00554476" w:rsidRDefault="00D06F66" w:rsidP="00554476">
      <w:pPr>
        <w:autoSpaceDE w:val="0"/>
        <w:autoSpaceDN w:val="0"/>
        <w:adjustRightInd w:val="0"/>
        <w:spacing w:after="0" w:line="360" w:lineRule="auto"/>
        <w:ind w:right="-1"/>
        <w:jc w:val="both"/>
        <w:rPr>
          <w:rFonts w:ascii="Arial" w:hAnsi="Arial" w:cs="Arial"/>
          <w:sz w:val="20"/>
          <w:szCs w:val="20"/>
        </w:rPr>
      </w:pPr>
    </w:p>
    <w:p w14:paraId="63445F95" w14:textId="77777777" w:rsidR="00D06F66" w:rsidRPr="00554476" w:rsidRDefault="00D06F66" w:rsidP="00554476">
      <w:pPr>
        <w:autoSpaceDE w:val="0"/>
        <w:autoSpaceDN w:val="0"/>
        <w:adjustRightInd w:val="0"/>
        <w:spacing w:after="0" w:line="360" w:lineRule="auto"/>
        <w:ind w:right="-1"/>
        <w:jc w:val="both"/>
        <w:rPr>
          <w:rFonts w:ascii="Arial" w:hAnsi="Arial" w:cs="Arial"/>
          <w:sz w:val="20"/>
          <w:szCs w:val="20"/>
        </w:rPr>
      </w:pPr>
      <w:r w:rsidRPr="00554476">
        <w:rPr>
          <w:rFonts w:ascii="Arial" w:hAnsi="Arial" w:cs="Arial"/>
          <w:sz w:val="20"/>
          <w:szCs w:val="20"/>
        </w:rPr>
        <w:t>Así, el voto particular del Magistrado Juan F. Garnica Martín, Presidente de la Sección destaca que la cláusula declarada nula por el Tribunal Supremo lo fue por realizarse una “</w:t>
      </w:r>
      <w:r w:rsidRPr="00554476">
        <w:rPr>
          <w:rFonts w:ascii="Arial" w:hAnsi="Arial" w:cs="Arial"/>
          <w:i/>
          <w:sz w:val="20"/>
          <w:szCs w:val="20"/>
        </w:rPr>
        <w:t>atribución indiscriminada</w:t>
      </w:r>
      <w:r w:rsidRPr="00554476">
        <w:rPr>
          <w:rFonts w:ascii="Arial" w:hAnsi="Arial" w:cs="Arial"/>
          <w:sz w:val="20"/>
          <w:szCs w:val="20"/>
        </w:rPr>
        <w:t xml:space="preserve">” al prestatario pero que esa situación es distinta a aquella en la que la cláusula detalla cada uno de los </w:t>
      </w:r>
      <w:r w:rsidR="007073FA" w:rsidRPr="00554476">
        <w:rPr>
          <w:rFonts w:ascii="Arial" w:hAnsi="Arial" w:cs="Arial"/>
          <w:sz w:val="20"/>
          <w:szCs w:val="20"/>
        </w:rPr>
        <w:t>gastos que asume el consumidor. Así se recoge en el párrafo 15:</w:t>
      </w:r>
    </w:p>
    <w:p w14:paraId="5113B863" w14:textId="77777777" w:rsidR="007073FA" w:rsidRPr="00554476" w:rsidRDefault="007073FA" w:rsidP="00554476">
      <w:pPr>
        <w:autoSpaceDE w:val="0"/>
        <w:autoSpaceDN w:val="0"/>
        <w:adjustRightInd w:val="0"/>
        <w:spacing w:after="0" w:line="360" w:lineRule="auto"/>
        <w:ind w:right="-1"/>
        <w:jc w:val="both"/>
        <w:rPr>
          <w:rFonts w:ascii="Arial" w:hAnsi="Arial" w:cs="Arial"/>
          <w:sz w:val="20"/>
          <w:szCs w:val="20"/>
        </w:rPr>
      </w:pPr>
    </w:p>
    <w:p w14:paraId="7C957EF5" w14:textId="77777777" w:rsidR="007073FA" w:rsidRPr="00554476" w:rsidRDefault="007073FA" w:rsidP="00967E66">
      <w:pPr>
        <w:autoSpaceDE w:val="0"/>
        <w:autoSpaceDN w:val="0"/>
        <w:adjustRightInd w:val="0"/>
        <w:spacing w:after="0" w:line="360" w:lineRule="auto"/>
        <w:ind w:left="851" w:right="-1"/>
        <w:jc w:val="both"/>
        <w:rPr>
          <w:rFonts w:ascii="Arial" w:hAnsi="Arial" w:cs="Arial"/>
          <w:sz w:val="20"/>
          <w:szCs w:val="20"/>
        </w:rPr>
      </w:pPr>
      <w:r w:rsidRPr="00554476">
        <w:rPr>
          <w:rFonts w:ascii="Arial" w:hAnsi="Arial" w:cs="Arial"/>
          <w:sz w:val="20"/>
          <w:szCs w:val="20"/>
        </w:rPr>
        <w:t>“</w:t>
      </w:r>
      <w:r w:rsidRPr="00554476">
        <w:rPr>
          <w:rFonts w:ascii="Arial" w:hAnsi="Arial" w:cs="Arial"/>
          <w:i/>
          <w:sz w:val="20"/>
          <w:szCs w:val="20"/>
        </w:rPr>
        <w:t xml:space="preserve">Lo que pueda considerarse como "atribución indiscriminada" creemos que origina dudas de interpretación. Así, en sentido etimológico, atribución indiscriminada significa "sin hacer distinción". Por tanto, podría parecer que lo que haya querido afirmar el TS es que la </w:t>
      </w:r>
      <w:proofErr w:type="spellStart"/>
      <w:r w:rsidRPr="00554476">
        <w:rPr>
          <w:rFonts w:ascii="Arial" w:hAnsi="Arial" w:cs="Arial"/>
          <w:i/>
          <w:sz w:val="20"/>
          <w:szCs w:val="20"/>
        </w:rPr>
        <w:t>abusividad</w:t>
      </w:r>
      <w:proofErr w:type="spellEnd"/>
      <w:r w:rsidRPr="00554476">
        <w:rPr>
          <w:rFonts w:ascii="Arial" w:hAnsi="Arial" w:cs="Arial"/>
          <w:i/>
          <w:sz w:val="20"/>
          <w:szCs w:val="20"/>
        </w:rPr>
        <w:t xml:space="preserve"> está en el carácter genérico de la atribución de los gastos, o dicho de otra forma, en que se haya utilizado una formulación general que no distinga los diversos conceptos. No obstante, si se analiza la concreta cláusula respecto de la cual recae tal pronunciamiento, observamos que no es este el sentido que ha querido atribuir el TS a la locución "atribución indiscriminada" en el caso enjuiciado, ya que la cláusula especifica o detalla los conceptos (…).</w:t>
      </w:r>
      <w:r w:rsidRPr="00554476">
        <w:rPr>
          <w:rFonts w:ascii="Arial" w:hAnsi="Arial" w:cs="Arial"/>
          <w:sz w:val="20"/>
          <w:szCs w:val="20"/>
        </w:rPr>
        <w:t>”</w:t>
      </w:r>
    </w:p>
    <w:p w14:paraId="0E348AC6" w14:textId="77777777" w:rsidR="00D06F66" w:rsidRPr="00554476" w:rsidRDefault="00D06F66" w:rsidP="00554476">
      <w:pPr>
        <w:autoSpaceDE w:val="0"/>
        <w:autoSpaceDN w:val="0"/>
        <w:adjustRightInd w:val="0"/>
        <w:spacing w:after="0" w:line="360" w:lineRule="auto"/>
        <w:ind w:right="-1"/>
        <w:jc w:val="both"/>
        <w:rPr>
          <w:rFonts w:ascii="Arial" w:hAnsi="Arial" w:cs="Arial"/>
          <w:sz w:val="20"/>
          <w:szCs w:val="20"/>
        </w:rPr>
      </w:pPr>
    </w:p>
    <w:p w14:paraId="10BC7485" w14:textId="77777777" w:rsidR="007B1079" w:rsidRPr="00554476" w:rsidRDefault="007B1079" w:rsidP="00554476">
      <w:pPr>
        <w:autoSpaceDE w:val="0"/>
        <w:autoSpaceDN w:val="0"/>
        <w:adjustRightInd w:val="0"/>
        <w:spacing w:after="0" w:line="360" w:lineRule="auto"/>
        <w:ind w:right="-1"/>
        <w:jc w:val="both"/>
        <w:rPr>
          <w:rFonts w:ascii="Arial" w:hAnsi="Arial" w:cs="Arial"/>
          <w:sz w:val="20"/>
          <w:szCs w:val="20"/>
        </w:rPr>
      </w:pPr>
      <w:r w:rsidRPr="00554476">
        <w:rPr>
          <w:rFonts w:ascii="Arial" w:hAnsi="Arial" w:cs="Arial"/>
          <w:sz w:val="20"/>
          <w:szCs w:val="20"/>
        </w:rPr>
        <w:lastRenderedPageBreak/>
        <w:t xml:space="preserve">Por dicha razón, dado que no existe una atribución indiscriminada de los gastos al prestatario, sin descripción alguna de los mismos, sino que en la cláusula que ahora nos ocupa se describen de forma detallada, y además, se insiste en la cláusula sexta que dichos gastos no se imputarán al prestatario si existe una ley imperativa que los impone a la entidad bancaria, es evidente que no estamos ante el mismo supuesto que fue analizado en la Sentencia </w:t>
      </w:r>
      <w:r w:rsidR="009B5F82" w:rsidRPr="00554476">
        <w:rPr>
          <w:rFonts w:ascii="Arial" w:hAnsi="Arial" w:cs="Arial"/>
          <w:sz w:val="20"/>
          <w:szCs w:val="20"/>
        </w:rPr>
        <w:t xml:space="preserve">de 15 de marzo de 2018, </w:t>
      </w:r>
      <w:r w:rsidRPr="00554476">
        <w:rPr>
          <w:rFonts w:ascii="Arial" w:hAnsi="Arial" w:cs="Arial"/>
          <w:sz w:val="20"/>
          <w:szCs w:val="20"/>
        </w:rPr>
        <w:t>de la Sala Pr</w:t>
      </w:r>
      <w:r w:rsidR="009B5F82" w:rsidRPr="00554476">
        <w:rPr>
          <w:rFonts w:ascii="Arial" w:hAnsi="Arial" w:cs="Arial"/>
          <w:sz w:val="20"/>
          <w:szCs w:val="20"/>
        </w:rPr>
        <w:t>imera, del Tribunal Supremo.</w:t>
      </w:r>
    </w:p>
    <w:p w14:paraId="28CEDAB3" w14:textId="77777777" w:rsidR="007B1079" w:rsidRPr="00554476" w:rsidRDefault="007B1079" w:rsidP="00554476">
      <w:pPr>
        <w:autoSpaceDE w:val="0"/>
        <w:autoSpaceDN w:val="0"/>
        <w:adjustRightInd w:val="0"/>
        <w:spacing w:after="0" w:line="360" w:lineRule="auto"/>
        <w:ind w:right="-1"/>
        <w:jc w:val="both"/>
        <w:rPr>
          <w:rFonts w:ascii="Arial" w:hAnsi="Arial" w:cs="Arial"/>
          <w:sz w:val="20"/>
          <w:szCs w:val="20"/>
        </w:rPr>
      </w:pPr>
    </w:p>
    <w:p w14:paraId="22A8CA57" w14:textId="77777777" w:rsidR="00880ADC" w:rsidRPr="00554476" w:rsidRDefault="007B1079" w:rsidP="00554476">
      <w:pPr>
        <w:autoSpaceDE w:val="0"/>
        <w:autoSpaceDN w:val="0"/>
        <w:adjustRightInd w:val="0"/>
        <w:spacing w:after="0" w:line="360" w:lineRule="auto"/>
        <w:ind w:right="-1"/>
        <w:jc w:val="both"/>
        <w:rPr>
          <w:rFonts w:ascii="Arial" w:hAnsi="Arial" w:cs="Arial"/>
          <w:sz w:val="20"/>
          <w:szCs w:val="20"/>
        </w:rPr>
      </w:pPr>
      <w:r w:rsidRPr="00554476">
        <w:rPr>
          <w:rFonts w:ascii="Arial" w:hAnsi="Arial" w:cs="Arial"/>
          <w:sz w:val="20"/>
          <w:szCs w:val="20"/>
        </w:rPr>
        <w:t xml:space="preserve">Sin perjuicio de lo anterior es necesario recordar cuáles son los requisitos generales para que una cláusula pueda considerarse como abusiva, pues es evidente que el mero hecho de asignar gastos y tributos al consumidor no es abusivo en sí mismo. </w:t>
      </w:r>
    </w:p>
    <w:p w14:paraId="40671FC2" w14:textId="77777777" w:rsidR="00880ADC" w:rsidRPr="00554476" w:rsidRDefault="00880ADC" w:rsidP="00554476">
      <w:pPr>
        <w:autoSpaceDE w:val="0"/>
        <w:autoSpaceDN w:val="0"/>
        <w:adjustRightInd w:val="0"/>
        <w:spacing w:after="0" w:line="360" w:lineRule="auto"/>
        <w:ind w:right="-1"/>
        <w:jc w:val="both"/>
        <w:rPr>
          <w:rFonts w:ascii="Arial" w:hAnsi="Arial" w:cs="Arial"/>
          <w:sz w:val="20"/>
          <w:szCs w:val="20"/>
        </w:rPr>
      </w:pPr>
    </w:p>
    <w:p w14:paraId="4F3A1923" w14:textId="77777777" w:rsidR="00880ADC" w:rsidRPr="00554476" w:rsidRDefault="00BA67CD" w:rsidP="00554476">
      <w:pPr>
        <w:autoSpaceDE w:val="0"/>
        <w:autoSpaceDN w:val="0"/>
        <w:adjustRightInd w:val="0"/>
        <w:spacing w:after="0" w:line="360" w:lineRule="auto"/>
        <w:ind w:right="-1"/>
        <w:jc w:val="both"/>
        <w:rPr>
          <w:rFonts w:ascii="Arial" w:hAnsi="Arial" w:cs="Arial"/>
          <w:sz w:val="20"/>
          <w:szCs w:val="20"/>
        </w:rPr>
      </w:pPr>
      <w:r w:rsidRPr="00554476">
        <w:rPr>
          <w:rFonts w:ascii="Arial" w:hAnsi="Arial" w:cs="Arial"/>
          <w:sz w:val="20"/>
          <w:szCs w:val="20"/>
        </w:rPr>
        <w:t xml:space="preserve">El artículo </w:t>
      </w:r>
      <w:r w:rsidR="00923417" w:rsidRPr="00554476">
        <w:rPr>
          <w:rFonts w:ascii="Arial" w:hAnsi="Arial" w:cs="Arial"/>
          <w:sz w:val="20"/>
          <w:szCs w:val="20"/>
        </w:rPr>
        <w:t xml:space="preserve">10 bis de la LGDCU </w:t>
      </w:r>
      <w:r w:rsidRPr="00554476">
        <w:rPr>
          <w:rFonts w:ascii="Arial" w:hAnsi="Arial" w:cs="Arial"/>
          <w:sz w:val="20"/>
          <w:szCs w:val="20"/>
        </w:rPr>
        <w:t>establece</w:t>
      </w:r>
      <w:r w:rsidR="00923417" w:rsidRPr="00554476">
        <w:rPr>
          <w:rFonts w:ascii="Arial" w:hAnsi="Arial" w:cs="Arial"/>
          <w:sz w:val="20"/>
          <w:szCs w:val="20"/>
        </w:rPr>
        <w:t>:</w:t>
      </w:r>
    </w:p>
    <w:p w14:paraId="02E32E62" w14:textId="77777777" w:rsidR="00880ADC" w:rsidRPr="00554476" w:rsidRDefault="00880ADC" w:rsidP="00554476">
      <w:pPr>
        <w:pStyle w:val="Textocomentario"/>
        <w:spacing w:after="0" w:line="360" w:lineRule="auto"/>
        <w:rPr>
          <w:rFonts w:ascii="Arial" w:hAnsi="Arial" w:cs="Arial"/>
        </w:rPr>
      </w:pPr>
    </w:p>
    <w:p w14:paraId="607710D5" w14:textId="77777777" w:rsidR="00BA67CD" w:rsidRPr="00554476" w:rsidRDefault="00BA67CD" w:rsidP="00967E66">
      <w:pPr>
        <w:pStyle w:val="Textocomentario"/>
        <w:spacing w:after="0" w:line="360" w:lineRule="auto"/>
        <w:ind w:left="851" w:right="-1"/>
        <w:jc w:val="both"/>
        <w:rPr>
          <w:rFonts w:ascii="Arial" w:hAnsi="Arial" w:cs="Arial"/>
          <w:i/>
        </w:rPr>
      </w:pPr>
      <w:r w:rsidRPr="00554476">
        <w:rPr>
          <w:rFonts w:ascii="Arial" w:hAnsi="Arial" w:cs="Arial"/>
          <w:i/>
        </w:rPr>
        <w:t>“Se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r w:rsidRPr="00554476">
        <w:rPr>
          <w:rFonts w:ascii="Arial" w:hAnsi="Arial" w:cs="Arial"/>
          <w:i/>
          <w:iCs/>
        </w:rPr>
        <w:t>.”</w:t>
      </w:r>
    </w:p>
    <w:p w14:paraId="52CDB42A" w14:textId="77777777" w:rsidR="00BA67CD" w:rsidRPr="00554476" w:rsidRDefault="00BA67CD" w:rsidP="00554476">
      <w:pPr>
        <w:pStyle w:val="Sinespaciado"/>
        <w:spacing w:line="360" w:lineRule="auto"/>
        <w:jc w:val="both"/>
        <w:rPr>
          <w:rFonts w:ascii="Arial" w:hAnsi="Arial" w:cs="Arial"/>
          <w:sz w:val="20"/>
          <w:szCs w:val="20"/>
        </w:rPr>
      </w:pPr>
    </w:p>
    <w:p w14:paraId="3885989C" w14:textId="77777777" w:rsidR="00BA67CD" w:rsidRPr="00554476" w:rsidRDefault="00BA67CD" w:rsidP="00554476">
      <w:pPr>
        <w:pStyle w:val="Sinespaciado"/>
        <w:spacing w:line="360" w:lineRule="auto"/>
        <w:jc w:val="both"/>
        <w:rPr>
          <w:rFonts w:ascii="Arial" w:hAnsi="Arial" w:cs="Arial"/>
          <w:sz w:val="20"/>
          <w:szCs w:val="20"/>
        </w:rPr>
      </w:pPr>
      <w:r w:rsidRPr="00554476">
        <w:rPr>
          <w:rFonts w:ascii="Arial" w:hAnsi="Arial" w:cs="Arial"/>
          <w:sz w:val="20"/>
          <w:szCs w:val="20"/>
        </w:rPr>
        <w:t>Añadiendo el apartado tercero de dicho precepto:</w:t>
      </w:r>
    </w:p>
    <w:p w14:paraId="783C5AFB" w14:textId="77777777" w:rsidR="00BA67CD" w:rsidRPr="00554476" w:rsidRDefault="00BA67CD" w:rsidP="00554476">
      <w:pPr>
        <w:pStyle w:val="Sinespaciado"/>
        <w:spacing w:line="360" w:lineRule="auto"/>
        <w:jc w:val="both"/>
        <w:rPr>
          <w:rFonts w:ascii="Arial" w:hAnsi="Arial" w:cs="Arial"/>
          <w:sz w:val="20"/>
          <w:szCs w:val="20"/>
        </w:rPr>
      </w:pPr>
    </w:p>
    <w:p w14:paraId="3E7B45DF" w14:textId="77777777" w:rsidR="00400408" w:rsidRPr="00554476" w:rsidRDefault="00BA67CD" w:rsidP="00967E66">
      <w:pPr>
        <w:pStyle w:val="Sinespaciado"/>
        <w:spacing w:line="360" w:lineRule="auto"/>
        <w:ind w:left="709" w:right="-1"/>
        <w:jc w:val="both"/>
        <w:rPr>
          <w:rFonts w:ascii="Arial" w:hAnsi="Arial" w:cs="Arial"/>
          <w:sz w:val="20"/>
          <w:szCs w:val="20"/>
        </w:rPr>
      </w:pPr>
      <w:r w:rsidRPr="00554476">
        <w:rPr>
          <w:rFonts w:ascii="Arial" w:hAnsi="Arial" w:cs="Arial"/>
          <w:sz w:val="20"/>
          <w:szCs w:val="20"/>
        </w:rPr>
        <w:t>“</w:t>
      </w:r>
      <w:r w:rsidRPr="00554476">
        <w:rPr>
          <w:rFonts w:ascii="Arial" w:hAnsi="Arial" w:cs="Arial"/>
          <w:i/>
          <w:sz w:val="20"/>
          <w:szCs w:val="20"/>
        </w:rPr>
        <w:t>El carácter abusivo de una cláusula se apreciará teniendo en cuenta la naturaleza de los bienes o servicios objeto del contrato y considerando todas las circunstancias concurrentes en el momento de su celebración, así como todas las demás cláusulas del contrato o de otro del que éste dependa.</w:t>
      </w:r>
      <w:r w:rsidRPr="00554476">
        <w:rPr>
          <w:rFonts w:ascii="Arial" w:hAnsi="Arial" w:cs="Arial"/>
          <w:sz w:val="20"/>
          <w:szCs w:val="20"/>
        </w:rPr>
        <w:t>”</w:t>
      </w:r>
    </w:p>
    <w:p w14:paraId="1A344B10" w14:textId="77777777" w:rsidR="00400408" w:rsidRPr="00554476" w:rsidRDefault="00400408" w:rsidP="00554476">
      <w:pPr>
        <w:pStyle w:val="Sinespaciado"/>
        <w:spacing w:line="360" w:lineRule="auto"/>
        <w:ind w:right="566"/>
        <w:jc w:val="both"/>
        <w:rPr>
          <w:rFonts w:ascii="Arial" w:hAnsi="Arial" w:cs="Arial"/>
          <w:sz w:val="20"/>
          <w:szCs w:val="20"/>
        </w:rPr>
      </w:pPr>
    </w:p>
    <w:p w14:paraId="6330707D" w14:textId="77777777" w:rsidR="00852D41" w:rsidRPr="00554476" w:rsidRDefault="00BA67CD" w:rsidP="00554476">
      <w:pPr>
        <w:pStyle w:val="Sinespaciado"/>
        <w:spacing w:line="360" w:lineRule="auto"/>
        <w:ind w:right="566"/>
        <w:jc w:val="both"/>
        <w:rPr>
          <w:rFonts w:ascii="Arial" w:hAnsi="Arial" w:cs="Arial"/>
          <w:sz w:val="20"/>
          <w:szCs w:val="20"/>
        </w:rPr>
      </w:pPr>
      <w:r w:rsidRPr="00554476">
        <w:rPr>
          <w:rFonts w:ascii="Arial" w:hAnsi="Arial" w:cs="Arial"/>
          <w:sz w:val="20"/>
          <w:szCs w:val="20"/>
        </w:rPr>
        <w:t>P</w:t>
      </w:r>
      <w:r w:rsidR="00852D41" w:rsidRPr="00554476">
        <w:rPr>
          <w:rFonts w:ascii="Arial" w:hAnsi="Arial" w:cs="Arial"/>
          <w:sz w:val="20"/>
          <w:szCs w:val="20"/>
        </w:rPr>
        <w:t>or tanto</w:t>
      </w:r>
      <w:r w:rsidRPr="00554476">
        <w:rPr>
          <w:rFonts w:ascii="Arial" w:hAnsi="Arial" w:cs="Arial"/>
          <w:sz w:val="20"/>
          <w:szCs w:val="20"/>
        </w:rPr>
        <w:t>, para que una cláusula pueda ser declarada abusiva se</w:t>
      </w:r>
      <w:r w:rsidR="00852D41" w:rsidRPr="00554476">
        <w:rPr>
          <w:rFonts w:ascii="Arial" w:hAnsi="Arial" w:cs="Arial"/>
          <w:sz w:val="20"/>
          <w:szCs w:val="20"/>
        </w:rPr>
        <w:t xml:space="preserve"> requiere: </w:t>
      </w:r>
    </w:p>
    <w:p w14:paraId="545856C8" w14:textId="77777777" w:rsidR="00852D41" w:rsidRPr="00554476" w:rsidRDefault="00852D41" w:rsidP="00554476">
      <w:pPr>
        <w:pStyle w:val="Sinespaciado"/>
        <w:spacing w:line="360" w:lineRule="auto"/>
        <w:jc w:val="both"/>
        <w:rPr>
          <w:rFonts w:ascii="Arial" w:hAnsi="Arial" w:cs="Arial"/>
          <w:sz w:val="20"/>
          <w:szCs w:val="20"/>
        </w:rPr>
      </w:pPr>
    </w:p>
    <w:p w14:paraId="5C061BA8" w14:textId="77777777" w:rsidR="00852D41" w:rsidRPr="00554476" w:rsidRDefault="00852D41" w:rsidP="001618DF">
      <w:pPr>
        <w:pStyle w:val="Sinespaciado"/>
        <w:numPr>
          <w:ilvl w:val="0"/>
          <w:numId w:val="5"/>
        </w:numPr>
        <w:spacing w:line="360" w:lineRule="auto"/>
        <w:jc w:val="both"/>
        <w:rPr>
          <w:rFonts w:ascii="Arial" w:hAnsi="Arial" w:cs="Arial"/>
          <w:sz w:val="20"/>
          <w:szCs w:val="20"/>
        </w:rPr>
      </w:pPr>
      <w:r w:rsidRPr="00554476">
        <w:rPr>
          <w:rFonts w:ascii="Arial" w:hAnsi="Arial" w:cs="Arial"/>
          <w:sz w:val="20"/>
          <w:szCs w:val="20"/>
        </w:rPr>
        <w:t xml:space="preserve">Que se trate de una condición general no negociada individualmente. </w:t>
      </w:r>
    </w:p>
    <w:p w14:paraId="715FF689" w14:textId="77777777" w:rsidR="00852D41" w:rsidRPr="00554476" w:rsidRDefault="00852D41" w:rsidP="001618DF">
      <w:pPr>
        <w:pStyle w:val="Sinespaciado"/>
        <w:numPr>
          <w:ilvl w:val="0"/>
          <w:numId w:val="5"/>
        </w:numPr>
        <w:spacing w:line="360" w:lineRule="auto"/>
        <w:jc w:val="both"/>
        <w:rPr>
          <w:rFonts w:ascii="Arial" w:hAnsi="Arial" w:cs="Arial"/>
          <w:sz w:val="20"/>
          <w:szCs w:val="20"/>
        </w:rPr>
      </w:pPr>
      <w:r w:rsidRPr="00554476">
        <w:rPr>
          <w:rFonts w:ascii="Arial" w:hAnsi="Arial" w:cs="Arial"/>
          <w:sz w:val="20"/>
          <w:szCs w:val="20"/>
        </w:rPr>
        <w:t xml:space="preserve">Que genere un “desequilibrio importante” de los derechos y obligaciones que se deriven del contrato. </w:t>
      </w:r>
    </w:p>
    <w:p w14:paraId="0981E54D" w14:textId="77777777" w:rsidR="00852D41" w:rsidRPr="00554476" w:rsidRDefault="00852D41" w:rsidP="001618DF">
      <w:pPr>
        <w:pStyle w:val="Sinespaciado"/>
        <w:numPr>
          <w:ilvl w:val="0"/>
          <w:numId w:val="5"/>
        </w:numPr>
        <w:spacing w:line="360" w:lineRule="auto"/>
        <w:jc w:val="both"/>
        <w:rPr>
          <w:rFonts w:ascii="Arial" w:hAnsi="Arial" w:cs="Arial"/>
          <w:sz w:val="20"/>
          <w:szCs w:val="20"/>
        </w:rPr>
      </w:pPr>
      <w:r w:rsidRPr="00554476">
        <w:rPr>
          <w:rFonts w:ascii="Arial" w:hAnsi="Arial" w:cs="Arial"/>
          <w:sz w:val="20"/>
          <w:szCs w:val="20"/>
        </w:rPr>
        <w:t xml:space="preserve">Que el empresario la hubiera introducido contra las exigencias de la buena fe. </w:t>
      </w:r>
    </w:p>
    <w:p w14:paraId="57467471" w14:textId="77777777" w:rsidR="003C788C" w:rsidRPr="00554476" w:rsidRDefault="00852D41" w:rsidP="001618DF">
      <w:pPr>
        <w:pStyle w:val="Sinespaciado"/>
        <w:numPr>
          <w:ilvl w:val="0"/>
          <w:numId w:val="5"/>
        </w:numPr>
        <w:spacing w:line="360" w:lineRule="auto"/>
        <w:jc w:val="both"/>
        <w:rPr>
          <w:rFonts w:ascii="Arial" w:hAnsi="Arial" w:cs="Arial"/>
          <w:sz w:val="20"/>
          <w:szCs w:val="20"/>
        </w:rPr>
      </w:pPr>
      <w:r w:rsidRPr="00554476">
        <w:rPr>
          <w:rFonts w:ascii="Arial" w:hAnsi="Arial" w:cs="Arial"/>
          <w:sz w:val="20"/>
          <w:szCs w:val="20"/>
        </w:rPr>
        <w:t xml:space="preserve">Que para </w:t>
      </w:r>
      <w:r w:rsidR="001E38E2" w:rsidRPr="00554476">
        <w:rPr>
          <w:rFonts w:ascii="Arial" w:hAnsi="Arial" w:cs="Arial"/>
          <w:sz w:val="20"/>
          <w:szCs w:val="20"/>
        </w:rPr>
        <w:t xml:space="preserve">que en el juicio de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se analicen única y exclusivamente las circunstancias concurrentes en el momento de la contratación. </w:t>
      </w:r>
    </w:p>
    <w:p w14:paraId="44EDF91A" w14:textId="77777777" w:rsidR="00F1308C" w:rsidRPr="00554476" w:rsidRDefault="00F1308C" w:rsidP="00554476">
      <w:pPr>
        <w:spacing w:after="0" w:line="360" w:lineRule="auto"/>
        <w:jc w:val="both"/>
        <w:rPr>
          <w:rFonts w:ascii="Arial" w:eastAsia="Times New Roman" w:hAnsi="Arial" w:cs="Arial"/>
          <w:bCs/>
          <w:sz w:val="20"/>
          <w:szCs w:val="20"/>
        </w:rPr>
      </w:pPr>
    </w:p>
    <w:p w14:paraId="787A436B" w14:textId="77777777" w:rsidR="00F1308C" w:rsidRPr="00554476" w:rsidRDefault="00F1308C" w:rsidP="00554476">
      <w:pPr>
        <w:spacing w:after="0" w:line="360" w:lineRule="auto"/>
        <w:jc w:val="both"/>
        <w:rPr>
          <w:rFonts w:ascii="Arial" w:eastAsia="Times New Roman" w:hAnsi="Arial" w:cs="Arial"/>
          <w:bCs/>
          <w:sz w:val="20"/>
          <w:szCs w:val="20"/>
        </w:rPr>
      </w:pPr>
      <w:r w:rsidRPr="00554476">
        <w:rPr>
          <w:rFonts w:ascii="Arial" w:eastAsia="Times New Roman" w:hAnsi="Arial" w:cs="Arial"/>
          <w:bCs/>
          <w:sz w:val="20"/>
          <w:szCs w:val="20"/>
        </w:rPr>
        <w:t xml:space="preserve">Como hemos expuesto anteriormente, esta parte considera acreditado con la documentación aportada que la cláusula objeto de Litis ha sido negociada individualmente o consentida expresamente por el actor. No obstante, y para el caso de que se entienda que la cláusula objeto de Litis no fue </w:t>
      </w:r>
      <w:r w:rsidR="0088759F" w:rsidRPr="00554476">
        <w:rPr>
          <w:rFonts w:ascii="Arial" w:eastAsia="Times New Roman" w:hAnsi="Arial" w:cs="Arial"/>
          <w:bCs/>
          <w:sz w:val="20"/>
          <w:szCs w:val="20"/>
        </w:rPr>
        <w:t>negociada</w:t>
      </w:r>
      <w:r w:rsidRPr="00554476">
        <w:rPr>
          <w:rFonts w:ascii="Arial" w:eastAsia="Times New Roman" w:hAnsi="Arial" w:cs="Arial"/>
          <w:bCs/>
          <w:sz w:val="20"/>
          <w:szCs w:val="20"/>
        </w:rPr>
        <w:t xml:space="preserve"> individualmente o consentida expresamente por el actor, analizaremos si en el presente caso concurre el segundo de los requisitos.</w:t>
      </w:r>
    </w:p>
    <w:p w14:paraId="05794C12" w14:textId="77777777" w:rsidR="00F1308C" w:rsidRPr="00554476" w:rsidRDefault="00F1308C" w:rsidP="00554476">
      <w:pPr>
        <w:spacing w:after="0" w:line="360" w:lineRule="auto"/>
        <w:jc w:val="both"/>
        <w:rPr>
          <w:rFonts w:ascii="Arial" w:eastAsia="Times New Roman" w:hAnsi="Arial" w:cs="Arial"/>
          <w:bCs/>
          <w:sz w:val="20"/>
          <w:szCs w:val="20"/>
        </w:rPr>
      </w:pPr>
    </w:p>
    <w:p w14:paraId="19680D1B" w14:textId="77777777" w:rsidR="00F1308C" w:rsidRPr="00554476" w:rsidRDefault="00F1308C" w:rsidP="00554476">
      <w:pPr>
        <w:spacing w:after="0" w:line="360" w:lineRule="auto"/>
        <w:jc w:val="both"/>
        <w:rPr>
          <w:rFonts w:ascii="Arial" w:hAnsi="Arial" w:cs="Arial"/>
          <w:sz w:val="20"/>
          <w:szCs w:val="20"/>
        </w:rPr>
      </w:pPr>
      <w:r w:rsidRPr="00554476">
        <w:rPr>
          <w:rFonts w:ascii="Arial" w:eastAsia="Times New Roman" w:hAnsi="Arial" w:cs="Arial"/>
          <w:bCs/>
          <w:sz w:val="20"/>
          <w:szCs w:val="20"/>
        </w:rPr>
        <w:t>Hemos de señalar que ninguna normativa recoge definición alguna sobre lo que, a efectos de las citadas normas, debe entenderse por “</w:t>
      </w:r>
      <w:r w:rsidRPr="00554476">
        <w:rPr>
          <w:rFonts w:ascii="Arial" w:hAnsi="Arial" w:cs="Arial"/>
          <w:i/>
          <w:sz w:val="20"/>
          <w:szCs w:val="20"/>
        </w:rPr>
        <w:t>desequilibrio importante</w:t>
      </w:r>
      <w:r w:rsidRPr="00554476">
        <w:rPr>
          <w:rFonts w:ascii="Arial" w:hAnsi="Arial" w:cs="Arial"/>
          <w:sz w:val="20"/>
          <w:szCs w:val="20"/>
        </w:rPr>
        <w:t xml:space="preserve">” </w:t>
      </w:r>
      <w:r w:rsidR="0088759F" w:rsidRPr="00554476">
        <w:rPr>
          <w:rFonts w:ascii="Arial" w:hAnsi="Arial" w:cs="Arial"/>
          <w:sz w:val="20"/>
          <w:szCs w:val="20"/>
        </w:rPr>
        <w:t xml:space="preserve">pero es evidente que en el caso que nos ocupa no se dio ese desequilibrio. </w:t>
      </w:r>
    </w:p>
    <w:p w14:paraId="47CB91FC" w14:textId="77777777" w:rsidR="0088759F" w:rsidRPr="00554476" w:rsidRDefault="0088759F" w:rsidP="00554476">
      <w:pPr>
        <w:spacing w:after="0" w:line="360" w:lineRule="auto"/>
        <w:jc w:val="both"/>
        <w:rPr>
          <w:rFonts w:ascii="Arial" w:hAnsi="Arial" w:cs="Arial"/>
          <w:sz w:val="20"/>
          <w:szCs w:val="20"/>
        </w:rPr>
      </w:pPr>
    </w:p>
    <w:p w14:paraId="67AC4DD5" w14:textId="77777777" w:rsidR="0088759F" w:rsidRPr="00554476" w:rsidRDefault="0088759F" w:rsidP="00554476">
      <w:pPr>
        <w:spacing w:after="0" w:line="360" w:lineRule="auto"/>
        <w:jc w:val="both"/>
        <w:rPr>
          <w:rFonts w:ascii="Arial" w:eastAsia="Malgun Gothic" w:hAnsi="Arial" w:cs="Arial"/>
          <w:sz w:val="20"/>
          <w:szCs w:val="20"/>
        </w:rPr>
      </w:pPr>
      <w:r w:rsidRPr="00554476">
        <w:rPr>
          <w:rFonts w:ascii="Arial" w:eastAsia="Malgun Gothic" w:hAnsi="Arial" w:cs="Arial"/>
          <w:sz w:val="20"/>
          <w:szCs w:val="20"/>
        </w:rPr>
        <w:t xml:space="preserve">A tal efecto debemos hacer mención a la STJUE de 14 de marzo de 2013, Sentencia en la que, al tratar el desequilibrio contrario a la buena fe, en el apartado 68 afirma que: </w:t>
      </w:r>
      <w:r w:rsidRPr="00554476">
        <w:rPr>
          <w:rFonts w:ascii="Arial" w:eastAsia="Malgun Gothic" w:hAnsi="Arial" w:cs="Arial"/>
          <w:i/>
          <w:sz w:val="20"/>
          <w:szCs w:val="20"/>
        </w:rPr>
        <w:t xml:space="preserve">"[...] tal como la Abogado General indicó en el punto 71 de sus conclusiones, para determinar si una cláusula causa en detrimento del consumidor un «desequilibrio importante» entre los derechos y las obligaciones de las partes que se derivan del contrato, deben tenerse en cuenta, en particular, las normas aplicables en Derecho nacional cuando no exista un acuerdo de las partes en ese sentido [...] </w:t>
      </w:r>
      <w:r w:rsidRPr="00554476">
        <w:rPr>
          <w:rFonts w:ascii="Arial" w:eastAsia="Malgun Gothic" w:hAnsi="Arial" w:cs="Arial"/>
          <w:sz w:val="20"/>
          <w:szCs w:val="20"/>
        </w:rPr>
        <w:t xml:space="preserve">, y en el apartado 69 que </w:t>
      </w:r>
      <w:r w:rsidRPr="00554476">
        <w:rPr>
          <w:rFonts w:ascii="Arial" w:eastAsia="Malgun Gothic" w:hAnsi="Arial" w:cs="Arial"/>
          <w:i/>
          <w:sz w:val="20"/>
          <w:szCs w:val="20"/>
        </w:rPr>
        <w:t xml:space="preserve">"[e]n lo que se refiere a la cuestión de en qué circunstancias se causa ese desequilibrio «pese a las exigencias de la buena fe», debe señalarse que, en atención al decimosexto considerando de la Directiva y tal como indicó en esencia la Abogado General en el punto 74 de sus conclusiones, el juez nacional debe comprobar a tal efecto si el profesional podía estimar razonablemente que, tratando de manera leal y equitativa con el consumidor, éste aceptaría una cláusula de ese tipo en el marco de una negociación individual"  (Énfasis añadido), </w:t>
      </w:r>
      <w:r w:rsidRPr="00554476">
        <w:rPr>
          <w:rFonts w:ascii="Arial" w:eastAsia="Malgun Gothic" w:hAnsi="Arial" w:cs="Arial"/>
          <w:iCs/>
          <w:sz w:val="20"/>
          <w:szCs w:val="20"/>
        </w:rPr>
        <w:t xml:space="preserve">no siendo preciso, como así apunta la </w:t>
      </w:r>
      <w:r w:rsidRPr="00554476">
        <w:rPr>
          <w:rFonts w:ascii="Arial" w:eastAsia="Malgun Gothic" w:hAnsi="Arial" w:cs="Arial"/>
          <w:bCs/>
          <w:iCs/>
          <w:sz w:val="20"/>
          <w:szCs w:val="20"/>
        </w:rPr>
        <w:t>STS de 9 de mayo de 2013</w:t>
      </w:r>
      <w:r w:rsidRPr="00554476">
        <w:rPr>
          <w:rFonts w:ascii="Arial" w:eastAsia="Malgun Gothic" w:hAnsi="Arial" w:cs="Arial"/>
          <w:i/>
          <w:sz w:val="20"/>
          <w:szCs w:val="20"/>
        </w:rPr>
        <w:t>,</w:t>
      </w:r>
      <w:r w:rsidRPr="00554476">
        <w:rPr>
          <w:rFonts w:ascii="Arial" w:eastAsia="Malgun Gothic" w:hAnsi="Arial" w:cs="Arial"/>
          <w:iCs/>
          <w:sz w:val="20"/>
          <w:szCs w:val="20"/>
        </w:rPr>
        <w:t xml:space="preserve"> que exista equilibrio económico habida cuenta que </w:t>
      </w:r>
      <w:r w:rsidRPr="00554476">
        <w:rPr>
          <w:rFonts w:ascii="Arial" w:eastAsia="Malgun Gothic" w:hAnsi="Arial" w:cs="Arial"/>
          <w:sz w:val="20"/>
          <w:szCs w:val="20"/>
        </w:rPr>
        <w:t>corresponde a la iniciativa empresarial fijar el precio de la prestación que satisface y el diseño de la oferta comercial, dentro de los límites fijados por el legislador</w:t>
      </w:r>
    </w:p>
    <w:p w14:paraId="5832C3B0" w14:textId="77777777" w:rsidR="0088759F" w:rsidRPr="00554476" w:rsidRDefault="0088759F" w:rsidP="00554476">
      <w:pPr>
        <w:spacing w:after="0" w:line="360" w:lineRule="auto"/>
        <w:jc w:val="both"/>
        <w:rPr>
          <w:rFonts w:ascii="Arial" w:hAnsi="Arial" w:cs="Arial"/>
          <w:sz w:val="20"/>
          <w:szCs w:val="20"/>
        </w:rPr>
      </w:pPr>
    </w:p>
    <w:p w14:paraId="2E8A1294" w14:textId="6F1F842D" w:rsidR="00F1308C" w:rsidRPr="00554476" w:rsidRDefault="00D17630" w:rsidP="00554476">
      <w:pPr>
        <w:spacing w:after="0" w:line="360" w:lineRule="auto"/>
        <w:jc w:val="both"/>
        <w:rPr>
          <w:rFonts w:ascii="Arial" w:hAnsi="Arial" w:cs="Arial"/>
          <w:sz w:val="20"/>
          <w:szCs w:val="20"/>
        </w:rPr>
      </w:pPr>
      <w:r w:rsidRPr="00554476">
        <w:rPr>
          <w:rFonts w:ascii="Arial" w:eastAsia="Times New Roman" w:hAnsi="Arial" w:cs="Arial"/>
          <w:sz w:val="20"/>
          <w:szCs w:val="20"/>
        </w:rPr>
        <w:t xml:space="preserve">Es decir, lo que se pretende con la exigencia de ese desequilibrio importante es asegurarse de que el consumidor, dada su situación no tiene que asumir unas condiciones que son desequilibradas y benefician claramente al empresario, por no tener posibilidad de elección. Sin embargo, en el caso que nos ocupa no podemos olvidar que las condiciones económicas del préstamo hipotecario eran realmente beneficiosas, </w:t>
      </w:r>
      <w:r w:rsidR="00923417" w:rsidRPr="00554476">
        <w:rPr>
          <w:rFonts w:ascii="Arial" w:eastAsia="Times New Roman" w:hAnsi="Arial" w:cs="Arial"/>
          <w:sz w:val="20"/>
          <w:szCs w:val="20"/>
        </w:rPr>
        <w:t>atendiendo al tipo de interés pactado frente a los existentes en el mercado en la actualidad.</w:t>
      </w:r>
      <w:r w:rsidRPr="00554476">
        <w:rPr>
          <w:rFonts w:ascii="Arial" w:eastAsia="Times New Roman" w:hAnsi="Arial" w:cs="Arial"/>
          <w:sz w:val="20"/>
          <w:szCs w:val="20"/>
        </w:rPr>
        <w:t xml:space="preserve"> Es evidente que dichas condiciones económicas beneficiosas para el consumidor tuviero</w:t>
      </w:r>
      <w:r w:rsidR="00CE1978" w:rsidRPr="00554476">
        <w:rPr>
          <w:rFonts w:ascii="Arial" w:eastAsia="Times New Roman" w:hAnsi="Arial" w:cs="Arial"/>
          <w:sz w:val="20"/>
          <w:szCs w:val="20"/>
        </w:rPr>
        <w:t>n</w:t>
      </w:r>
      <w:r w:rsidRPr="00554476">
        <w:rPr>
          <w:rFonts w:ascii="Arial" w:eastAsia="Times New Roman" w:hAnsi="Arial" w:cs="Arial"/>
          <w:sz w:val="20"/>
          <w:szCs w:val="20"/>
        </w:rPr>
        <w:t xml:space="preserve"> en cuenta en su momento el hecho de que el mismo aceptaba abonar una serie de gastos, y esa aceptación por su parte correspondía a lo que él entendía que era un equilibrio de las prestaciones. Como se está demostrando en la actualidad, la entidad bancaria nunca le hubiera ofrecido esas condiciones si no hubiera libremente aceptado el abono de los mencionados gastos, claramente detallados, descritos y cuantificados con anterioridad a la firma de la escritura. </w:t>
      </w:r>
      <w:r w:rsidR="008B1665" w:rsidRPr="00554476">
        <w:rPr>
          <w:rFonts w:ascii="Arial" w:eastAsia="Times New Roman" w:hAnsi="Arial" w:cs="Arial"/>
          <w:sz w:val="20"/>
          <w:szCs w:val="20"/>
        </w:rPr>
        <w:t>Pocas cosas tiene</w:t>
      </w:r>
      <w:r w:rsidRPr="00554476">
        <w:rPr>
          <w:rFonts w:ascii="Arial" w:eastAsia="Times New Roman" w:hAnsi="Arial" w:cs="Arial"/>
          <w:sz w:val="20"/>
          <w:szCs w:val="20"/>
        </w:rPr>
        <w:t xml:space="preserve"> más claras un consumidor que suscribe un producto bancario que los gastos que comporta el otorgamiento de un préstamo hipotecario. </w:t>
      </w:r>
    </w:p>
    <w:p w14:paraId="01F770DD" w14:textId="77777777" w:rsidR="001148AC" w:rsidRPr="00554476" w:rsidRDefault="001148AC" w:rsidP="00554476">
      <w:pPr>
        <w:spacing w:after="0" w:line="360" w:lineRule="auto"/>
        <w:jc w:val="both"/>
        <w:rPr>
          <w:rFonts w:ascii="Arial" w:hAnsi="Arial" w:cs="Arial"/>
          <w:sz w:val="20"/>
          <w:szCs w:val="20"/>
        </w:rPr>
      </w:pPr>
    </w:p>
    <w:p w14:paraId="13278C5C" w14:textId="49F135DE" w:rsidR="004E790C" w:rsidRPr="00554476" w:rsidRDefault="00E56E1C" w:rsidP="00573184">
      <w:pPr>
        <w:spacing w:after="0" w:line="360" w:lineRule="auto"/>
        <w:jc w:val="both"/>
        <w:rPr>
          <w:rFonts w:ascii="Arial" w:hAnsi="Arial" w:cs="Arial"/>
          <w:sz w:val="20"/>
          <w:szCs w:val="20"/>
        </w:rPr>
      </w:pPr>
      <w:r w:rsidRPr="00554476">
        <w:rPr>
          <w:rFonts w:ascii="Arial" w:hAnsi="Arial" w:cs="Arial"/>
          <w:sz w:val="20"/>
          <w:szCs w:val="20"/>
        </w:rPr>
        <w:t xml:space="preserve">Asimismo, </w:t>
      </w:r>
      <w:r w:rsidR="003C788C" w:rsidRPr="00554476">
        <w:rPr>
          <w:rFonts w:ascii="Arial" w:hAnsi="Arial" w:cs="Arial"/>
          <w:sz w:val="20"/>
          <w:szCs w:val="20"/>
        </w:rPr>
        <w:t>es necesario destaca</w:t>
      </w:r>
      <w:r w:rsidR="004E790C" w:rsidRPr="00554476">
        <w:rPr>
          <w:rFonts w:ascii="Arial" w:hAnsi="Arial" w:cs="Arial"/>
          <w:sz w:val="20"/>
          <w:szCs w:val="20"/>
        </w:rPr>
        <w:t xml:space="preserve">r que la necesidad de un “plus de reproche o deslealtad” por parte de la entidad bancaria ya ha sido exigido por algunos Magistrados de Audiencias Provinciales que han publicado los “Cuadernos digitales de Formación”, número 4, 2018, destinado a la formación de jueces de primera instancia. </w:t>
      </w:r>
    </w:p>
    <w:p w14:paraId="6F405A02" w14:textId="77777777" w:rsidR="007E4E35" w:rsidRPr="00554476" w:rsidRDefault="004E790C" w:rsidP="00554476">
      <w:pPr>
        <w:pStyle w:val="Sinespaciado"/>
        <w:tabs>
          <w:tab w:val="left" w:pos="0"/>
        </w:tabs>
        <w:spacing w:line="360" w:lineRule="auto"/>
        <w:jc w:val="both"/>
        <w:rPr>
          <w:rFonts w:ascii="Arial" w:hAnsi="Arial" w:cs="Arial"/>
          <w:sz w:val="20"/>
          <w:szCs w:val="20"/>
        </w:rPr>
      </w:pPr>
      <w:r w:rsidRPr="00554476">
        <w:rPr>
          <w:rFonts w:ascii="Arial" w:hAnsi="Arial" w:cs="Arial"/>
          <w:sz w:val="20"/>
          <w:szCs w:val="20"/>
        </w:rPr>
        <w:lastRenderedPageBreak/>
        <w:t xml:space="preserve">Por otro lado, la necesidad de apreciar la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teniendo en cuenta únicamente las circunstancias existentes en el momento del contrato y que podía conocer el empresario ya ha sido destacada por el TJUE en su Sentencia de 20 de septiembre de 2017</w:t>
      </w:r>
      <w:r w:rsidR="007E4E35" w:rsidRPr="00554476">
        <w:rPr>
          <w:rFonts w:ascii="Arial" w:hAnsi="Arial" w:cs="Arial"/>
          <w:sz w:val="20"/>
          <w:szCs w:val="20"/>
        </w:rPr>
        <w:t xml:space="preserve"> (caso </w:t>
      </w:r>
      <w:proofErr w:type="spellStart"/>
      <w:r w:rsidR="007E4E35" w:rsidRPr="00554476">
        <w:rPr>
          <w:rFonts w:ascii="Arial" w:hAnsi="Arial" w:cs="Arial"/>
          <w:sz w:val="20"/>
          <w:szCs w:val="20"/>
        </w:rPr>
        <w:t>Andriciuc</w:t>
      </w:r>
      <w:proofErr w:type="spellEnd"/>
      <w:r w:rsidR="000D7A0F" w:rsidRPr="00554476">
        <w:rPr>
          <w:rFonts w:ascii="Arial" w:hAnsi="Arial" w:cs="Arial"/>
          <w:sz w:val="20"/>
          <w:szCs w:val="20"/>
        </w:rPr>
        <w:t xml:space="preserve">, </w:t>
      </w:r>
      <w:r w:rsidR="000D7A0F" w:rsidRPr="00554476">
        <w:rPr>
          <w:rFonts w:ascii="Arial" w:eastAsia="Calibri" w:hAnsi="Arial" w:cs="Arial"/>
          <w:spacing w:val="4"/>
          <w:sz w:val="20"/>
          <w:szCs w:val="20"/>
        </w:rPr>
        <w:t>C-186/16</w:t>
      </w:r>
      <w:r w:rsidR="007E4E35" w:rsidRPr="00554476">
        <w:rPr>
          <w:rFonts w:ascii="Arial" w:hAnsi="Arial" w:cs="Arial"/>
          <w:sz w:val="20"/>
          <w:szCs w:val="20"/>
        </w:rPr>
        <w:t xml:space="preserve">) que en su párrafo 54 establecía: </w:t>
      </w:r>
    </w:p>
    <w:p w14:paraId="12CA0351" w14:textId="77777777" w:rsidR="00856F4B" w:rsidRPr="00554476" w:rsidRDefault="00856F4B" w:rsidP="00554476">
      <w:pPr>
        <w:pStyle w:val="Sinespaciado"/>
        <w:tabs>
          <w:tab w:val="left" w:pos="0"/>
        </w:tabs>
        <w:spacing w:line="360" w:lineRule="auto"/>
        <w:jc w:val="both"/>
        <w:rPr>
          <w:rFonts w:ascii="Arial" w:hAnsi="Arial" w:cs="Arial"/>
          <w:sz w:val="20"/>
          <w:szCs w:val="20"/>
        </w:rPr>
      </w:pPr>
    </w:p>
    <w:p w14:paraId="6AEDEA9A" w14:textId="77777777" w:rsidR="000D7A0F" w:rsidRPr="00554476" w:rsidRDefault="000D7A0F" w:rsidP="00967E66">
      <w:pPr>
        <w:pStyle w:val="Sinespaciado"/>
        <w:tabs>
          <w:tab w:val="left" w:pos="709"/>
        </w:tabs>
        <w:spacing w:line="360" w:lineRule="auto"/>
        <w:ind w:left="709" w:right="-1"/>
        <w:jc w:val="both"/>
        <w:rPr>
          <w:rFonts w:ascii="Arial" w:hAnsi="Arial" w:cs="Arial"/>
          <w:sz w:val="20"/>
          <w:szCs w:val="20"/>
        </w:rPr>
      </w:pPr>
      <w:r w:rsidRPr="00554476">
        <w:rPr>
          <w:rFonts w:ascii="Arial" w:hAnsi="Arial" w:cs="Arial"/>
          <w:sz w:val="20"/>
          <w:szCs w:val="20"/>
        </w:rPr>
        <w:t>“</w:t>
      </w:r>
      <w:r w:rsidRPr="00554476">
        <w:rPr>
          <w:rFonts w:ascii="Arial" w:hAnsi="Arial" w:cs="Arial"/>
          <w:i/>
          <w:sz w:val="20"/>
          <w:szCs w:val="20"/>
        </w:rPr>
        <w:t>54. De ello se deduce, como el Abogado General ha señalado en los puntos 78, 80 y 82 de sus conclusiones, que la apreciación del carácter abusivo de una cláusula contractual debe realizarse en relación con el momento de la celebración del contrato en cuestión, teniendo en cuenta el conjunto de las circunstancias que el profesional podía conocer en ese momento y que podían influir en la ulterior ejecución de dicho contrato, ya que una cláusula contractual puede entrañar un desequilibrio entre las partes que sólo se manifieste mientras se ejecuta el contrato.</w:t>
      </w:r>
      <w:r w:rsidRPr="00554476">
        <w:rPr>
          <w:rFonts w:ascii="Arial" w:hAnsi="Arial" w:cs="Arial"/>
          <w:sz w:val="20"/>
          <w:szCs w:val="20"/>
        </w:rPr>
        <w:t>”</w:t>
      </w:r>
    </w:p>
    <w:p w14:paraId="444E0E48" w14:textId="77777777" w:rsidR="007E4E35" w:rsidRPr="00554476" w:rsidRDefault="007E4E35" w:rsidP="00554476">
      <w:pPr>
        <w:pStyle w:val="Sinespaciado"/>
        <w:spacing w:line="360" w:lineRule="auto"/>
        <w:jc w:val="both"/>
        <w:rPr>
          <w:rFonts w:ascii="Arial" w:hAnsi="Arial" w:cs="Arial"/>
          <w:sz w:val="20"/>
          <w:szCs w:val="20"/>
        </w:rPr>
      </w:pPr>
    </w:p>
    <w:p w14:paraId="0186AF36" w14:textId="6B8E2679" w:rsidR="007E4E35" w:rsidRPr="00554476" w:rsidRDefault="007E4E35" w:rsidP="00554476">
      <w:pPr>
        <w:pStyle w:val="Sinespaciado"/>
        <w:tabs>
          <w:tab w:val="left" w:pos="0"/>
        </w:tabs>
        <w:spacing w:line="360" w:lineRule="auto"/>
        <w:jc w:val="both"/>
        <w:rPr>
          <w:rFonts w:ascii="Arial" w:hAnsi="Arial" w:cs="Arial"/>
          <w:sz w:val="20"/>
          <w:szCs w:val="20"/>
        </w:rPr>
      </w:pPr>
      <w:r w:rsidRPr="00554476">
        <w:rPr>
          <w:rFonts w:ascii="Arial" w:hAnsi="Arial" w:cs="Arial"/>
          <w:sz w:val="20"/>
          <w:szCs w:val="20"/>
        </w:rPr>
        <w:t xml:space="preserve">Si cabe, de forma más clara se había pronunciado el Abogado General en los párrafos 78 </w:t>
      </w:r>
      <w:r w:rsidR="008B1665" w:rsidRPr="00554476">
        <w:rPr>
          <w:rFonts w:ascii="Arial" w:hAnsi="Arial" w:cs="Arial"/>
          <w:sz w:val="20"/>
          <w:szCs w:val="20"/>
        </w:rPr>
        <w:t>a 82</w:t>
      </w:r>
      <w:r w:rsidR="00AC28AA" w:rsidRPr="00554476">
        <w:rPr>
          <w:rFonts w:ascii="Arial" w:hAnsi="Arial" w:cs="Arial"/>
          <w:sz w:val="20"/>
          <w:szCs w:val="20"/>
        </w:rPr>
        <w:t>, a los que haremos posteriormente referencia.</w:t>
      </w:r>
    </w:p>
    <w:p w14:paraId="26FC4FEF" w14:textId="77777777" w:rsidR="000E5801" w:rsidRPr="00554476" w:rsidRDefault="000E5801" w:rsidP="00554476">
      <w:pPr>
        <w:pStyle w:val="Sinespaciado"/>
        <w:spacing w:line="360" w:lineRule="auto"/>
        <w:jc w:val="both"/>
        <w:rPr>
          <w:rFonts w:ascii="Arial" w:hAnsi="Arial" w:cs="Arial"/>
          <w:sz w:val="20"/>
          <w:szCs w:val="20"/>
        </w:rPr>
      </w:pPr>
    </w:p>
    <w:p w14:paraId="389348D6" w14:textId="77777777" w:rsidR="00852D41" w:rsidRPr="00554476" w:rsidRDefault="000E5801" w:rsidP="00554476">
      <w:pPr>
        <w:pStyle w:val="Sinespaciado"/>
        <w:spacing w:line="360" w:lineRule="auto"/>
        <w:jc w:val="both"/>
        <w:rPr>
          <w:rFonts w:ascii="Arial" w:hAnsi="Arial" w:cs="Arial"/>
          <w:sz w:val="20"/>
          <w:szCs w:val="20"/>
        </w:rPr>
      </w:pPr>
      <w:r w:rsidRPr="00554476">
        <w:rPr>
          <w:rFonts w:ascii="Arial" w:hAnsi="Arial" w:cs="Arial"/>
          <w:sz w:val="20"/>
          <w:szCs w:val="20"/>
        </w:rPr>
        <w:t>En todo caso, s</w:t>
      </w:r>
      <w:r w:rsidR="00852D41" w:rsidRPr="00554476">
        <w:rPr>
          <w:rFonts w:ascii="Arial" w:hAnsi="Arial" w:cs="Arial"/>
          <w:sz w:val="20"/>
          <w:szCs w:val="20"/>
        </w:rPr>
        <w:t xml:space="preserve">in perjuicio de que analicemos dichos requisitos teniendo en cuenta cada uno de los gastos desglosados en la cláusula ahora impugnada, ya adelantamos que teniendo en cuenta estos requisitos no puede apreciarse la </w:t>
      </w:r>
      <w:proofErr w:type="spellStart"/>
      <w:r w:rsidR="00852D41" w:rsidRPr="00554476">
        <w:rPr>
          <w:rFonts w:ascii="Arial" w:hAnsi="Arial" w:cs="Arial"/>
          <w:sz w:val="20"/>
          <w:szCs w:val="20"/>
        </w:rPr>
        <w:t>abusividad</w:t>
      </w:r>
      <w:proofErr w:type="spellEnd"/>
      <w:r w:rsidR="00852D41" w:rsidRPr="00554476">
        <w:rPr>
          <w:rFonts w:ascii="Arial" w:hAnsi="Arial" w:cs="Arial"/>
          <w:sz w:val="20"/>
          <w:szCs w:val="20"/>
        </w:rPr>
        <w:t xml:space="preserve"> de la mencionada cláusula. </w:t>
      </w:r>
    </w:p>
    <w:p w14:paraId="055E03E3" w14:textId="77777777" w:rsidR="00821D9B" w:rsidRPr="00554476" w:rsidRDefault="00821D9B" w:rsidP="00554476">
      <w:pPr>
        <w:pStyle w:val="Sinespaciado"/>
        <w:spacing w:line="360" w:lineRule="auto"/>
        <w:jc w:val="both"/>
        <w:rPr>
          <w:rFonts w:ascii="Arial" w:hAnsi="Arial" w:cs="Arial"/>
          <w:sz w:val="20"/>
          <w:szCs w:val="20"/>
        </w:rPr>
      </w:pPr>
    </w:p>
    <w:p w14:paraId="02C7D7DC" w14:textId="77777777" w:rsidR="00194EEC" w:rsidRPr="00554476" w:rsidRDefault="00194EEC" w:rsidP="00554476">
      <w:pPr>
        <w:spacing w:after="0" w:line="360" w:lineRule="auto"/>
        <w:jc w:val="both"/>
        <w:rPr>
          <w:rFonts w:ascii="Arial" w:hAnsi="Arial" w:cs="Arial"/>
          <w:sz w:val="20"/>
          <w:szCs w:val="20"/>
        </w:rPr>
      </w:pPr>
      <w:r w:rsidRPr="00554476">
        <w:rPr>
          <w:rFonts w:ascii="Arial" w:hAnsi="Arial" w:cs="Arial"/>
          <w:sz w:val="20"/>
          <w:szCs w:val="20"/>
        </w:rPr>
        <w:t>Tampoco puede afirmarse que la cláusula ahora cuestionada pueda cabida en el listado de cláusulas abusivas establecidas</w:t>
      </w:r>
      <w:r w:rsidR="00923417" w:rsidRPr="00554476">
        <w:rPr>
          <w:rFonts w:ascii="Arial" w:hAnsi="Arial" w:cs="Arial"/>
          <w:sz w:val="20"/>
          <w:szCs w:val="20"/>
        </w:rPr>
        <w:t xml:space="preserve"> en la</w:t>
      </w:r>
      <w:r w:rsidRPr="00554476">
        <w:rPr>
          <w:rFonts w:ascii="Arial" w:hAnsi="Arial" w:cs="Arial"/>
          <w:sz w:val="20"/>
          <w:szCs w:val="20"/>
        </w:rPr>
        <w:t xml:space="preserve"> </w:t>
      </w:r>
      <w:r w:rsidR="00923417" w:rsidRPr="00554476">
        <w:rPr>
          <w:rFonts w:ascii="Arial" w:hAnsi="Arial" w:cs="Arial"/>
          <w:sz w:val="20"/>
          <w:szCs w:val="20"/>
        </w:rPr>
        <w:t xml:space="preserve">D.A. 1ª de la LGDCU </w:t>
      </w:r>
      <w:r w:rsidRPr="00554476">
        <w:rPr>
          <w:rFonts w:ascii="Arial" w:hAnsi="Arial" w:cs="Arial"/>
          <w:sz w:val="20"/>
          <w:szCs w:val="20"/>
        </w:rPr>
        <w:t>o en el listado contenido en el Anexo de la Directiva 93/13/CEE, coloquialmente conocido o denominado “lista negra”.</w:t>
      </w:r>
    </w:p>
    <w:p w14:paraId="47B0D5D5" w14:textId="77777777" w:rsidR="00194EEC" w:rsidRPr="00554476" w:rsidRDefault="00194EEC" w:rsidP="00554476">
      <w:pPr>
        <w:pStyle w:val="Prrafodelista"/>
        <w:spacing w:after="0" w:line="360" w:lineRule="auto"/>
        <w:jc w:val="both"/>
        <w:rPr>
          <w:rFonts w:ascii="Arial" w:hAnsi="Arial" w:cs="Arial"/>
          <w:sz w:val="20"/>
          <w:szCs w:val="20"/>
        </w:rPr>
      </w:pPr>
    </w:p>
    <w:p w14:paraId="66082E16" w14:textId="77777777" w:rsidR="00194EEC" w:rsidRPr="00554476" w:rsidRDefault="00194EEC" w:rsidP="00554476">
      <w:pPr>
        <w:spacing w:after="0" w:line="360" w:lineRule="auto"/>
        <w:jc w:val="both"/>
        <w:rPr>
          <w:rFonts w:ascii="Arial" w:hAnsi="Arial" w:cs="Arial"/>
          <w:bCs/>
          <w:sz w:val="20"/>
          <w:szCs w:val="20"/>
        </w:rPr>
      </w:pPr>
      <w:r w:rsidRPr="00554476">
        <w:rPr>
          <w:rFonts w:ascii="Arial" w:hAnsi="Arial" w:cs="Arial"/>
          <w:sz w:val="20"/>
          <w:szCs w:val="20"/>
        </w:rPr>
        <w:t xml:space="preserve">Con el fin de no extendernos en demasía evitamos la transcripción literal de la normativa citada, y nos ceñiremos a señalar </w:t>
      </w:r>
      <w:r w:rsidRPr="00554476">
        <w:rPr>
          <w:rFonts w:ascii="Arial" w:hAnsi="Arial" w:cs="Arial"/>
          <w:bCs/>
          <w:sz w:val="20"/>
          <w:szCs w:val="20"/>
        </w:rPr>
        <w:t>que la cláusula objeto de este procedimiento no pueda encuadrarse entre aquellas que:</w:t>
      </w:r>
    </w:p>
    <w:p w14:paraId="62DCED70" w14:textId="77777777" w:rsidR="00194EEC" w:rsidRPr="00554476" w:rsidRDefault="00194EEC" w:rsidP="00554476">
      <w:pPr>
        <w:spacing w:after="0" w:line="360" w:lineRule="auto"/>
        <w:jc w:val="both"/>
        <w:rPr>
          <w:rFonts w:ascii="Arial" w:hAnsi="Arial" w:cs="Arial"/>
          <w:bCs/>
          <w:sz w:val="20"/>
          <w:szCs w:val="20"/>
        </w:rPr>
      </w:pPr>
    </w:p>
    <w:p w14:paraId="508DCDA9" w14:textId="77777777" w:rsidR="00194EEC" w:rsidRPr="00554476" w:rsidRDefault="00194EEC" w:rsidP="00554476">
      <w:pPr>
        <w:numPr>
          <w:ilvl w:val="0"/>
          <w:numId w:val="1"/>
        </w:numPr>
        <w:spacing w:after="0" w:line="360" w:lineRule="auto"/>
        <w:ind w:left="714" w:hanging="357"/>
        <w:contextualSpacing/>
        <w:jc w:val="both"/>
        <w:rPr>
          <w:rFonts w:ascii="Arial" w:hAnsi="Arial" w:cs="Arial"/>
          <w:sz w:val="20"/>
          <w:szCs w:val="20"/>
        </w:rPr>
      </w:pPr>
      <w:r w:rsidRPr="00554476">
        <w:rPr>
          <w:rFonts w:ascii="Arial" w:hAnsi="Arial" w:cs="Arial"/>
          <w:sz w:val="20"/>
          <w:szCs w:val="20"/>
        </w:rPr>
        <w:t>Vinculan el contrato a la voluntad del empresario.</w:t>
      </w:r>
    </w:p>
    <w:p w14:paraId="6B179C6A" w14:textId="77777777" w:rsidR="00194EEC" w:rsidRPr="00554476" w:rsidRDefault="00194EEC" w:rsidP="00554476">
      <w:pPr>
        <w:numPr>
          <w:ilvl w:val="0"/>
          <w:numId w:val="1"/>
        </w:numPr>
        <w:spacing w:after="0" w:line="360" w:lineRule="auto"/>
        <w:contextualSpacing/>
        <w:jc w:val="both"/>
        <w:rPr>
          <w:rFonts w:ascii="Arial" w:eastAsia="Times New Roman" w:hAnsi="Arial" w:cs="Arial"/>
          <w:sz w:val="20"/>
          <w:szCs w:val="20"/>
        </w:rPr>
      </w:pPr>
      <w:r w:rsidRPr="00554476">
        <w:rPr>
          <w:rFonts w:ascii="Arial" w:eastAsia="Times New Roman" w:hAnsi="Arial" w:cs="Arial"/>
          <w:sz w:val="20"/>
          <w:szCs w:val="20"/>
        </w:rPr>
        <w:t>Limitan los derechos del consumidor y usuario.</w:t>
      </w:r>
    </w:p>
    <w:p w14:paraId="03D88E6A" w14:textId="77777777" w:rsidR="00194EEC" w:rsidRPr="00554476" w:rsidRDefault="00194EEC" w:rsidP="00554476">
      <w:pPr>
        <w:numPr>
          <w:ilvl w:val="0"/>
          <w:numId w:val="1"/>
        </w:numPr>
        <w:spacing w:after="0" w:line="360" w:lineRule="auto"/>
        <w:contextualSpacing/>
        <w:jc w:val="both"/>
        <w:rPr>
          <w:rFonts w:ascii="Arial" w:eastAsia="Times New Roman" w:hAnsi="Arial" w:cs="Arial"/>
          <w:sz w:val="20"/>
          <w:szCs w:val="20"/>
        </w:rPr>
      </w:pPr>
      <w:r w:rsidRPr="00554476">
        <w:rPr>
          <w:rFonts w:ascii="Arial" w:eastAsia="Times New Roman" w:hAnsi="Arial" w:cs="Arial"/>
          <w:sz w:val="20"/>
          <w:szCs w:val="20"/>
        </w:rPr>
        <w:t>Conllevan falta de reciprocidad en el contrato.</w:t>
      </w:r>
    </w:p>
    <w:p w14:paraId="25DC2E62" w14:textId="77777777" w:rsidR="00194EEC" w:rsidRPr="00554476" w:rsidRDefault="00194EEC" w:rsidP="00554476">
      <w:pPr>
        <w:numPr>
          <w:ilvl w:val="0"/>
          <w:numId w:val="1"/>
        </w:numPr>
        <w:spacing w:after="0" w:line="360" w:lineRule="auto"/>
        <w:contextualSpacing/>
        <w:jc w:val="both"/>
        <w:rPr>
          <w:rFonts w:ascii="Arial" w:eastAsia="Times New Roman" w:hAnsi="Arial" w:cs="Arial"/>
          <w:sz w:val="20"/>
          <w:szCs w:val="20"/>
        </w:rPr>
      </w:pPr>
      <w:r w:rsidRPr="00554476">
        <w:rPr>
          <w:rFonts w:ascii="Arial" w:eastAsia="Times New Roman" w:hAnsi="Arial" w:cs="Arial"/>
          <w:sz w:val="20"/>
          <w:szCs w:val="20"/>
        </w:rPr>
        <w:t>Imponen al consumidor y usuario garantías desproporcionadas o le impongan indebidamente la carga de la prueba.</w:t>
      </w:r>
    </w:p>
    <w:p w14:paraId="0AEC3015" w14:textId="77777777" w:rsidR="00194EEC" w:rsidRPr="00554476" w:rsidRDefault="00194EEC" w:rsidP="00554476">
      <w:pPr>
        <w:numPr>
          <w:ilvl w:val="0"/>
          <w:numId w:val="1"/>
        </w:numPr>
        <w:spacing w:after="0" w:line="360" w:lineRule="auto"/>
        <w:contextualSpacing/>
        <w:jc w:val="both"/>
        <w:rPr>
          <w:rFonts w:ascii="Arial" w:eastAsia="Times New Roman" w:hAnsi="Arial" w:cs="Arial"/>
          <w:sz w:val="20"/>
          <w:szCs w:val="20"/>
        </w:rPr>
      </w:pPr>
      <w:r w:rsidRPr="00554476">
        <w:rPr>
          <w:rFonts w:ascii="Arial" w:eastAsia="Times New Roman" w:hAnsi="Arial" w:cs="Arial"/>
          <w:bCs/>
          <w:sz w:val="20"/>
          <w:szCs w:val="20"/>
        </w:rPr>
        <w:t>C</w:t>
      </w:r>
      <w:r w:rsidRPr="00554476">
        <w:rPr>
          <w:rFonts w:ascii="Arial" w:eastAsia="Times New Roman" w:hAnsi="Arial" w:cs="Arial"/>
          <w:sz w:val="20"/>
          <w:szCs w:val="20"/>
        </w:rPr>
        <w:t>ontravienen las reglas sobre competencia y derecho aplicable.</w:t>
      </w:r>
    </w:p>
    <w:p w14:paraId="21FD5E3D" w14:textId="77777777" w:rsidR="00194EEC" w:rsidRPr="00554476" w:rsidRDefault="00194EEC" w:rsidP="00554476">
      <w:pPr>
        <w:spacing w:after="0" w:line="360" w:lineRule="auto"/>
        <w:ind w:left="720"/>
        <w:contextualSpacing/>
        <w:jc w:val="both"/>
        <w:rPr>
          <w:rFonts w:ascii="Arial" w:eastAsia="Times New Roman" w:hAnsi="Arial" w:cs="Arial"/>
          <w:sz w:val="20"/>
          <w:szCs w:val="20"/>
        </w:rPr>
      </w:pPr>
    </w:p>
    <w:p w14:paraId="1014FE04" w14:textId="40340F7C" w:rsidR="00194EEC" w:rsidRPr="00554476" w:rsidRDefault="00194EEC" w:rsidP="00554476">
      <w:pPr>
        <w:spacing w:after="0" w:line="360" w:lineRule="auto"/>
        <w:jc w:val="both"/>
        <w:rPr>
          <w:rFonts w:ascii="Arial" w:eastAsia="Times New Roman" w:hAnsi="Arial" w:cs="Arial"/>
          <w:sz w:val="20"/>
          <w:szCs w:val="20"/>
        </w:rPr>
      </w:pPr>
      <w:r w:rsidRPr="00554476">
        <w:rPr>
          <w:rFonts w:ascii="Arial" w:hAnsi="Arial" w:cs="Arial"/>
          <w:sz w:val="20"/>
          <w:szCs w:val="20"/>
        </w:rPr>
        <w:t>El apartado 21 de la D.</w:t>
      </w:r>
      <w:r w:rsidRPr="00554476">
        <w:rPr>
          <w:rFonts w:ascii="Arial" w:eastAsia="Times New Roman" w:hAnsi="Arial" w:cs="Arial"/>
          <w:sz w:val="20"/>
          <w:szCs w:val="20"/>
        </w:rPr>
        <w:t xml:space="preserve">A.1ª de la </w:t>
      </w:r>
      <w:r w:rsidR="008B1665" w:rsidRPr="00554476">
        <w:rPr>
          <w:rFonts w:ascii="Arial" w:eastAsia="Times New Roman" w:hAnsi="Arial" w:cs="Arial"/>
          <w:sz w:val="20"/>
          <w:szCs w:val="20"/>
        </w:rPr>
        <w:t xml:space="preserve">LGDCU </w:t>
      </w:r>
      <w:r w:rsidR="008B1665" w:rsidRPr="00554476">
        <w:rPr>
          <w:rFonts w:ascii="Arial" w:hAnsi="Arial" w:cs="Arial"/>
          <w:sz w:val="20"/>
          <w:szCs w:val="20"/>
        </w:rPr>
        <w:t>vigente</w:t>
      </w:r>
      <w:r w:rsidRPr="00554476">
        <w:rPr>
          <w:rFonts w:ascii="Arial" w:eastAsia="Times New Roman" w:hAnsi="Arial" w:cs="Arial"/>
          <w:sz w:val="20"/>
          <w:szCs w:val="20"/>
        </w:rPr>
        <w:t xml:space="preserve"> en </w:t>
      </w:r>
      <w:r w:rsidR="008B1665" w:rsidRPr="00554476">
        <w:rPr>
          <w:rFonts w:ascii="Arial" w:eastAsia="Times New Roman" w:hAnsi="Arial" w:cs="Arial"/>
          <w:sz w:val="20"/>
          <w:szCs w:val="20"/>
        </w:rPr>
        <w:t>el momento</w:t>
      </w:r>
      <w:r w:rsidRPr="00554476">
        <w:rPr>
          <w:rFonts w:ascii="Arial" w:eastAsia="Times New Roman" w:hAnsi="Arial" w:cs="Arial"/>
          <w:sz w:val="20"/>
          <w:szCs w:val="20"/>
        </w:rPr>
        <w:t xml:space="preserve"> de la formalización del préstamo hipotecario y que es citada de contrario, establecía que era abusiva la cláusula por la que se acordara</w:t>
      </w:r>
    </w:p>
    <w:p w14:paraId="1061873E" w14:textId="77777777" w:rsidR="00194EEC" w:rsidRPr="00554476" w:rsidRDefault="00194EEC" w:rsidP="00554476">
      <w:pPr>
        <w:spacing w:after="0" w:line="360" w:lineRule="auto"/>
        <w:jc w:val="both"/>
        <w:rPr>
          <w:rFonts w:ascii="Arial" w:eastAsia="Times New Roman" w:hAnsi="Arial" w:cs="Arial"/>
          <w:sz w:val="20"/>
          <w:szCs w:val="20"/>
        </w:rPr>
      </w:pPr>
    </w:p>
    <w:p w14:paraId="088E1A50" w14:textId="77777777" w:rsidR="00194EEC" w:rsidRPr="00554476" w:rsidRDefault="00194EEC" w:rsidP="00554476">
      <w:pPr>
        <w:spacing w:after="0" w:line="360" w:lineRule="auto"/>
        <w:ind w:left="426" w:right="566"/>
        <w:jc w:val="both"/>
        <w:rPr>
          <w:rFonts w:ascii="Arial" w:eastAsia="Times New Roman" w:hAnsi="Arial" w:cs="Arial"/>
          <w:i/>
          <w:sz w:val="20"/>
          <w:szCs w:val="20"/>
        </w:rPr>
      </w:pPr>
      <w:r w:rsidRPr="00554476">
        <w:rPr>
          <w:rFonts w:ascii="Arial" w:hAnsi="Arial" w:cs="Arial"/>
          <w:i/>
          <w:sz w:val="20"/>
          <w:szCs w:val="20"/>
        </w:rPr>
        <w:lastRenderedPageBreak/>
        <w:t>“21. La transmisión al consumidor de las consecuencias económicas de errores administrativos o de gestión que no le sean imputables.”</w:t>
      </w:r>
    </w:p>
    <w:p w14:paraId="4E9418CC" w14:textId="77777777" w:rsidR="00194EEC" w:rsidRPr="00554476" w:rsidRDefault="00194EEC" w:rsidP="00554476">
      <w:pPr>
        <w:spacing w:after="0" w:line="360" w:lineRule="auto"/>
        <w:jc w:val="both"/>
        <w:rPr>
          <w:rFonts w:ascii="Arial" w:eastAsia="Times New Roman" w:hAnsi="Arial" w:cs="Arial"/>
          <w:sz w:val="20"/>
          <w:szCs w:val="20"/>
        </w:rPr>
      </w:pPr>
    </w:p>
    <w:p w14:paraId="22882A9E" w14:textId="77777777" w:rsidR="00194EEC" w:rsidRPr="00554476" w:rsidRDefault="00194EEC" w:rsidP="00554476">
      <w:pPr>
        <w:spacing w:after="0" w:line="360" w:lineRule="auto"/>
        <w:jc w:val="both"/>
        <w:rPr>
          <w:rFonts w:ascii="Arial" w:eastAsia="Times New Roman" w:hAnsi="Arial" w:cs="Arial"/>
          <w:sz w:val="20"/>
          <w:szCs w:val="20"/>
        </w:rPr>
      </w:pPr>
      <w:r w:rsidRPr="00554476">
        <w:rPr>
          <w:rFonts w:ascii="Arial" w:eastAsia="Times New Roman" w:hAnsi="Arial" w:cs="Arial"/>
          <w:sz w:val="20"/>
          <w:szCs w:val="20"/>
        </w:rPr>
        <w:t>Dicha cláusula, como es lógico, impide la transmisión al consumidor de las consecuencias económicas derivadas de errores cometidos por el empresario, sean estos errores de gestión o administrativos. En ningún caso hace referencia, como no podía ser menos, que no puedan imputarse al consumidor los gastos de gestión, sino los derivados de errores del empresario en esa gestión.</w:t>
      </w:r>
    </w:p>
    <w:p w14:paraId="5CD7C770" w14:textId="77777777" w:rsidR="00194EEC" w:rsidRPr="00554476" w:rsidRDefault="00194EEC" w:rsidP="00554476">
      <w:pPr>
        <w:spacing w:after="0" w:line="360" w:lineRule="auto"/>
        <w:jc w:val="both"/>
        <w:rPr>
          <w:rFonts w:ascii="Arial" w:eastAsia="Times New Roman" w:hAnsi="Arial" w:cs="Arial"/>
          <w:sz w:val="20"/>
          <w:szCs w:val="20"/>
        </w:rPr>
      </w:pPr>
    </w:p>
    <w:p w14:paraId="5D0AFDEF" w14:textId="77777777" w:rsidR="00194EEC" w:rsidRPr="00554476" w:rsidRDefault="00194EEC" w:rsidP="00554476">
      <w:pPr>
        <w:spacing w:after="0" w:line="360" w:lineRule="auto"/>
        <w:jc w:val="both"/>
        <w:rPr>
          <w:rFonts w:ascii="Arial" w:eastAsia="Times New Roman" w:hAnsi="Arial" w:cs="Arial"/>
          <w:sz w:val="20"/>
          <w:szCs w:val="20"/>
        </w:rPr>
      </w:pPr>
      <w:r w:rsidRPr="00554476">
        <w:rPr>
          <w:rFonts w:ascii="Arial" w:eastAsia="Times New Roman" w:hAnsi="Arial" w:cs="Arial"/>
          <w:sz w:val="20"/>
          <w:szCs w:val="20"/>
        </w:rPr>
        <w:t xml:space="preserve">En el caso que nos ocupa, ¿qué error administrativo o de gestión ha cometido mi representada en relación a la cláusula litigiosa? ¿Cuál es el error que, supuestamente, mi representada ha trasladado al actor? Ninguno. </w:t>
      </w:r>
    </w:p>
    <w:p w14:paraId="09BCA965" w14:textId="77777777" w:rsidR="00194EEC" w:rsidRPr="00554476" w:rsidRDefault="00194EEC" w:rsidP="00554476">
      <w:pPr>
        <w:spacing w:after="0" w:line="360" w:lineRule="auto"/>
        <w:jc w:val="both"/>
        <w:rPr>
          <w:rFonts w:ascii="Arial" w:eastAsia="Times New Roman" w:hAnsi="Arial" w:cs="Arial"/>
          <w:sz w:val="20"/>
          <w:szCs w:val="20"/>
        </w:rPr>
      </w:pPr>
    </w:p>
    <w:p w14:paraId="25BB4CED" w14:textId="77777777" w:rsidR="00194EEC" w:rsidRPr="00554476" w:rsidRDefault="00194EEC" w:rsidP="00554476">
      <w:pPr>
        <w:spacing w:after="0" w:line="360" w:lineRule="auto"/>
        <w:jc w:val="both"/>
        <w:rPr>
          <w:rFonts w:ascii="Arial" w:eastAsia="Times New Roman" w:hAnsi="Arial" w:cs="Arial"/>
          <w:sz w:val="20"/>
          <w:szCs w:val="20"/>
        </w:rPr>
      </w:pPr>
      <w:r w:rsidRPr="00554476">
        <w:rPr>
          <w:rFonts w:ascii="Arial" w:eastAsia="Times New Roman" w:hAnsi="Arial" w:cs="Arial"/>
          <w:sz w:val="20"/>
          <w:szCs w:val="20"/>
        </w:rPr>
        <w:t>Por tanto, no hay duda de que, no existiendo error alguno cuyas consecuencias económicas hayan sido trasladadas al actor, la cláusula litigiosa no tiene cabida en la descripción del apartado 21 de la D.A.1ª de la LGDCU y, por esta vía, no puede ser considerada abusiva.</w:t>
      </w:r>
    </w:p>
    <w:p w14:paraId="1D82F3A5" w14:textId="77777777" w:rsidR="00F1308C" w:rsidRPr="00554476" w:rsidRDefault="00F1308C" w:rsidP="00554476">
      <w:pPr>
        <w:spacing w:after="0" w:line="360" w:lineRule="auto"/>
        <w:jc w:val="both"/>
        <w:rPr>
          <w:rFonts w:ascii="Arial" w:eastAsia="Times New Roman" w:hAnsi="Arial" w:cs="Arial"/>
          <w:sz w:val="20"/>
          <w:szCs w:val="20"/>
        </w:rPr>
      </w:pPr>
    </w:p>
    <w:p w14:paraId="43C9C8B9" w14:textId="77777777" w:rsidR="001E6C78" w:rsidRPr="00554476" w:rsidRDefault="001E6C78"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 xml:space="preserve">Asimismo, de manera más concreta, tampoco puede afirmarse que la cláusula que ahora nos ocupa pueda encajar en lo previsto en el </w:t>
      </w:r>
      <w:r w:rsidR="00923417" w:rsidRPr="00554476">
        <w:rPr>
          <w:rFonts w:ascii="Arial" w:eastAsia="Times New Roman" w:hAnsi="Arial" w:cs="Arial"/>
          <w:sz w:val="20"/>
          <w:szCs w:val="20"/>
        </w:rPr>
        <w:t>apartado 22 de la D.A.1ª de la LGDCU</w:t>
      </w:r>
      <w:r w:rsidR="00923417" w:rsidRPr="00554476">
        <w:rPr>
          <w:rFonts w:ascii="Arial" w:eastAsia="Calibri" w:hAnsi="Arial" w:cs="Arial"/>
          <w:spacing w:val="4"/>
          <w:sz w:val="20"/>
          <w:szCs w:val="20"/>
        </w:rPr>
        <w:t xml:space="preserve"> </w:t>
      </w:r>
      <w:r w:rsidR="00E21653" w:rsidRPr="00554476">
        <w:rPr>
          <w:rFonts w:ascii="Arial" w:eastAsia="Calibri" w:hAnsi="Arial" w:cs="Arial"/>
          <w:spacing w:val="4"/>
          <w:sz w:val="20"/>
          <w:szCs w:val="20"/>
        </w:rPr>
        <w:t xml:space="preserve">del mismo </w:t>
      </w:r>
      <w:r w:rsidRPr="00554476">
        <w:rPr>
          <w:rFonts w:ascii="Arial" w:eastAsia="Calibri" w:hAnsi="Arial" w:cs="Arial"/>
          <w:spacing w:val="4"/>
          <w:sz w:val="20"/>
          <w:szCs w:val="20"/>
        </w:rPr>
        <w:t>texto se establece que</w:t>
      </w:r>
      <w:r w:rsidR="00923417" w:rsidRPr="00554476">
        <w:rPr>
          <w:rFonts w:ascii="Arial" w:hAnsi="Arial" w:cs="Arial"/>
          <w:sz w:val="20"/>
          <w:szCs w:val="20"/>
        </w:rPr>
        <w:t>:</w:t>
      </w:r>
    </w:p>
    <w:p w14:paraId="2F263B7F" w14:textId="77777777" w:rsidR="001E6C78" w:rsidRPr="00554476" w:rsidRDefault="001E6C78" w:rsidP="00554476">
      <w:pPr>
        <w:spacing w:after="0" w:line="360" w:lineRule="auto"/>
        <w:jc w:val="both"/>
        <w:rPr>
          <w:rFonts w:ascii="Arial" w:eastAsia="Calibri" w:hAnsi="Arial" w:cs="Arial"/>
          <w:spacing w:val="4"/>
          <w:sz w:val="20"/>
          <w:szCs w:val="20"/>
        </w:rPr>
      </w:pPr>
    </w:p>
    <w:p w14:paraId="68C54C41" w14:textId="77777777" w:rsidR="001E6C78" w:rsidRPr="00554476" w:rsidRDefault="001E6C78" w:rsidP="00967E66">
      <w:pPr>
        <w:spacing w:after="0" w:line="360" w:lineRule="auto"/>
        <w:ind w:left="708" w:right="-1"/>
        <w:jc w:val="both"/>
        <w:rPr>
          <w:rFonts w:ascii="Arial" w:eastAsia="Calibri" w:hAnsi="Arial" w:cs="Arial"/>
          <w:i/>
          <w:spacing w:val="4"/>
          <w:sz w:val="20"/>
          <w:szCs w:val="20"/>
        </w:rPr>
      </w:pPr>
      <w:r w:rsidRPr="00554476">
        <w:rPr>
          <w:rFonts w:ascii="Arial" w:hAnsi="Arial" w:cs="Arial"/>
          <w:i/>
          <w:sz w:val="20"/>
          <w:szCs w:val="20"/>
        </w:rPr>
        <w:t xml:space="preserve">“En todo caso tienen la consideración de cláusulas abusivas: </w:t>
      </w:r>
      <w:r w:rsidRPr="00554476">
        <w:rPr>
          <w:rFonts w:ascii="Arial" w:eastAsia="Calibri" w:hAnsi="Arial" w:cs="Arial"/>
          <w:i/>
          <w:spacing w:val="4"/>
          <w:sz w:val="20"/>
          <w:szCs w:val="20"/>
        </w:rPr>
        <w:t>(…)</w:t>
      </w:r>
    </w:p>
    <w:p w14:paraId="740B40A3" w14:textId="77777777" w:rsidR="001E6C78" w:rsidRPr="00554476" w:rsidRDefault="001E6C78" w:rsidP="00967E66">
      <w:pPr>
        <w:spacing w:after="0" w:line="360" w:lineRule="auto"/>
        <w:ind w:left="708" w:right="-1"/>
        <w:jc w:val="both"/>
        <w:rPr>
          <w:rFonts w:ascii="Arial" w:eastAsia="Calibri" w:hAnsi="Arial" w:cs="Arial"/>
          <w:i/>
          <w:spacing w:val="4"/>
          <w:sz w:val="20"/>
          <w:szCs w:val="20"/>
        </w:rPr>
      </w:pPr>
    </w:p>
    <w:p w14:paraId="6EBBA40C" w14:textId="77777777" w:rsidR="001E6C78" w:rsidRPr="00554476" w:rsidRDefault="001E6C78" w:rsidP="00967E66">
      <w:pPr>
        <w:spacing w:after="0" w:line="360" w:lineRule="auto"/>
        <w:ind w:left="708" w:right="-1"/>
        <w:jc w:val="both"/>
        <w:rPr>
          <w:rFonts w:ascii="Arial" w:eastAsia="Times New Roman" w:hAnsi="Arial" w:cs="Arial"/>
          <w:i/>
          <w:spacing w:val="4"/>
          <w:sz w:val="20"/>
          <w:szCs w:val="20"/>
        </w:rPr>
      </w:pPr>
      <w:r w:rsidRPr="00554476">
        <w:rPr>
          <w:rFonts w:ascii="Arial" w:eastAsia="Calibri" w:hAnsi="Arial" w:cs="Arial"/>
          <w:i/>
          <w:spacing w:val="4"/>
          <w:sz w:val="20"/>
          <w:szCs w:val="20"/>
        </w:rPr>
        <w:t xml:space="preserve"> </w:t>
      </w:r>
      <w:r w:rsidR="00923417" w:rsidRPr="00554476">
        <w:rPr>
          <w:rFonts w:ascii="Arial" w:eastAsia="Times New Roman" w:hAnsi="Arial" w:cs="Arial"/>
          <w:bCs/>
          <w:i/>
          <w:spacing w:val="4"/>
          <w:sz w:val="20"/>
          <w:szCs w:val="20"/>
        </w:rPr>
        <w:t>22</w:t>
      </w:r>
      <w:r w:rsidRPr="00554476">
        <w:rPr>
          <w:rFonts w:ascii="Arial" w:eastAsia="Times New Roman" w:hAnsi="Arial" w:cs="Arial"/>
          <w:bCs/>
          <w:i/>
          <w:spacing w:val="4"/>
          <w:sz w:val="20"/>
          <w:szCs w:val="20"/>
        </w:rPr>
        <w:t>.</w:t>
      </w:r>
      <w:r w:rsidRPr="00554476">
        <w:rPr>
          <w:rFonts w:ascii="Arial" w:eastAsia="Times New Roman" w:hAnsi="Arial" w:cs="Arial"/>
          <w:i/>
          <w:spacing w:val="4"/>
          <w:sz w:val="20"/>
          <w:szCs w:val="20"/>
        </w:rPr>
        <w:t xml:space="preserve"> La imposición al consumidor de los gastos de documentación y tramitación que por ley corresponda al empresario. En particular, en la compraventa de viviendas </w:t>
      </w:r>
      <w:r w:rsidRPr="00554476">
        <w:rPr>
          <w:rFonts w:ascii="Arial" w:eastAsia="Calibri" w:hAnsi="Arial" w:cs="Arial"/>
          <w:i/>
          <w:spacing w:val="4"/>
          <w:sz w:val="20"/>
          <w:szCs w:val="20"/>
        </w:rPr>
        <w:t>(…).</w:t>
      </w:r>
    </w:p>
    <w:p w14:paraId="2F9163DC" w14:textId="77777777" w:rsidR="001E6C78" w:rsidRPr="00554476" w:rsidRDefault="001E6C78" w:rsidP="00967E66">
      <w:pPr>
        <w:spacing w:after="0" w:line="360" w:lineRule="auto"/>
        <w:ind w:right="-1"/>
        <w:jc w:val="both"/>
        <w:rPr>
          <w:rFonts w:ascii="Arial" w:eastAsia="Calibri" w:hAnsi="Arial" w:cs="Arial"/>
          <w:i/>
          <w:spacing w:val="4"/>
          <w:sz w:val="20"/>
          <w:szCs w:val="20"/>
        </w:rPr>
      </w:pPr>
    </w:p>
    <w:p w14:paraId="77B0C05E" w14:textId="77777777" w:rsidR="001E6C78" w:rsidRPr="00554476" w:rsidRDefault="001E6C78" w:rsidP="00967E66">
      <w:pPr>
        <w:spacing w:after="0" w:line="360" w:lineRule="auto"/>
        <w:ind w:left="708" w:right="-1"/>
        <w:jc w:val="both"/>
        <w:rPr>
          <w:rFonts w:ascii="Arial" w:eastAsia="Calibri" w:hAnsi="Arial" w:cs="Arial"/>
          <w:i/>
          <w:spacing w:val="4"/>
          <w:sz w:val="20"/>
          <w:szCs w:val="20"/>
        </w:rPr>
      </w:pPr>
      <w:r w:rsidRPr="00554476">
        <w:rPr>
          <w:rFonts w:ascii="Arial" w:eastAsia="Times New Roman" w:hAnsi="Arial" w:cs="Arial"/>
          <w:bCs/>
          <w:i/>
          <w:spacing w:val="4"/>
          <w:sz w:val="20"/>
          <w:szCs w:val="20"/>
        </w:rPr>
        <w:t>c)</w:t>
      </w:r>
      <w:r w:rsidRPr="00554476">
        <w:rPr>
          <w:rFonts w:ascii="Arial" w:eastAsia="Times New Roman" w:hAnsi="Arial" w:cs="Arial"/>
          <w:i/>
          <w:spacing w:val="4"/>
          <w:sz w:val="20"/>
          <w:szCs w:val="20"/>
        </w:rPr>
        <w:t> La estipulación que imponga al consumidor el pago de tributos en los que el sujeto pasivo es el empresario.”</w:t>
      </w:r>
    </w:p>
    <w:p w14:paraId="52D0C0FF" w14:textId="77777777" w:rsidR="001E6C78" w:rsidRPr="00554476" w:rsidRDefault="001E6C78" w:rsidP="00554476">
      <w:pPr>
        <w:pStyle w:val="Sinespaciado"/>
        <w:spacing w:line="360" w:lineRule="auto"/>
        <w:jc w:val="both"/>
        <w:rPr>
          <w:rFonts w:ascii="Arial" w:hAnsi="Arial" w:cs="Arial"/>
          <w:sz w:val="20"/>
          <w:szCs w:val="20"/>
        </w:rPr>
      </w:pPr>
    </w:p>
    <w:p w14:paraId="2D88D160" w14:textId="2E0B5AD5" w:rsidR="00852D41" w:rsidRPr="00554476" w:rsidRDefault="00852D41" w:rsidP="00554476">
      <w:pPr>
        <w:pStyle w:val="Sinespaciado"/>
        <w:spacing w:line="360" w:lineRule="auto"/>
        <w:jc w:val="both"/>
        <w:rPr>
          <w:rFonts w:ascii="Arial" w:hAnsi="Arial" w:cs="Arial"/>
          <w:sz w:val="20"/>
          <w:szCs w:val="20"/>
        </w:rPr>
      </w:pPr>
      <w:r w:rsidRPr="00554476">
        <w:rPr>
          <w:rFonts w:ascii="Arial" w:hAnsi="Arial" w:cs="Arial"/>
          <w:sz w:val="20"/>
          <w:szCs w:val="20"/>
        </w:rPr>
        <w:t xml:space="preserve">De hecho, los pactos contenidos en </w:t>
      </w:r>
      <w:r w:rsidR="008B1665" w:rsidRPr="00554476">
        <w:rPr>
          <w:rFonts w:ascii="Arial" w:hAnsi="Arial" w:cs="Arial"/>
          <w:sz w:val="20"/>
          <w:szCs w:val="20"/>
        </w:rPr>
        <w:t>las cláusulas</w:t>
      </w:r>
      <w:r w:rsidRPr="00554476">
        <w:rPr>
          <w:rFonts w:ascii="Arial" w:hAnsi="Arial" w:cs="Arial"/>
          <w:sz w:val="20"/>
          <w:szCs w:val="20"/>
        </w:rPr>
        <w:t xml:space="preserve"> respetan las previsiones publicadas por el Banco de España en su Guía de Acceso al Préstamo Hipotecario en la que se afirma que “</w:t>
      </w:r>
      <w:r w:rsidRPr="00554476">
        <w:rPr>
          <w:rFonts w:ascii="Arial" w:hAnsi="Arial" w:cs="Arial"/>
          <w:i/>
          <w:sz w:val="20"/>
          <w:szCs w:val="20"/>
        </w:rPr>
        <w:t>como consecuencia del estudio y de la formalización del préstamo o crédito hipotecario, se producen una serie de gastos que normalmente serán a cargo del solicitante del préstamo, para lo cual la entidad de crédito le puede exigir una provisión de fondos</w:t>
      </w:r>
      <w:r w:rsidRPr="00554476">
        <w:rPr>
          <w:rFonts w:ascii="Arial" w:hAnsi="Arial" w:cs="Arial"/>
          <w:sz w:val="20"/>
          <w:szCs w:val="20"/>
        </w:rPr>
        <w:t>” (pág. 30). Entre esos gastos se encuentran, precisamente, “</w:t>
      </w:r>
      <w:r w:rsidRPr="00554476">
        <w:rPr>
          <w:rFonts w:ascii="Arial" w:hAnsi="Arial" w:cs="Arial"/>
          <w:i/>
          <w:sz w:val="20"/>
          <w:szCs w:val="20"/>
        </w:rPr>
        <w:t>la tasación de la vivienda</w:t>
      </w:r>
      <w:r w:rsidRPr="00554476">
        <w:rPr>
          <w:rFonts w:ascii="Arial" w:hAnsi="Arial" w:cs="Arial"/>
          <w:sz w:val="20"/>
          <w:szCs w:val="20"/>
        </w:rPr>
        <w:t>”, “</w:t>
      </w:r>
      <w:r w:rsidRPr="00554476">
        <w:rPr>
          <w:rFonts w:ascii="Arial" w:hAnsi="Arial" w:cs="Arial"/>
          <w:i/>
          <w:sz w:val="20"/>
          <w:szCs w:val="20"/>
        </w:rPr>
        <w:t>los gastos que cobre el notario por el hecho del otorgamiento de la escritura de hipoteca (aranceles notariales)</w:t>
      </w:r>
      <w:r w:rsidRPr="00554476">
        <w:rPr>
          <w:rFonts w:ascii="Arial" w:hAnsi="Arial" w:cs="Arial"/>
          <w:sz w:val="20"/>
          <w:szCs w:val="20"/>
        </w:rPr>
        <w:t>”, “</w:t>
      </w:r>
      <w:r w:rsidRPr="00554476">
        <w:rPr>
          <w:rFonts w:ascii="Arial" w:hAnsi="Arial" w:cs="Arial"/>
          <w:i/>
          <w:sz w:val="20"/>
          <w:szCs w:val="20"/>
        </w:rPr>
        <w:t>los gastos que cobre el Registro de la Propiedad por la inscripción en el Registro de la constitución de la hipoteca</w:t>
      </w:r>
      <w:r w:rsidRPr="00554476">
        <w:rPr>
          <w:rFonts w:ascii="Arial" w:hAnsi="Arial" w:cs="Arial"/>
          <w:sz w:val="20"/>
          <w:szCs w:val="20"/>
        </w:rPr>
        <w:t>” y “</w:t>
      </w:r>
      <w:r w:rsidRPr="00554476">
        <w:rPr>
          <w:rFonts w:ascii="Arial" w:hAnsi="Arial" w:cs="Arial"/>
          <w:i/>
          <w:sz w:val="20"/>
          <w:szCs w:val="20"/>
        </w:rPr>
        <w:t>el impuesto de actos jurídicos documentados</w:t>
      </w:r>
      <w:r w:rsidRPr="00554476">
        <w:rPr>
          <w:rFonts w:ascii="Arial" w:hAnsi="Arial" w:cs="Arial"/>
          <w:sz w:val="20"/>
          <w:szCs w:val="20"/>
        </w:rPr>
        <w:t>” (págs. 30 y 31).</w:t>
      </w:r>
    </w:p>
    <w:p w14:paraId="74D52870" w14:textId="77777777" w:rsidR="00852D41" w:rsidRPr="00554476" w:rsidRDefault="00852D41" w:rsidP="00554476">
      <w:pPr>
        <w:spacing w:after="0" w:line="360" w:lineRule="auto"/>
        <w:jc w:val="both"/>
        <w:rPr>
          <w:rFonts w:ascii="Arial" w:hAnsi="Arial" w:cs="Arial"/>
          <w:sz w:val="20"/>
          <w:szCs w:val="20"/>
        </w:rPr>
      </w:pPr>
    </w:p>
    <w:p w14:paraId="307D455A" w14:textId="77777777" w:rsidR="00F1308C" w:rsidRPr="00554476" w:rsidRDefault="00F1308C"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lastRenderedPageBreak/>
        <w:t>Otro aspecto que debemos señalar y que no es baladí es que el apartado 22.C de la D.</w:t>
      </w:r>
      <w:r w:rsidRPr="00554476">
        <w:rPr>
          <w:rFonts w:ascii="Arial" w:eastAsia="Times New Roman" w:hAnsi="Arial" w:cs="Arial"/>
          <w:sz w:val="20"/>
          <w:szCs w:val="20"/>
        </w:rPr>
        <w:t>A.1ª de la LGDCU</w:t>
      </w:r>
      <w:r w:rsidR="00923417" w:rsidRPr="00554476">
        <w:rPr>
          <w:rFonts w:ascii="Arial" w:hAnsi="Arial" w:cs="Arial"/>
          <w:sz w:val="20"/>
          <w:szCs w:val="20"/>
        </w:rPr>
        <w:t xml:space="preserve"> </w:t>
      </w:r>
      <w:r w:rsidRPr="00554476">
        <w:rPr>
          <w:rFonts w:ascii="Arial" w:hAnsi="Arial" w:cs="Arial"/>
          <w:sz w:val="20"/>
          <w:szCs w:val="20"/>
        </w:rPr>
        <w:t>se refieren exclusivamente al caso de la compraventa de viviendas.</w:t>
      </w:r>
    </w:p>
    <w:p w14:paraId="50DA607E" w14:textId="77777777" w:rsidR="00F1308C" w:rsidRPr="00554476" w:rsidRDefault="00F1308C" w:rsidP="00554476">
      <w:pPr>
        <w:autoSpaceDE w:val="0"/>
        <w:autoSpaceDN w:val="0"/>
        <w:adjustRightInd w:val="0"/>
        <w:spacing w:after="0" w:line="360" w:lineRule="auto"/>
        <w:jc w:val="both"/>
        <w:rPr>
          <w:rFonts w:ascii="Arial" w:hAnsi="Arial" w:cs="Arial"/>
          <w:sz w:val="20"/>
          <w:szCs w:val="20"/>
        </w:rPr>
      </w:pPr>
    </w:p>
    <w:p w14:paraId="64B49099" w14:textId="77777777" w:rsidR="00F1308C" w:rsidRPr="00554476" w:rsidRDefault="00F1308C"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Es necesario recordar que la naturaleza jurídica de la compraventa es totalmente distinta a la naturaleza jurídica del contrato de préstamo, y que si bien la Sentencia de 23 de diciembre de 2015 del Tribunal Supremo afirma para argumentar la aplicación de este artículo que “</w:t>
      </w:r>
      <w:r w:rsidRPr="00554476">
        <w:rPr>
          <w:rFonts w:ascii="Arial" w:hAnsi="Arial" w:cs="Arial"/>
          <w:i/>
          <w:iCs/>
          <w:sz w:val="20"/>
          <w:szCs w:val="20"/>
        </w:rPr>
        <w:t>la financiación es una faceta o fase de la adquisición de la vivienda</w:t>
      </w:r>
      <w:r w:rsidRPr="00554476">
        <w:rPr>
          <w:rFonts w:ascii="Arial" w:hAnsi="Arial" w:cs="Arial"/>
          <w:iCs/>
          <w:sz w:val="20"/>
          <w:szCs w:val="20"/>
        </w:rPr>
        <w:t>”, la realidad jurídica es bien distinta. El préstamo no es una fase de la adquisición de vivienda sino un contrato totalmente autónomo y distinto que puede darse o no cuando un consumidor adquiere un bien inmueble. Esta parte pide disculpas por recordar al juzgador lo que es una obviedad, pero se ve obligada a ello habida cuenta de las manifestaciones de la parte contraria</w:t>
      </w:r>
      <w:r w:rsidRPr="00554476">
        <w:rPr>
          <w:rFonts w:ascii="Arial" w:hAnsi="Arial" w:cs="Arial"/>
          <w:sz w:val="20"/>
          <w:szCs w:val="20"/>
        </w:rPr>
        <w:t>.</w:t>
      </w:r>
    </w:p>
    <w:p w14:paraId="7E1C1AB7" w14:textId="77777777" w:rsidR="00F1308C" w:rsidRPr="00554476" w:rsidRDefault="00F1308C" w:rsidP="00554476">
      <w:pPr>
        <w:autoSpaceDE w:val="0"/>
        <w:autoSpaceDN w:val="0"/>
        <w:adjustRightInd w:val="0"/>
        <w:spacing w:after="0" w:line="360" w:lineRule="auto"/>
        <w:jc w:val="both"/>
        <w:rPr>
          <w:rFonts w:ascii="Arial" w:hAnsi="Arial" w:cs="Arial"/>
          <w:sz w:val="20"/>
          <w:szCs w:val="20"/>
        </w:rPr>
      </w:pPr>
    </w:p>
    <w:p w14:paraId="1739D638" w14:textId="77777777" w:rsidR="00F1308C" w:rsidRPr="00554476" w:rsidRDefault="00F1308C" w:rsidP="00554476">
      <w:pPr>
        <w:autoSpaceDE w:val="0"/>
        <w:autoSpaceDN w:val="0"/>
        <w:adjustRightInd w:val="0"/>
        <w:spacing w:after="0" w:line="360" w:lineRule="auto"/>
        <w:jc w:val="both"/>
        <w:rPr>
          <w:rFonts w:ascii="Arial" w:hAnsi="Arial" w:cs="Arial"/>
          <w:sz w:val="20"/>
          <w:szCs w:val="20"/>
        </w:rPr>
      </w:pPr>
      <w:r w:rsidRPr="00554476">
        <w:rPr>
          <w:rFonts w:ascii="Arial" w:hAnsi="Arial" w:cs="Arial"/>
          <w:sz w:val="20"/>
          <w:szCs w:val="20"/>
        </w:rPr>
        <w:t xml:space="preserve">Por lo tanto, </w:t>
      </w:r>
      <w:r w:rsidR="00923417" w:rsidRPr="00554476">
        <w:rPr>
          <w:rFonts w:ascii="Arial" w:hAnsi="Arial" w:cs="Arial"/>
          <w:sz w:val="20"/>
          <w:szCs w:val="20"/>
        </w:rPr>
        <w:t>el apartado 22.C de la D.</w:t>
      </w:r>
      <w:r w:rsidR="00923417" w:rsidRPr="00554476">
        <w:rPr>
          <w:rFonts w:ascii="Arial" w:eastAsia="Times New Roman" w:hAnsi="Arial" w:cs="Arial"/>
          <w:sz w:val="20"/>
          <w:szCs w:val="20"/>
        </w:rPr>
        <w:t>A.1ª de la LGDCU</w:t>
      </w:r>
      <w:r w:rsidR="00923417" w:rsidRPr="00554476">
        <w:rPr>
          <w:rFonts w:ascii="Arial" w:hAnsi="Arial" w:cs="Arial"/>
          <w:sz w:val="20"/>
          <w:szCs w:val="20"/>
        </w:rPr>
        <w:t xml:space="preserve"> </w:t>
      </w:r>
      <w:r w:rsidRPr="00554476">
        <w:rPr>
          <w:rFonts w:ascii="Arial" w:hAnsi="Arial" w:cs="Arial"/>
          <w:sz w:val="20"/>
          <w:szCs w:val="20"/>
        </w:rPr>
        <w:t xml:space="preserve">no debería haberse aplicado para valorar el carácter abusivo de aquélla cláusula ni, en consecuencia, debe tenerse en cuenta para valorar la </w:t>
      </w:r>
      <w:proofErr w:type="spellStart"/>
      <w:r w:rsidRPr="00554476">
        <w:rPr>
          <w:rFonts w:ascii="Arial" w:hAnsi="Arial" w:cs="Arial"/>
          <w:sz w:val="20"/>
          <w:szCs w:val="20"/>
        </w:rPr>
        <w:t>abusividad</w:t>
      </w:r>
      <w:proofErr w:type="spellEnd"/>
      <w:r w:rsidRPr="00554476">
        <w:rPr>
          <w:rFonts w:ascii="Arial" w:hAnsi="Arial" w:cs="Arial"/>
          <w:sz w:val="20"/>
          <w:szCs w:val="20"/>
        </w:rPr>
        <w:t xml:space="preserve"> de la cláusula de gastos objeto del presente procedimiento.</w:t>
      </w:r>
    </w:p>
    <w:p w14:paraId="20DBE003" w14:textId="77777777" w:rsidR="00852D41" w:rsidRPr="00554476" w:rsidRDefault="00852D41" w:rsidP="00554476">
      <w:pPr>
        <w:autoSpaceDE w:val="0"/>
        <w:autoSpaceDN w:val="0"/>
        <w:adjustRightInd w:val="0"/>
        <w:spacing w:after="0" w:line="360" w:lineRule="auto"/>
        <w:jc w:val="both"/>
        <w:rPr>
          <w:rFonts w:ascii="Arial" w:hAnsi="Arial" w:cs="Arial"/>
          <w:sz w:val="20"/>
          <w:szCs w:val="20"/>
        </w:rPr>
      </w:pPr>
    </w:p>
    <w:p w14:paraId="2E2D9960" w14:textId="77777777" w:rsidR="00E56E1C" w:rsidRPr="00554476" w:rsidRDefault="00E56E1C" w:rsidP="00554476">
      <w:pPr>
        <w:spacing w:after="0" w:line="360" w:lineRule="auto"/>
        <w:jc w:val="both"/>
        <w:rPr>
          <w:rFonts w:ascii="Arial" w:hAnsi="Arial" w:cs="Arial"/>
          <w:sz w:val="20"/>
          <w:szCs w:val="20"/>
        </w:rPr>
      </w:pPr>
      <w:r w:rsidRPr="00554476">
        <w:rPr>
          <w:rFonts w:ascii="Arial" w:hAnsi="Arial" w:cs="Arial"/>
          <w:sz w:val="20"/>
          <w:szCs w:val="20"/>
        </w:rPr>
        <w:t>En resumen, consideramos que la cláusula objeto de Litis no puede considerarse abusiva ya que:</w:t>
      </w:r>
    </w:p>
    <w:p w14:paraId="2661B9E4" w14:textId="77777777" w:rsidR="00E56E1C" w:rsidRPr="00554476" w:rsidRDefault="00E56E1C" w:rsidP="00554476">
      <w:pPr>
        <w:spacing w:after="0" w:line="360" w:lineRule="auto"/>
        <w:jc w:val="both"/>
        <w:rPr>
          <w:rFonts w:ascii="Arial" w:hAnsi="Arial" w:cs="Arial"/>
          <w:sz w:val="20"/>
          <w:szCs w:val="20"/>
        </w:rPr>
      </w:pPr>
    </w:p>
    <w:p w14:paraId="0E251448" w14:textId="77777777" w:rsidR="00E56E1C" w:rsidRPr="00554476" w:rsidRDefault="00E56E1C" w:rsidP="00554476">
      <w:pPr>
        <w:numPr>
          <w:ilvl w:val="0"/>
          <w:numId w:val="2"/>
        </w:numPr>
        <w:spacing w:after="0" w:line="360" w:lineRule="auto"/>
        <w:contextualSpacing/>
        <w:jc w:val="both"/>
        <w:rPr>
          <w:rFonts w:ascii="Arial" w:hAnsi="Arial" w:cs="Arial"/>
          <w:sz w:val="20"/>
          <w:szCs w:val="20"/>
        </w:rPr>
      </w:pPr>
      <w:r w:rsidRPr="00554476">
        <w:rPr>
          <w:rFonts w:ascii="Arial" w:hAnsi="Arial" w:cs="Arial"/>
          <w:sz w:val="20"/>
          <w:szCs w:val="20"/>
        </w:rPr>
        <w:t>Ha sido objeto de negociación individual y consentida expresamente por parte del actor.</w:t>
      </w:r>
    </w:p>
    <w:p w14:paraId="3F87C754" w14:textId="77777777" w:rsidR="00E56E1C" w:rsidRPr="00554476" w:rsidRDefault="00E56E1C" w:rsidP="00554476">
      <w:pPr>
        <w:spacing w:after="0" w:line="360" w:lineRule="auto"/>
        <w:ind w:left="1080"/>
        <w:contextualSpacing/>
        <w:jc w:val="both"/>
        <w:rPr>
          <w:rFonts w:ascii="Arial" w:hAnsi="Arial" w:cs="Arial"/>
          <w:sz w:val="20"/>
          <w:szCs w:val="20"/>
        </w:rPr>
      </w:pPr>
    </w:p>
    <w:p w14:paraId="56F6ABB2" w14:textId="77777777" w:rsidR="00E56E1C" w:rsidRPr="00554476" w:rsidRDefault="00E56E1C" w:rsidP="00554476">
      <w:pPr>
        <w:numPr>
          <w:ilvl w:val="0"/>
          <w:numId w:val="2"/>
        </w:numPr>
        <w:spacing w:after="0" w:line="360" w:lineRule="auto"/>
        <w:contextualSpacing/>
        <w:jc w:val="both"/>
        <w:rPr>
          <w:rFonts w:ascii="Arial" w:hAnsi="Arial" w:cs="Arial"/>
          <w:sz w:val="20"/>
          <w:szCs w:val="20"/>
        </w:rPr>
      </w:pPr>
      <w:r w:rsidRPr="00554476">
        <w:rPr>
          <w:rFonts w:ascii="Arial" w:hAnsi="Arial" w:cs="Arial"/>
          <w:sz w:val="20"/>
          <w:szCs w:val="20"/>
        </w:rPr>
        <w:t>No tiene encaje en el listado de cláusulas consideradas en todo caso abusivas (“Lista Negra”)</w:t>
      </w:r>
    </w:p>
    <w:p w14:paraId="50259EC2" w14:textId="77777777" w:rsidR="00E56E1C" w:rsidRPr="00554476" w:rsidRDefault="00E56E1C" w:rsidP="00554476">
      <w:pPr>
        <w:spacing w:after="0" w:line="360" w:lineRule="auto"/>
        <w:ind w:left="1080"/>
        <w:contextualSpacing/>
        <w:jc w:val="both"/>
        <w:rPr>
          <w:rFonts w:ascii="Arial" w:hAnsi="Arial" w:cs="Arial"/>
          <w:sz w:val="20"/>
          <w:szCs w:val="20"/>
        </w:rPr>
      </w:pPr>
    </w:p>
    <w:p w14:paraId="4E48632D" w14:textId="77777777" w:rsidR="00E56E1C" w:rsidRPr="00554476" w:rsidRDefault="00E56E1C" w:rsidP="00554476">
      <w:pPr>
        <w:numPr>
          <w:ilvl w:val="0"/>
          <w:numId w:val="2"/>
        </w:numPr>
        <w:spacing w:after="0" w:line="360" w:lineRule="auto"/>
        <w:contextualSpacing/>
        <w:jc w:val="both"/>
        <w:rPr>
          <w:rFonts w:ascii="Arial" w:hAnsi="Arial" w:cs="Arial"/>
          <w:sz w:val="20"/>
          <w:szCs w:val="20"/>
        </w:rPr>
      </w:pPr>
      <w:r w:rsidRPr="00554476">
        <w:rPr>
          <w:rFonts w:ascii="Arial" w:hAnsi="Arial" w:cs="Arial"/>
          <w:sz w:val="20"/>
          <w:szCs w:val="20"/>
        </w:rPr>
        <w:t xml:space="preserve">No reúne el resto de los requisitos que deben concurrir para que sea considerada abusiva, esto es no existe un desequilibrio importante para el consumidor y no se ha introducido en contra de las exigencias de la buena fe, todo ello teniendo en cuenta las circunstancias concurrentes en el momento de la contratación. </w:t>
      </w:r>
    </w:p>
    <w:p w14:paraId="4A118200" w14:textId="77777777" w:rsidR="0037285A" w:rsidRPr="00554476" w:rsidRDefault="0037285A" w:rsidP="00554476">
      <w:pPr>
        <w:spacing w:after="0" w:line="360" w:lineRule="auto"/>
        <w:contextualSpacing/>
        <w:jc w:val="both"/>
        <w:rPr>
          <w:rFonts w:ascii="Arial" w:hAnsi="Arial" w:cs="Arial"/>
          <w:sz w:val="20"/>
          <w:szCs w:val="20"/>
        </w:rPr>
      </w:pPr>
    </w:p>
    <w:p w14:paraId="1CB50CE0" w14:textId="77777777" w:rsidR="005962F0" w:rsidRPr="00554476" w:rsidRDefault="005962F0" w:rsidP="00554476">
      <w:pPr>
        <w:pStyle w:val="Sinespaciado"/>
        <w:spacing w:line="360" w:lineRule="auto"/>
        <w:ind w:firstLine="708"/>
        <w:jc w:val="both"/>
        <w:rPr>
          <w:rFonts w:ascii="Arial" w:hAnsi="Arial" w:cs="Arial"/>
          <w:b/>
          <w:sz w:val="20"/>
          <w:szCs w:val="20"/>
          <w:u w:val="single"/>
        </w:rPr>
      </w:pPr>
    </w:p>
    <w:p w14:paraId="517C5D72" w14:textId="52AB389A" w:rsidR="001D150F" w:rsidRPr="00554476" w:rsidRDefault="00D230F8" w:rsidP="00554476">
      <w:pPr>
        <w:pStyle w:val="Ttulo2"/>
        <w:spacing w:before="0" w:line="360" w:lineRule="auto"/>
        <w:jc w:val="both"/>
        <w:rPr>
          <w:rFonts w:ascii="Arial" w:eastAsia="Bankinter" w:hAnsi="Arial" w:cs="Arial"/>
          <w:b/>
          <w:color w:val="auto"/>
          <w:sz w:val="20"/>
          <w:szCs w:val="20"/>
          <w:u w:val="single"/>
        </w:rPr>
      </w:pPr>
      <w:bookmarkStart w:id="47" w:name="_Toc54185209"/>
      <w:r w:rsidRPr="00554476">
        <w:rPr>
          <w:rFonts w:ascii="Arial" w:eastAsia="Bankinter" w:hAnsi="Arial" w:cs="Arial"/>
          <w:b/>
          <w:color w:val="auto"/>
          <w:sz w:val="20"/>
          <w:szCs w:val="20"/>
          <w:u w:val="single"/>
        </w:rPr>
        <w:t>SEXTO</w:t>
      </w:r>
      <w:r w:rsidR="00DF7285" w:rsidRPr="00554476">
        <w:rPr>
          <w:rFonts w:ascii="Arial" w:eastAsia="Bankinter" w:hAnsi="Arial" w:cs="Arial"/>
          <w:b/>
          <w:color w:val="auto"/>
          <w:sz w:val="20"/>
          <w:szCs w:val="20"/>
          <w:u w:val="single"/>
        </w:rPr>
        <w:t>. -</w:t>
      </w:r>
      <w:r w:rsidR="007528B2" w:rsidRPr="00554476">
        <w:rPr>
          <w:rFonts w:ascii="Arial" w:eastAsia="Bankinter" w:hAnsi="Arial" w:cs="Arial"/>
          <w:b/>
          <w:color w:val="auto"/>
          <w:sz w:val="20"/>
          <w:szCs w:val="20"/>
          <w:u w:val="single"/>
        </w:rPr>
        <w:t xml:space="preserve"> Análisis de los </w:t>
      </w:r>
      <w:r w:rsidR="007528B2" w:rsidRPr="00967E66">
        <w:rPr>
          <w:rFonts w:ascii="Arial" w:eastAsia="Bankinter" w:hAnsi="Arial" w:cs="Arial"/>
          <w:b/>
          <w:color w:val="auto"/>
          <w:sz w:val="20"/>
          <w:szCs w:val="20"/>
          <w:highlight w:val="cyan"/>
          <w:u w:val="single"/>
        </w:rPr>
        <w:t>gastos</w:t>
      </w:r>
      <w:r w:rsidR="007528B2" w:rsidRPr="00554476">
        <w:rPr>
          <w:rFonts w:ascii="Arial" w:eastAsia="Bankinter" w:hAnsi="Arial" w:cs="Arial"/>
          <w:b/>
          <w:color w:val="auto"/>
          <w:sz w:val="20"/>
          <w:szCs w:val="20"/>
          <w:u w:val="single"/>
        </w:rPr>
        <w:t xml:space="preserve"> reclamados por la actora.</w:t>
      </w:r>
      <w:bookmarkEnd w:id="47"/>
    </w:p>
    <w:p w14:paraId="376F607C" w14:textId="77777777" w:rsidR="00F04469" w:rsidRPr="00554476" w:rsidRDefault="00F04469" w:rsidP="00554476">
      <w:pPr>
        <w:spacing w:after="0" w:line="360" w:lineRule="auto"/>
        <w:rPr>
          <w:rFonts w:ascii="Arial" w:hAnsi="Arial" w:cs="Arial"/>
          <w:sz w:val="20"/>
          <w:szCs w:val="20"/>
        </w:rPr>
      </w:pPr>
    </w:p>
    <w:p w14:paraId="10F864E0" w14:textId="762CBF82" w:rsidR="001D150F" w:rsidRPr="00DD66F9" w:rsidRDefault="00D230F8" w:rsidP="00554476">
      <w:pPr>
        <w:pStyle w:val="Ttulo3"/>
        <w:spacing w:before="0" w:beforeAutospacing="0" w:after="0" w:afterAutospacing="0" w:line="360" w:lineRule="auto"/>
        <w:ind w:firstLine="567"/>
        <w:jc w:val="both"/>
        <w:rPr>
          <w:rFonts w:ascii="Arial" w:eastAsia="Bankinter" w:hAnsi="Arial" w:cs="Arial"/>
          <w:sz w:val="20"/>
          <w:szCs w:val="20"/>
          <w:u w:val="single"/>
        </w:rPr>
      </w:pPr>
      <w:bookmarkStart w:id="48" w:name="_Toc54185210"/>
      <w:r w:rsidRPr="00DD66F9">
        <w:rPr>
          <w:rFonts w:ascii="Arial" w:eastAsia="Bankinter" w:hAnsi="Arial" w:cs="Arial"/>
          <w:sz w:val="20"/>
          <w:szCs w:val="20"/>
          <w:u w:val="single"/>
        </w:rPr>
        <w:t>6</w:t>
      </w:r>
      <w:r w:rsidR="00DF7285" w:rsidRPr="00DD66F9">
        <w:rPr>
          <w:rFonts w:ascii="Arial" w:eastAsia="Bankinter" w:hAnsi="Arial" w:cs="Arial"/>
          <w:sz w:val="20"/>
          <w:szCs w:val="20"/>
          <w:u w:val="single"/>
        </w:rPr>
        <w:t>.1.</w:t>
      </w:r>
      <w:r w:rsidR="001D150F" w:rsidRPr="00DD66F9">
        <w:rPr>
          <w:rFonts w:ascii="Arial" w:eastAsia="Bankinter" w:hAnsi="Arial" w:cs="Arial"/>
          <w:sz w:val="20"/>
          <w:szCs w:val="20"/>
          <w:u w:val="single"/>
        </w:rPr>
        <w:t xml:space="preserve"> </w:t>
      </w:r>
      <w:r w:rsidR="009919B5" w:rsidRPr="00DD66F9">
        <w:rPr>
          <w:rFonts w:ascii="Arial" w:eastAsia="Bankinter" w:hAnsi="Arial" w:cs="Arial"/>
          <w:sz w:val="20"/>
          <w:szCs w:val="20"/>
          <w:u w:val="single"/>
        </w:rPr>
        <w:t>–</w:t>
      </w:r>
      <w:r w:rsidR="009A62D8" w:rsidRPr="00DD66F9">
        <w:rPr>
          <w:rFonts w:ascii="Arial" w:eastAsia="Bankinter" w:hAnsi="Arial" w:cs="Arial"/>
          <w:sz w:val="20"/>
          <w:szCs w:val="20"/>
          <w:u w:val="single"/>
        </w:rPr>
        <w:t xml:space="preserve"> Análisis de la STJUE de 16 de junio de 2020, en relación con las </w:t>
      </w:r>
      <w:r w:rsidR="009B2303" w:rsidRPr="00DD66F9">
        <w:rPr>
          <w:rFonts w:ascii="Arial" w:eastAsia="Bankinter" w:hAnsi="Arial" w:cs="Arial"/>
          <w:sz w:val="20"/>
          <w:szCs w:val="20"/>
          <w:u w:val="single"/>
        </w:rPr>
        <w:t xml:space="preserve">STS de 23 de enero de 2019. Doctrina confirmada por la recentísima </w:t>
      </w:r>
      <w:r w:rsidR="00D812BB" w:rsidRPr="00DD66F9">
        <w:rPr>
          <w:rFonts w:ascii="Arial" w:eastAsia="Bankinter" w:hAnsi="Arial" w:cs="Arial"/>
          <w:sz w:val="20"/>
          <w:szCs w:val="20"/>
          <w:u w:val="single"/>
        </w:rPr>
        <w:t>Sentencia del Tribunal Supremo nº 457/2020, de 24 de julio.</w:t>
      </w:r>
      <w:bookmarkEnd w:id="48"/>
    </w:p>
    <w:p w14:paraId="06809942" w14:textId="77777777" w:rsidR="002962A1" w:rsidRPr="00DD66F9" w:rsidRDefault="002962A1" w:rsidP="00554476">
      <w:pPr>
        <w:pStyle w:val="Ttulo3"/>
        <w:spacing w:before="0" w:beforeAutospacing="0" w:after="0" w:afterAutospacing="0" w:line="360" w:lineRule="auto"/>
        <w:ind w:firstLine="567"/>
        <w:jc w:val="both"/>
        <w:rPr>
          <w:rFonts w:ascii="Arial" w:eastAsia="Bankinter" w:hAnsi="Arial" w:cs="Arial"/>
          <w:sz w:val="20"/>
          <w:szCs w:val="20"/>
          <w:u w:val="single"/>
        </w:rPr>
      </w:pPr>
    </w:p>
    <w:p w14:paraId="4B1BBC7F" w14:textId="49BE9D94" w:rsidR="001D150F" w:rsidRPr="00DD66F9" w:rsidRDefault="009919B5" w:rsidP="00554476">
      <w:pPr>
        <w:pStyle w:val="Sinespaciado"/>
        <w:spacing w:line="360" w:lineRule="auto"/>
        <w:jc w:val="both"/>
        <w:rPr>
          <w:rFonts w:ascii="Arial" w:hAnsi="Arial" w:cs="Arial"/>
          <w:iCs/>
          <w:sz w:val="20"/>
          <w:szCs w:val="20"/>
          <w:shd w:val="clear" w:color="auto" w:fill="FFFFFF"/>
        </w:rPr>
      </w:pPr>
      <w:r w:rsidRPr="00DD66F9">
        <w:rPr>
          <w:rStyle w:val="escribirCar"/>
          <w:rFonts w:ascii="Arial" w:hAnsi="Arial" w:cs="Arial"/>
          <w:sz w:val="20"/>
          <w:szCs w:val="20"/>
        </w:rPr>
        <w:t>Resulta</w:t>
      </w:r>
      <w:r w:rsidRPr="00DD66F9">
        <w:rPr>
          <w:rFonts w:ascii="Arial" w:hAnsi="Arial" w:cs="Arial"/>
          <w:sz w:val="20"/>
          <w:szCs w:val="20"/>
        </w:rPr>
        <w:t xml:space="preserve"> necesario llamar la atención al Juzgador en relación con las </w:t>
      </w:r>
      <w:r w:rsidRPr="00DD66F9">
        <w:rPr>
          <w:rFonts w:ascii="Arial" w:hAnsi="Arial" w:cs="Arial"/>
          <w:b/>
          <w:sz w:val="20"/>
          <w:szCs w:val="20"/>
        </w:rPr>
        <w:t>Sentencias nº 44/2019, 46/2019, 47/2019, 48/2019 y 49/2019, todas ellas de 23 de enero, dictadas por el Pleno del Tribunal Supremo</w:t>
      </w:r>
      <w:r w:rsidR="00B211B8" w:rsidRPr="00DD66F9">
        <w:rPr>
          <w:rFonts w:ascii="Arial" w:hAnsi="Arial" w:cs="Arial"/>
          <w:sz w:val="20"/>
          <w:szCs w:val="20"/>
        </w:rPr>
        <w:t>, las cuales se han pronunciado</w:t>
      </w:r>
      <w:r w:rsidRPr="00DD66F9">
        <w:rPr>
          <w:rFonts w:ascii="Arial" w:hAnsi="Arial" w:cs="Arial"/>
          <w:sz w:val="20"/>
          <w:szCs w:val="20"/>
        </w:rPr>
        <w:t xml:space="preserve"> sobre las </w:t>
      </w:r>
      <w:r w:rsidRPr="00DD66F9">
        <w:rPr>
          <w:rFonts w:ascii="Arial" w:hAnsi="Arial" w:cs="Arial"/>
          <w:iCs/>
          <w:sz w:val="20"/>
          <w:szCs w:val="20"/>
          <w:shd w:val="clear" w:color="auto" w:fill="FFFFFF"/>
        </w:rPr>
        <w:t xml:space="preserve">cláusulas abusivas en contratos </w:t>
      </w:r>
      <w:r w:rsidRPr="00DD66F9">
        <w:rPr>
          <w:rFonts w:ascii="Arial" w:hAnsi="Arial" w:cs="Arial"/>
          <w:iCs/>
          <w:sz w:val="20"/>
          <w:szCs w:val="20"/>
          <w:shd w:val="clear" w:color="auto" w:fill="FFFFFF"/>
        </w:rPr>
        <w:lastRenderedPageBreak/>
        <w:t>con consumidores y, en concreto, respecto a la cláusula de gastos de formalización y al reparto que realiza respecto de cada uno de los conceptos incardinados en dicha cláusula.</w:t>
      </w:r>
      <w:r w:rsidR="00B211B8" w:rsidRPr="00DD66F9">
        <w:rPr>
          <w:rFonts w:ascii="Arial" w:hAnsi="Arial" w:cs="Arial"/>
          <w:iCs/>
          <w:sz w:val="20"/>
          <w:szCs w:val="20"/>
          <w:shd w:val="clear" w:color="auto" w:fill="FFFFFF"/>
        </w:rPr>
        <w:t xml:space="preserve"> Así, </w:t>
      </w:r>
      <w:r w:rsidR="00903937" w:rsidRPr="00DD66F9">
        <w:rPr>
          <w:rFonts w:ascii="Arial" w:hAnsi="Arial" w:cs="Arial"/>
          <w:iCs/>
          <w:sz w:val="20"/>
          <w:szCs w:val="20"/>
          <w:shd w:val="clear" w:color="auto" w:fill="FFFFFF"/>
        </w:rPr>
        <w:t>la jurisprudencia contenida en las meritadas sentencias</w:t>
      </w:r>
      <w:r w:rsidR="00B211B8" w:rsidRPr="00DD66F9">
        <w:rPr>
          <w:rFonts w:ascii="Arial" w:hAnsi="Arial" w:cs="Arial"/>
          <w:iCs/>
          <w:sz w:val="20"/>
          <w:szCs w:val="20"/>
          <w:shd w:val="clear" w:color="auto" w:fill="FFFFFF"/>
        </w:rPr>
        <w:t xml:space="preserve"> ha sido confirmada por la STJUE de 16 de julio de 2020.</w:t>
      </w:r>
    </w:p>
    <w:p w14:paraId="2F18B084" w14:textId="6FEE65BF" w:rsidR="00B211B8" w:rsidRPr="00DD66F9" w:rsidRDefault="00B211B8" w:rsidP="00554476">
      <w:pPr>
        <w:pStyle w:val="Sinespaciado"/>
        <w:spacing w:line="360" w:lineRule="auto"/>
        <w:jc w:val="both"/>
        <w:rPr>
          <w:rFonts w:ascii="Arial" w:hAnsi="Arial" w:cs="Arial"/>
          <w:iCs/>
          <w:sz w:val="20"/>
          <w:szCs w:val="20"/>
          <w:shd w:val="clear" w:color="auto" w:fill="FFFFFF"/>
        </w:rPr>
      </w:pPr>
    </w:p>
    <w:p w14:paraId="45295376" w14:textId="4A06B219" w:rsidR="00B211B8" w:rsidRPr="00DD66F9" w:rsidRDefault="00B211B8" w:rsidP="00554476">
      <w:pPr>
        <w:spacing w:after="0" w:line="360" w:lineRule="auto"/>
        <w:jc w:val="both"/>
        <w:rPr>
          <w:rFonts w:ascii="Arial" w:eastAsia="Arial Narrow" w:hAnsi="Arial" w:cs="Arial"/>
          <w:sz w:val="20"/>
          <w:szCs w:val="20"/>
        </w:rPr>
      </w:pPr>
      <w:r w:rsidRPr="00DD66F9">
        <w:rPr>
          <w:rFonts w:ascii="Arial" w:hAnsi="Arial" w:cs="Arial"/>
          <w:iCs/>
          <w:sz w:val="20"/>
          <w:szCs w:val="20"/>
          <w:shd w:val="clear" w:color="auto" w:fill="FFFFFF"/>
        </w:rPr>
        <w:t xml:space="preserve">Y así lo ha entendido el propio </w:t>
      </w:r>
      <w:r w:rsidRPr="00DD66F9">
        <w:rPr>
          <w:rFonts w:ascii="Arial" w:eastAsia="Arial Narrow" w:hAnsi="Arial" w:cs="Arial"/>
          <w:b/>
          <w:sz w:val="20"/>
          <w:szCs w:val="20"/>
          <w:u w:val="single"/>
        </w:rPr>
        <w:t>Tribunal Supremo en sentencia nº 457/2020, de 24 de julio de 2020</w:t>
      </w:r>
      <w:r w:rsidRPr="00DD66F9">
        <w:rPr>
          <w:rFonts w:ascii="Arial" w:eastAsia="Arial Narrow" w:hAnsi="Arial" w:cs="Arial"/>
          <w:sz w:val="20"/>
          <w:szCs w:val="20"/>
        </w:rPr>
        <w:t xml:space="preserve"> (casación 1053/2018), tras analizar la sentencia del TJUE, </w:t>
      </w:r>
      <w:r w:rsidR="00C52029" w:rsidRPr="00DD66F9">
        <w:rPr>
          <w:rFonts w:ascii="Arial" w:eastAsia="Arial Narrow" w:hAnsi="Arial" w:cs="Arial"/>
          <w:sz w:val="20"/>
          <w:szCs w:val="20"/>
        </w:rPr>
        <w:t xml:space="preserve">concluyendo </w:t>
      </w:r>
      <w:r w:rsidRPr="00DD66F9">
        <w:rPr>
          <w:rFonts w:ascii="Arial" w:eastAsia="Arial Narrow" w:hAnsi="Arial" w:cs="Arial"/>
          <w:sz w:val="20"/>
          <w:szCs w:val="20"/>
        </w:rPr>
        <w:t xml:space="preserve">que </w:t>
      </w:r>
      <w:r w:rsidR="00C52029" w:rsidRPr="00DD66F9">
        <w:rPr>
          <w:rFonts w:ascii="Arial" w:eastAsia="Arial Narrow" w:hAnsi="Arial" w:cs="Arial"/>
          <w:sz w:val="20"/>
          <w:szCs w:val="20"/>
        </w:rPr>
        <w:t>ésta</w:t>
      </w:r>
      <w:r w:rsidRPr="00DD66F9">
        <w:rPr>
          <w:rFonts w:ascii="Arial" w:eastAsia="Arial Narrow" w:hAnsi="Arial" w:cs="Arial"/>
          <w:sz w:val="20"/>
          <w:szCs w:val="20"/>
        </w:rPr>
        <w:t xml:space="preserve"> viene</w:t>
      </w:r>
      <w:r w:rsidR="00C52029" w:rsidRPr="00DD66F9">
        <w:rPr>
          <w:rFonts w:ascii="Arial" w:eastAsia="Arial Narrow" w:hAnsi="Arial" w:cs="Arial"/>
          <w:sz w:val="20"/>
          <w:szCs w:val="20"/>
        </w:rPr>
        <w:t>,</w:t>
      </w:r>
      <w:r w:rsidRPr="00DD66F9">
        <w:rPr>
          <w:rFonts w:ascii="Arial" w:eastAsia="Arial Narrow" w:hAnsi="Arial" w:cs="Arial"/>
          <w:sz w:val="20"/>
          <w:szCs w:val="20"/>
        </w:rPr>
        <w:t xml:space="preserve"> precisamente</w:t>
      </w:r>
      <w:r w:rsidR="00C52029" w:rsidRPr="00DD66F9">
        <w:rPr>
          <w:rFonts w:ascii="Arial" w:eastAsia="Arial Narrow" w:hAnsi="Arial" w:cs="Arial"/>
          <w:sz w:val="20"/>
          <w:szCs w:val="20"/>
        </w:rPr>
        <w:t>,</w:t>
      </w:r>
      <w:r w:rsidRPr="00DD66F9">
        <w:rPr>
          <w:rFonts w:ascii="Arial" w:eastAsia="Arial Narrow" w:hAnsi="Arial" w:cs="Arial"/>
          <w:sz w:val="20"/>
          <w:szCs w:val="20"/>
        </w:rPr>
        <w:t xml:space="preserve"> a confirmar la doctrina mantenida en las cinco sentencias dictadas el 23 de enero de 2019. </w:t>
      </w:r>
    </w:p>
    <w:p w14:paraId="7DEB501B" w14:textId="77777777" w:rsidR="00B63AB3" w:rsidRPr="00DD66F9" w:rsidRDefault="00B63AB3" w:rsidP="00554476">
      <w:pPr>
        <w:spacing w:after="0" w:line="360" w:lineRule="auto"/>
        <w:jc w:val="both"/>
        <w:rPr>
          <w:rFonts w:ascii="Arial" w:eastAsia="Arial Narrow" w:hAnsi="Arial" w:cs="Arial"/>
          <w:sz w:val="20"/>
          <w:szCs w:val="20"/>
        </w:rPr>
      </w:pPr>
    </w:p>
    <w:p w14:paraId="5D73B852" w14:textId="77777777" w:rsidR="00B211B8" w:rsidRPr="00DD66F9" w:rsidRDefault="00B211B8" w:rsidP="00554476">
      <w:pPr>
        <w:spacing w:after="0" w:line="360" w:lineRule="auto"/>
        <w:ind w:left="708"/>
        <w:jc w:val="both"/>
        <w:rPr>
          <w:rFonts w:ascii="Arial" w:eastAsia="Arial Narrow" w:hAnsi="Arial" w:cs="Arial"/>
          <w:i/>
          <w:iCs/>
          <w:sz w:val="20"/>
          <w:szCs w:val="20"/>
        </w:rPr>
      </w:pPr>
      <w:r w:rsidRPr="00DD66F9">
        <w:rPr>
          <w:rFonts w:ascii="Arial" w:eastAsia="Arial Narrow" w:hAnsi="Arial" w:cs="Arial"/>
          <w:b/>
          <w:bCs/>
          <w:i/>
          <w:iCs/>
          <w:sz w:val="20"/>
          <w:szCs w:val="20"/>
        </w:rPr>
        <w:t xml:space="preserve">“…2.- </w:t>
      </w:r>
      <w:r w:rsidRPr="00DD66F9">
        <w:rPr>
          <w:rFonts w:ascii="Arial" w:eastAsia="Arial Narrow" w:hAnsi="Arial" w:cs="Arial"/>
          <w:i/>
          <w:iCs/>
          <w:sz w:val="20"/>
          <w:szCs w:val="20"/>
        </w:rPr>
        <w:t>En cuanto a las consecuencias de la declaración de nulidad, recordamos que, conforme a los art. 6.1 y 7.1 de la Directiva 93/13 y la doctrina del Tribunal de Justicia, la apreciación del carácter abusivo de la cláusula contractual que atribuye a los consumidores prestatarios el pago de todos los gastos generados por la operación crediticia, conlleva su inaplicación. Pero, añadimos a continuación, «cosa distinta es que, en cuanto a sus efectos, y dado que los gastos deberán ser abonados a terceros ajenos a los contratantes (funcionarios públicos sujetos a arancel, gestores, etc.) se determine cómo deben distribuirse tales gastos, no en función de la cláusula anulada, sino de las disposiciones legales aplicables supletoriamente».</w:t>
      </w:r>
    </w:p>
    <w:p w14:paraId="3B73158E" w14:textId="77777777" w:rsidR="00B211B8" w:rsidRPr="00DD66F9" w:rsidRDefault="00B211B8" w:rsidP="00554476">
      <w:pPr>
        <w:spacing w:after="0" w:line="360" w:lineRule="auto"/>
        <w:ind w:left="708"/>
        <w:jc w:val="both"/>
        <w:rPr>
          <w:rFonts w:ascii="Arial" w:eastAsia="Arial Narrow" w:hAnsi="Arial" w:cs="Arial"/>
          <w:sz w:val="20"/>
          <w:szCs w:val="20"/>
        </w:rPr>
      </w:pPr>
      <w:r w:rsidRPr="00DD66F9">
        <w:rPr>
          <w:rFonts w:ascii="Arial" w:eastAsia="Arial Narrow" w:hAnsi="Arial" w:cs="Arial"/>
          <w:b/>
          <w:bCs/>
          <w:i/>
          <w:iCs/>
          <w:sz w:val="20"/>
          <w:szCs w:val="20"/>
        </w:rPr>
        <w:t xml:space="preserve">3.- </w:t>
      </w:r>
      <w:r w:rsidRPr="00DD66F9">
        <w:rPr>
          <w:rFonts w:ascii="Arial" w:eastAsia="Arial Narrow" w:hAnsi="Arial" w:cs="Arial"/>
          <w:i/>
          <w:iCs/>
          <w:sz w:val="20"/>
          <w:szCs w:val="20"/>
        </w:rPr>
        <w:t>Esta doctrina jurisprudencial de esta Sala ha sido confirmada por la reciente sentencia del TJUE de 16 de julio de 2020, en los asuntos acumulados C-224/19 y C-259/19….”</w:t>
      </w:r>
      <w:r w:rsidRPr="00DD66F9">
        <w:rPr>
          <w:rFonts w:ascii="Arial" w:eastAsia="Arial Narrow" w:hAnsi="Arial" w:cs="Arial"/>
          <w:sz w:val="20"/>
          <w:szCs w:val="20"/>
        </w:rPr>
        <w:t xml:space="preserve">,           </w:t>
      </w:r>
      <w:r w:rsidRPr="00DD66F9">
        <w:rPr>
          <w:rFonts w:ascii="Arial" w:eastAsia="Arial Narrow" w:hAnsi="Arial" w:cs="Arial"/>
          <w:i/>
          <w:sz w:val="20"/>
          <w:szCs w:val="20"/>
        </w:rPr>
        <w:t xml:space="preserve"> </w:t>
      </w:r>
      <w:r w:rsidRPr="00DD66F9">
        <w:rPr>
          <w:rFonts w:ascii="Arial" w:eastAsia="Arial Narrow" w:hAnsi="Arial" w:cs="Arial"/>
          <w:sz w:val="20"/>
          <w:szCs w:val="20"/>
        </w:rPr>
        <w:t xml:space="preserve">  </w:t>
      </w:r>
    </w:p>
    <w:p w14:paraId="27C23AF0" w14:textId="71710E9A" w:rsidR="00B211B8" w:rsidRPr="00DD66F9" w:rsidRDefault="00B211B8" w:rsidP="00554476">
      <w:pPr>
        <w:pStyle w:val="Sinespaciado"/>
        <w:spacing w:line="360" w:lineRule="auto"/>
        <w:jc w:val="both"/>
        <w:rPr>
          <w:rFonts w:ascii="Arial" w:hAnsi="Arial" w:cs="Arial"/>
          <w:iCs/>
          <w:sz w:val="20"/>
          <w:szCs w:val="20"/>
          <w:shd w:val="clear" w:color="auto" w:fill="FFFFFF"/>
        </w:rPr>
      </w:pPr>
    </w:p>
    <w:p w14:paraId="194A2F65" w14:textId="44680BB4" w:rsidR="00C52029" w:rsidRPr="00DD66F9" w:rsidRDefault="0009559D" w:rsidP="00554476">
      <w:pPr>
        <w:pStyle w:val="Sinespaciado"/>
        <w:spacing w:line="360" w:lineRule="auto"/>
        <w:jc w:val="both"/>
        <w:rPr>
          <w:rFonts w:ascii="Arial" w:hAnsi="Arial" w:cs="Arial"/>
          <w:iCs/>
          <w:sz w:val="20"/>
          <w:szCs w:val="20"/>
          <w:shd w:val="clear" w:color="auto" w:fill="FFFFFF"/>
        </w:rPr>
      </w:pPr>
      <w:r w:rsidRPr="00DD66F9">
        <w:rPr>
          <w:rFonts w:ascii="Arial" w:hAnsi="Arial" w:cs="Arial"/>
          <w:iCs/>
          <w:sz w:val="20"/>
          <w:szCs w:val="20"/>
          <w:shd w:val="clear" w:color="auto" w:fill="FFFFFF"/>
        </w:rPr>
        <w:t>En efecto, la referida sentencia dictada por el TJUE viene a admitir que</w:t>
      </w:r>
      <w:r w:rsidR="00C52029" w:rsidRPr="00DD66F9">
        <w:rPr>
          <w:rFonts w:ascii="Arial" w:hAnsi="Arial" w:cs="Arial"/>
          <w:iCs/>
          <w:sz w:val="20"/>
          <w:szCs w:val="20"/>
          <w:shd w:val="clear" w:color="auto" w:fill="FFFFFF"/>
        </w:rPr>
        <w:t xml:space="preserve"> los efectos de la declaración de nulidad por abusiva de la cláusula de gastos consisten en la aplicación de las disposiciones de derecho nacional sobre la distribución de los gastos en defecto de acuerdo entre partes en los términos interpretados por la jurisprudencia del </w:t>
      </w:r>
      <w:r w:rsidRPr="00DD66F9">
        <w:rPr>
          <w:rFonts w:ascii="Arial" w:hAnsi="Arial" w:cs="Arial"/>
          <w:iCs/>
          <w:sz w:val="20"/>
          <w:szCs w:val="20"/>
          <w:shd w:val="clear" w:color="auto" w:fill="FFFFFF"/>
        </w:rPr>
        <w:t>T</w:t>
      </w:r>
      <w:r w:rsidR="00C52029" w:rsidRPr="00DD66F9">
        <w:rPr>
          <w:rFonts w:ascii="Arial" w:hAnsi="Arial" w:cs="Arial"/>
          <w:iCs/>
          <w:sz w:val="20"/>
          <w:szCs w:val="20"/>
          <w:shd w:val="clear" w:color="auto" w:fill="FFFFFF"/>
        </w:rPr>
        <w:t xml:space="preserve">ribunal Supremo.    </w:t>
      </w:r>
    </w:p>
    <w:p w14:paraId="0834D0CD" w14:textId="5584F5D3" w:rsidR="0009559D" w:rsidRPr="00DD66F9" w:rsidRDefault="0009559D" w:rsidP="00554476">
      <w:pPr>
        <w:pStyle w:val="Sinespaciado"/>
        <w:spacing w:line="360" w:lineRule="auto"/>
        <w:jc w:val="both"/>
        <w:rPr>
          <w:rFonts w:ascii="Arial" w:hAnsi="Arial" w:cs="Arial"/>
          <w:iCs/>
          <w:sz w:val="20"/>
          <w:szCs w:val="20"/>
          <w:shd w:val="clear" w:color="auto" w:fill="FFFFFF"/>
        </w:rPr>
      </w:pPr>
    </w:p>
    <w:p w14:paraId="5398EC0A" w14:textId="4ED3CD69" w:rsidR="0009559D" w:rsidRPr="00DD66F9" w:rsidRDefault="0009559D" w:rsidP="00554476">
      <w:pPr>
        <w:spacing w:after="0" w:line="360" w:lineRule="auto"/>
        <w:jc w:val="both"/>
        <w:rPr>
          <w:rFonts w:ascii="Arial" w:hAnsi="Arial" w:cs="Arial"/>
          <w:sz w:val="20"/>
          <w:szCs w:val="20"/>
        </w:rPr>
      </w:pPr>
      <w:r w:rsidRPr="00DD66F9">
        <w:rPr>
          <w:rFonts w:ascii="Arial" w:hAnsi="Arial" w:cs="Arial"/>
          <w:sz w:val="20"/>
          <w:szCs w:val="20"/>
        </w:rPr>
        <w:t>La STJUE de 16 de julio de 2020 dictamina que la eventual declaración de nulidad de la cláusula de gastos “</w:t>
      </w:r>
      <w:r w:rsidRPr="00DD66F9">
        <w:rPr>
          <w:rFonts w:ascii="Arial" w:hAnsi="Arial" w:cs="Arial"/>
          <w:b/>
          <w:i/>
          <w:sz w:val="20"/>
          <w:szCs w:val="20"/>
        </w:rPr>
        <w:t>justifica la aplicación de las disposiciones de Derecho nacional que puedan regular el reparto de los gastos de constitución y cancelación de hipoteca en defecto de acuerdo entre las partes</w:t>
      </w:r>
      <w:r w:rsidRPr="00DD66F9">
        <w:rPr>
          <w:rFonts w:ascii="Arial" w:hAnsi="Arial" w:cs="Arial"/>
          <w:sz w:val="20"/>
          <w:szCs w:val="20"/>
        </w:rPr>
        <w:t>”, de modo que “</w:t>
      </w:r>
      <w:r w:rsidRPr="00DD66F9">
        <w:rPr>
          <w:rFonts w:ascii="Arial" w:hAnsi="Arial" w:cs="Arial"/>
          <w:i/>
          <w:sz w:val="20"/>
          <w:szCs w:val="20"/>
        </w:rPr>
        <w:t>si estas disposiciones hacen recaer sobre el prestatario la totalidad o una parte de estos gastos, ni el artículo 6, apartado 1, ni el artículo 7, apartado 1, de la Directiva 93/13 se oponen a que se niegue al consumidor la restitución de la parte de dichos gastos que él mismo deba soportar</w:t>
      </w:r>
      <w:r w:rsidRPr="00DD66F9">
        <w:rPr>
          <w:rFonts w:ascii="Arial" w:hAnsi="Arial" w:cs="Arial"/>
          <w:sz w:val="20"/>
          <w:szCs w:val="20"/>
        </w:rPr>
        <w:t xml:space="preserve">”. </w:t>
      </w:r>
    </w:p>
    <w:p w14:paraId="2E7C1F78" w14:textId="77777777" w:rsidR="00B63AB3" w:rsidRPr="00DD66F9" w:rsidRDefault="00B63AB3" w:rsidP="00554476">
      <w:pPr>
        <w:spacing w:after="0" w:line="360" w:lineRule="auto"/>
        <w:jc w:val="both"/>
        <w:rPr>
          <w:rFonts w:ascii="Arial" w:hAnsi="Arial" w:cs="Arial"/>
          <w:sz w:val="20"/>
          <w:szCs w:val="20"/>
        </w:rPr>
      </w:pPr>
    </w:p>
    <w:p w14:paraId="2CA40F1B" w14:textId="1BC0BF6F" w:rsidR="0009559D" w:rsidRPr="00DD66F9" w:rsidRDefault="0009559D" w:rsidP="00554476">
      <w:pPr>
        <w:spacing w:after="0" w:line="360" w:lineRule="auto"/>
        <w:jc w:val="both"/>
        <w:rPr>
          <w:rFonts w:ascii="Arial" w:hAnsi="Arial" w:cs="Arial"/>
          <w:sz w:val="20"/>
          <w:szCs w:val="20"/>
        </w:rPr>
      </w:pPr>
      <w:r w:rsidRPr="00DD66F9">
        <w:rPr>
          <w:rFonts w:ascii="Arial" w:hAnsi="Arial" w:cs="Arial"/>
          <w:sz w:val="20"/>
          <w:szCs w:val="20"/>
        </w:rPr>
        <w:t>Por ello, el TJUE concluye que el consumidor debe obtener la restitución de los gastos abonados en virtud de la cláusula declarada nula, “</w:t>
      </w:r>
      <w:r w:rsidRPr="00DD66F9">
        <w:rPr>
          <w:rFonts w:ascii="Arial" w:hAnsi="Arial" w:cs="Arial"/>
          <w:b/>
          <w:i/>
          <w:sz w:val="20"/>
          <w:szCs w:val="20"/>
        </w:rPr>
        <w:t>salvo</w:t>
      </w:r>
      <w:r w:rsidRPr="00DD66F9">
        <w:rPr>
          <w:rFonts w:ascii="Arial" w:hAnsi="Arial" w:cs="Arial"/>
          <w:i/>
          <w:sz w:val="20"/>
          <w:szCs w:val="20"/>
        </w:rPr>
        <w:t xml:space="preserve"> </w:t>
      </w:r>
      <w:r w:rsidRPr="00DD66F9">
        <w:rPr>
          <w:rFonts w:ascii="Arial" w:hAnsi="Arial" w:cs="Arial"/>
          <w:b/>
          <w:i/>
          <w:sz w:val="20"/>
          <w:szCs w:val="20"/>
        </w:rPr>
        <w:t>que</w:t>
      </w:r>
      <w:r w:rsidRPr="00DD66F9">
        <w:rPr>
          <w:rFonts w:ascii="Arial" w:hAnsi="Arial" w:cs="Arial"/>
          <w:i/>
          <w:sz w:val="20"/>
          <w:szCs w:val="20"/>
        </w:rPr>
        <w:t xml:space="preserve"> </w:t>
      </w:r>
      <w:r w:rsidRPr="00DD66F9">
        <w:rPr>
          <w:rFonts w:ascii="Arial" w:hAnsi="Arial" w:cs="Arial"/>
          <w:b/>
          <w:i/>
          <w:sz w:val="20"/>
          <w:szCs w:val="20"/>
        </w:rPr>
        <w:t>las disposiciones de Derecho nacional aplicables en defecto de tal cláusula impongan al consumidor el pago de la totalidad o de una parte de esos gastos</w:t>
      </w:r>
      <w:r w:rsidR="00772ABB" w:rsidRPr="00DD66F9">
        <w:rPr>
          <w:rFonts w:ascii="Arial" w:hAnsi="Arial" w:cs="Arial"/>
          <w:sz w:val="20"/>
          <w:szCs w:val="20"/>
        </w:rPr>
        <w:t>”</w:t>
      </w:r>
      <w:r w:rsidRPr="00DD66F9">
        <w:rPr>
          <w:rFonts w:ascii="Arial" w:hAnsi="Arial" w:cs="Arial"/>
          <w:sz w:val="20"/>
          <w:szCs w:val="20"/>
        </w:rPr>
        <w:t xml:space="preserve">. </w:t>
      </w:r>
    </w:p>
    <w:p w14:paraId="4C7CCADB" w14:textId="77777777" w:rsidR="00B63AB3" w:rsidRPr="00DD66F9" w:rsidRDefault="00B63AB3" w:rsidP="00554476">
      <w:pPr>
        <w:spacing w:after="0" w:line="360" w:lineRule="auto"/>
        <w:jc w:val="both"/>
        <w:rPr>
          <w:rFonts w:ascii="Arial" w:hAnsi="Arial" w:cs="Arial"/>
          <w:sz w:val="20"/>
          <w:szCs w:val="20"/>
        </w:rPr>
      </w:pPr>
    </w:p>
    <w:p w14:paraId="2CE43FA0" w14:textId="2ABDD1F9" w:rsidR="0009559D" w:rsidRPr="00DD66F9" w:rsidRDefault="0009559D" w:rsidP="00554476">
      <w:pPr>
        <w:spacing w:after="0" w:line="360" w:lineRule="auto"/>
        <w:jc w:val="both"/>
        <w:rPr>
          <w:rFonts w:ascii="Arial" w:hAnsi="Arial" w:cs="Arial"/>
          <w:b/>
          <w:sz w:val="20"/>
          <w:szCs w:val="20"/>
        </w:rPr>
      </w:pPr>
      <w:r w:rsidRPr="00DD66F9">
        <w:rPr>
          <w:rFonts w:ascii="Arial" w:hAnsi="Arial" w:cs="Arial"/>
          <w:sz w:val="20"/>
          <w:szCs w:val="20"/>
        </w:rPr>
        <w:lastRenderedPageBreak/>
        <w:t xml:space="preserve">Estos pronunciamientos confirman que </w:t>
      </w:r>
      <w:r w:rsidRPr="00DD66F9">
        <w:rPr>
          <w:rFonts w:ascii="Arial" w:hAnsi="Arial" w:cs="Arial"/>
          <w:b/>
          <w:sz w:val="20"/>
          <w:szCs w:val="20"/>
        </w:rPr>
        <w:t xml:space="preserve">la eventual declaración de nulidad de una cláusula no impide la aplicación de la norma nacional aplicable en defecto de pacto. En el caso particular de la cláusula de gastos, el efecto consiste en que el consumidor debe abonar, tras la declaración de nulidad de la cláusula de gastos, aquellas partidas que le corresponderían afrontar en virtud de la normativa aplicable en ausencia de la cláusula. </w:t>
      </w:r>
    </w:p>
    <w:p w14:paraId="4F2D0384" w14:textId="77777777" w:rsidR="00B63AB3" w:rsidRPr="00DD66F9" w:rsidRDefault="00B63AB3" w:rsidP="00554476">
      <w:pPr>
        <w:spacing w:after="0" w:line="360" w:lineRule="auto"/>
        <w:jc w:val="both"/>
        <w:rPr>
          <w:rFonts w:ascii="Arial" w:hAnsi="Arial" w:cs="Arial"/>
          <w:b/>
          <w:sz w:val="20"/>
          <w:szCs w:val="20"/>
        </w:rPr>
      </w:pPr>
    </w:p>
    <w:p w14:paraId="66E3B117" w14:textId="274D2497" w:rsidR="00D54B68" w:rsidRPr="00DD66F9" w:rsidRDefault="00753F0F" w:rsidP="00554476">
      <w:pPr>
        <w:spacing w:after="0" w:line="360" w:lineRule="auto"/>
        <w:jc w:val="both"/>
        <w:rPr>
          <w:rFonts w:ascii="Arial" w:hAnsi="Arial" w:cs="Arial"/>
          <w:sz w:val="20"/>
          <w:szCs w:val="20"/>
        </w:rPr>
      </w:pPr>
      <w:r w:rsidRPr="00DD66F9">
        <w:rPr>
          <w:rFonts w:ascii="Arial" w:hAnsi="Arial" w:cs="Arial"/>
          <w:sz w:val="20"/>
          <w:szCs w:val="20"/>
        </w:rPr>
        <w:t xml:space="preserve">En efecto, la Sala Primera interpretó las disposiciones normativas en materia de gastos del préstamo hipotecario para configurar la concreta atribución de esos conceptos entre la entidad financiera y el consumidor. No se acudió a parámetros distintos propios de una reducción conservadora de la validez, ni a una moderación de la cláusula. Por tanto, </w:t>
      </w:r>
      <w:r w:rsidRPr="00DD66F9">
        <w:rPr>
          <w:rFonts w:ascii="Arial" w:hAnsi="Arial" w:cs="Arial"/>
          <w:b/>
          <w:sz w:val="20"/>
          <w:szCs w:val="20"/>
        </w:rPr>
        <w:t>en caso de que la cláusula se declara</w:t>
      </w:r>
      <w:r w:rsidR="00D54B68" w:rsidRPr="00DD66F9">
        <w:rPr>
          <w:rFonts w:ascii="Arial" w:hAnsi="Arial" w:cs="Arial"/>
          <w:b/>
          <w:sz w:val="20"/>
          <w:szCs w:val="20"/>
        </w:rPr>
        <w:t>se</w:t>
      </w:r>
      <w:r w:rsidRPr="00DD66F9">
        <w:rPr>
          <w:rFonts w:ascii="Arial" w:hAnsi="Arial" w:cs="Arial"/>
          <w:b/>
          <w:sz w:val="20"/>
          <w:szCs w:val="20"/>
        </w:rPr>
        <w:t xml:space="preserve"> nula, se eliminaría del contrato (como impone el art. 6.1 de la Directiva 93/13), lo cual no impediría, como confirma el TJUE, que el consumidor debiese afrontar aquellos gastos que le correspondan por aplicación de la normativa sobre gastos del préstamo.</w:t>
      </w:r>
      <w:r w:rsidRPr="00DD66F9">
        <w:rPr>
          <w:rFonts w:ascii="Arial" w:hAnsi="Arial" w:cs="Arial"/>
          <w:sz w:val="20"/>
          <w:szCs w:val="20"/>
        </w:rPr>
        <w:t xml:space="preserve"> O, en términos del Tribunal Supremo, “</w:t>
      </w:r>
      <w:r w:rsidRPr="00DD66F9">
        <w:rPr>
          <w:rFonts w:ascii="Arial" w:hAnsi="Arial" w:cs="Arial"/>
          <w:i/>
          <w:sz w:val="20"/>
          <w:szCs w:val="20"/>
        </w:rPr>
        <w:t xml:space="preserve">decretada la nulidad de la cláusula y acordada su expulsión del contrato, habrá de actuarse como si tal cláusula nunca se hubiera incluido, y el pago de los gastos discutidos </w:t>
      </w:r>
      <w:r w:rsidRPr="00DD66F9">
        <w:rPr>
          <w:rFonts w:ascii="Arial" w:hAnsi="Arial" w:cs="Arial"/>
          <w:b/>
          <w:i/>
          <w:sz w:val="20"/>
          <w:szCs w:val="20"/>
        </w:rPr>
        <w:t>deberá ser afrontada por la parte a la que corresponde, según preveía el ordenamiento jurídico en el momento de la firma del contrato</w:t>
      </w:r>
      <w:r w:rsidRPr="00DD66F9">
        <w:rPr>
          <w:rFonts w:ascii="Arial" w:hAnsi="Arial" w:cs="Arial"/>
          <w:sz w:val="20"/>
          <w:szCs w:val="20"/>
        </w:rPr>
        <w:t>” (entre otras, Sentencia</w:t>
      </w:r>
      <w:r w:rsidR="00D54B68" w:rsidRPr="00DD66F9">
        <w:rPr>
          <w:rFonts w:ascii="Arial" w:hAnsi="Arial" w:cs="Arial"/>
          <w:sz w:val="20"/>
          <w:szCs w:val="20"/>
        </w:rPr>
        <w:t xml:space="preserve"> núm. 44/2019, de 23 de enero).</w:t>
      </w:r>
    </w:p>
    <w:p w14:paraId="66104EDC" w14:textId="77777777" w:rsidR="00220AA1" w:rsidRPr="00DD66F9" w:rsidRDefault="00220AA1" w:rsidP="00554476">
      <w:pPr>
        <w:spacing w:after="0" w:line="360" w:lineRule="auto"/>
        <w:jc w:val="both"/>
        <w:rPr>
          <w:rFonts w:ascii="Arial" w:hAnsi="Arial" w:cs="Arial"/>
          <w:sz w:val="20"/>
          <w:szCs w:val="20"/>
        </w:rPr>
      </w:pPr>
    </w:p>
    <w:p w14:paraId="31586FB0" w14:textId="04986967" w:rsidR="00DD5076" w:rsidRPr="00DD66F9" w:rsidRDefault="00D54B68" w:rsidP="00554476">
      <w:pPr>
        <w:spacing w:after="0" w:line="360" w:lineRule="auto"/>
        <w:jc w:val="both"/>
        <w:rPr>
          <w:rFonts w:ascii="Arial" w:hAnsi="Arial" w:cs="Arial"/>
          <w:sz w:val="20"/>
          <w:szCs w:val="20"/>
        </w:rPr>
      </w:pPr>
      <w:r w:rsidRPr="00DD66F9">
        <w:rPr>
          <w:rFonts w:ascii="Arial" w:hAnsi="Arial" w:cs="Arial"/>
          <w:sz w:val="20"/>
          <w:szCs w:val="20"/>
        </w:rPr>
        <w:t xml:space="preserve">De este modo, la jurisprudencia del Tribunal Supremo es confirmada por la STJUE de 16 de julio de 2020: la eventual declaración de nulidad de la cláusula conllevaría la aplicación </w:t>
      </w:r>
      <w:r w:rsidR="00DD5076" w:rsidRPr="00DD66F9">
        <w:rPr>
          <w:rFonts w:ascii="Arial" w:hAnsi="Arial" w:cs="Arial"/>
          <w:sz w:val="20"/>
          <w:szCs w:val="20"/>
        </w:rPr>
        <w:t xml:space="preserve">de las disposiciones del Derecho interno (cuya interpretación, como es lógico, está reservada a los órganos jurisdiccionales nacionales) </w:t>
      </w:r>
      <w:r w:rsidRPr="00DD66F9">
        <w:rPr>
          <w:rFonts w:ascii="Arial" w:hAnsi="Arial" w:cs="Arial"/>
          <w:sz w:val="20"/>
          <w:szCs w:val="20"/>
        </w:rPr>
        <w:t xml:space="preserve">para averiguar a quién corresponde la asunción </w:t>
      </w:r>
      <w:r w:rsidR="00DD5076" w:rsidRPr="00DD66F9">
        <w:rPr>
          <w:rFonts w:ascii="Arial" w:hAnsi="Arial" w:cs="Arial"/>
          <w:sz w:val="20"/>
          <w:szCs w:val="20"/>
        </w:rPr>
        <w:t>de cada uno de los gastos, cuyo análisis individualizado se procede a realizar a continuación.</w:t>
      </w:r>
    </w:p>
    <w:p w14:paraId="1B185C1D" w14:textId="77777777" w:rsidR="00DD5076" w:rsidRPr="00DD66F9" w:rsidRDefault="00DD5076" w:rsidP="00554476">
      <w:pPr>
        <w:spacing w:after="0" w:line="360" w:lineRule="auto"/>
        <w:jc w:val="both"/>
        <w:rPr>
          <w:rFonts w:ascii="Arial" w:hAnsi="Arial" w:cs="Arial"/>
          <w:b/>
          <w:sz w:val="20"/>
          <w:szCs w:val="20"/>
          <w:u w:val="thick"/>
        </w:rPr>
      </w:pPr>
    </w:p>
    <w:p w14:paraId="7F98859E" w14:textId="0AEC99F0" w:rsidR="00944199" w:rsidRPr="00DD66F9" w:rsidRDefault="00944199" w:rsidP="00944199">
      <w:pPr>
        <w:pStyle w:val="Ttulo3"/>
        <w:spacing w:before="0" w:beforeAutospacing="0" w:after="0" w:afterAutospacing="0" w:line="360" w:lineRule="auto"/>
        <w:ind w:firstLine="567"/>
        <w:jc w:val="both"/>
        <w:rPr>
          <w:rFonts w:ascii="Arial" w:eastAsia="Bankinter" w:hAnsi="Arial" w:cs="Arial"/>
          <w:sz w:val="20"/>
          <w:szCs w:val="20"/>
          <w:u w:val="single"/>
        </w:rPr>
      </w:pPr>
      <w:bookmarkStart w:id="49" w:name="_Toc54185214"/>
      <w:r w:rsidRPr="00DD66F9">
        <w:rPr>
          <w:rFonts w:ascii="Arial" w:eastAsia="Bankinter" w:hAnsi="Arial" w:cs="Arial"/>
          <w:sz w:val="20"/>
          <w:szCs w:val="20"/>
          <w:u w:val="single"/>
        </w:rPr>
        <w:t>6.2. – De la doctrina del Tribunal Supremo por la que se fija la atribución de los gastos asociados a un préstamo hipotecario.</w:t>
      </w:r>
    </w:p>
    <w:p w14:paraId="23E93E31" w14:textId="77777777" w:rsidR="00944199" w:rsidRPr="00C15BBD" w:rsidRDefault="00944199" w:rsidP="00944199">
      <w:pPr>
        <w:pStyle w:val="Default"/>
        <w:spacing w:line="360" w:lineRule="auto"/>
        <w:jc w:val="both"/>
        <w:rPr>
          <w:rFonts w:asciiTheme="minorHAnsi" w:hAnsiTheme="minorHAnsi" w:cstheme="minorHAnsi"/>
          <w:color w:val="auto"/>
          <w:sz w:val="22"/>
          <w:szCs w:val="22"/>
        </w:rPr>
      </w:pPr>
    </w:p>
    <w:p w14:paraId="46039612" w14:textId="77777777" w:rsidR="00944199" w:rsidRPr="00944199" w:rsidRDefault="00944199" w:rsidP="00944199">
      <w:pPr>
        <w:spacing w:after="0" w:line="360" w:lineRule="auto"/>
        <w:jc w:val="both"/>
        <w:rPr>
          <w:rFonts w:ascii="Arial" w:hAnsi="Arial" w:cs="Arial"/>
          <w:iCs/>
          <w:sz w:val="20"/>
          <w:szCs w:val="20"/>
          <w:shd w:val="clear" w:color="auto" w:fill="FFFFFF"/>
        </w:rPr>
      </w:pPr>
      <w:r w:rsidRPr="00944199">
        <w:rPr>
          <w:rFonts w:ascii="Arial" w:hAnsi="Arial" w:cs="Arial"/>
          <w:sz w:val="20"/>
          <w:szCs w:val="20"/>
        </w:rPr>
        <w:t xml:space="preserve">Resulta necesario llamar la atención al Juzgador de la </w:t>
      </w:r>
      <w:r w:rsidRPr="00944199">
        <w:rPr>
          <w:rFonts w:ascii="Arial" w:hAnsi="Arial" w:cs="Arial"/>
          <w:b/>
          <w:sz w:val="20"/>
          <w:szCs w:val="20"/>
        </w:rPr>
        <w:t>Sentencia nº 457/2020, de 24 de julio, del Tribunal Supremo</w:t>
      </w:r>
      <w:r w:rsidRPr="00944199">
        <w:rPr>
          <w:rFonts w:ascii="Arial" w:hAnsi="Arial" w:cs="Arial"/>
          <w:sz w:val="20"/>
          <w:szCs w:val="20"/>
        </w:rPr>
        <w:t xml:space="preserve">, dictada tras la Sentencia de 16 de julio de 2020 del Tribunal de Justicia de la Unión Europea, mediante la que se ratifica el criterio recogido en las Sentencias nº 44/2019, 46/2019, 47/2019, 48/2019 y 49/2019, todas ellas de 23 de enero, dictadas por el Pleno del Tribunal Supremo que se pronunciaban sobre las </w:t>
      </w:r>
      <w:r w:rsidRPr="00944199">
        <w:rPr>
          <w:rFonts w:ascii="Arial" w:hAnsi="Arial" w:cs="Arial"/>
          <w:iCs/>
          <w:sz w:val="20"/>
          <w:szCs w:val="20"/>
          <w:shd w:val="clear" w:color="auto" w:fill="FFFFFF"/>
        </w:rPr>
        <w:t>cláusulas abusivas en contratos con consumidores y, en concreto, respecto a la cláusula de gastos de formalización y el reparto que realiza respecto del concepto de notaria y la exclusión de condena del impuesto:</w:t>
      </w:r>
    </w:p>
    <w:p w14:paraId="12A11A31" w14:textId="77777777" w:rsidR="00944199" w:rsidRPr="00944199" w:rsidRDefault="00944199" w:rsidP="00944199">
      <w:pPr>
        <w:pStyle w:val="Default"/>
        <w:spacing w:line="360" w:lineRule="auto"/>
        <w:jc w:val="both"/>
        <w:rPr>
          <w:rFonts w:ascii="Arial" w:hAnsi="Arial" w:cs="Arial"/>
          <w:color w:val="auto"/>
          <w:sz w:val="20"/>
          <w:szCs w:val="20"/>
        </w:rPr>
      </w:pPr>
    </w:p>
    <w:p w14:paraId="4976819F"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r w:rsidRPr="00944199">
        <w:rPr>
          <w:rFonts w:ascii="Arial" w:hAnsi="Arial" w:cs="Arial"/>
          <w:i/>
          <w:sz w:val="20"/>
          <w:szCs w:val="20"/>
        </w:rPr>
        <w:t xml:space="preserve">“Por tanto, de acuerdo con las normas de Derecho nacional aplicables en defecto de cláusula, la declaración de nulidad de la cláusula quinta relativa a los gastos no podía conllevar la atribución de todos los derivados del Impuesto de Actos Jurídicos </w:t>
      </w:r>
      <w:r w:rsidRPr="00944199">
        <w:rPr>
          <w:rFonts w:ascii="Arial" w:hAnsi="Arial" w:cs="Arial"/>
          <w:i/>
          <w:sz w:val="20"/>
          <w:szCs w:val="20"/>
        </w:rPr>
        <w:lastRenderedPageBreak/>
        <w:t>Documentados al banco prestamista, pues, con las matizaciones examinadas, el principal sujeto pasivo obligado al pago de este tributo era el prestatario.</w:t>
      </w:r>
    </w:p>
    <w:p w14:paraId="625796F6" w14:textId="77777777" w:rsidR="00944199" w:rsidRPr="00944199" w:rsidRDefault="00944199" w:rsidP="00944199">
      <w:pPr>
        <w:pStyle w:val="Default"/>
        <w:spacing w:line="360" w:lineRule="auto"/>
        <w:ind w:left="851" w:right="-1"/>
        <w:jc w:val="both"/>
        <w:rPr>
          <w:rFonts w:ascii="Arial" w:hAnsi="Arial" w:cs="Arial"/>
          <w:i/>
          <w:color w:val="auto"/>
          <w:sz w:val="20"/>
          <w:szCs w:val="20"/>
        </w:rPr>
      </w:pPr>
    </w:p>
    <w:p w14:paraId="55475247" w14:textId="77777777" w:rsidR="00944199" w:rsidRPr="00944199" w:rsidRDefault="00944199" w:rsidP="00944199">
      <w:pPr>
        <w:pStyle w:val="Default"/>
        <w:spacing w:line="360" w:lineRule="auto"/>
        <w:ind w:left="720" w:right="-1"/>
        <w:jc w:val="both"/>
        <w:rPr>
          <w:rFonts w:ascii="Arial" w:eastAsia="Times New Roman" w:hAnsi="Arial" w:cs="Arial"/>
          <w:i/>
          <w:sz w:val="20"/>
          <w:szCs w:val="20"/>
          <w:lang w:eastAsia="es-ES"/>
        </w:rPr>
      </w:pPr>
      <w:r w:rsidRPr="00944199">
        <w:rPr>
          <w:rFonts w:ascii="Arial" w:eastAsia="Times New Roman" w:hAnsi="Arial" w:cs="Arial"/>
          <w:i/>
          <w:sz w:val="20"/>
          <w:szCs w:val="20"/>
          <w:lang w:eastAsia="es-ES"/>
        </w:rPr>
        <w:t xml:space="preserve">6. Respecto a los gastos de notaría, en la sentencia 48/2019, de 23 de enero, concluimos que, como «la normativa notarial (el art. 63 Reglamento Notarial, que remite a la norma sexta del Anexo II del RD 1426/1989, de 17 de noviembre) habla en general de interesados, pero no especifica si a estos efectos de redacción de la matriz el interesado es el prestatario o el prestamista, y el préstamo hipotecario es una realidad inescindible, en la que están interesados tanto el consumidor -por la obtención del préstamo-, como el prestamista -por la garantía hipotecaria-, es razonable distribuir por mitad el pago de los gastos que genera su otorgamiento». </w:t>
      </w:r>
    </w:p>
    <w:p w14:paraId="2C2C51C0" w14:textId="77777777" w:rsidR="00944199" w:rsidRPr="00944199" w:rsidRDefault="00944199" w:rsidP="00944199">
      <w:pPr>
        <w:pStyle w:val="Default"/>
        <w:spacing w:line="360" w:lineRule="auto"/>
        <w:ind w:right="-1"/>
        <w:rPr>
          <w:rFonts w:ascii="Arial" w:hAnsi="Arial" w:cs="Arial"/>
          <w:sz w:val="20"/>
          <w:szCs w:val="20"/>
        </w:rPr>
      </w:pPr>
    </w:p>
    <w:p w14:paraId="3B48F211"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r w:rsidRPr="00944199">
        <w:rPr>
          <w:rFonts w:ascii="Arial" w:hAnsi="Arial" w:cs="Arial"/>
          <w:i/>
          <w:sz w:val="20"/>
          <w:szCs w:val="20"/>
        </w:rPr>
        <w:t xml:space="preserve">El mismo criterio resulta de aplicación a la escritura de modificación del préstamo hipotecario, puesto que ambas partes están interesadas en la modificación o novación. </w:t>
      </w:r>
    </w:p>
    <w:p w14:paraId="787B3C4E"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p>
    <w:p w14:paraId="2AC57D24"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r w:rsidRPr="00944199">
        <w:rPr>
          <w:rFonts w:ascii="Arial" w:hAnsi="Arial" w:cs="Arial"/>
          <w:i/>
          <w:sz w:val="20"/>
          <w:szCs w:val="20"/>
        </w:rPr>
        <w:t xml:space="preserve">En cuanto a la escritura de cancelación de la hipoteca, como el interesado en la liberación del gravamen es el prestatario, a él le corresponde este gasto. </w:t>
      </w:r>
    </w:p>
    <w:p w14:paraId="755E8AD8"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r w:rsidRPr="00944199">
        <w:rPr>
          <w:rFonts w:ascii="Arial" w:hAnsi="Arial" w:cs="Arial"/>
          <w:i/>
          <w:sz w:val="20"/>
          <w:szCs w:val="20"/>
        </w:rPr>
        <w:t xml:space="preserve">Y por lo que respecta a las copias de las distintas escrituras notariales relacionadas con el préstamo hipotecario, deberá abonarlas quien las solicite, en tanto que la solicitud determina su interés. </w:t>
      </w:r>
    </w:p>
    <w:p w14:paraId="47016639" w14:textId="77777777" w:rsidR="00944199" w:rsidRPr="00944199" w:rsidRDefault="00944199" w:rsidP="00944199">
      <w:pPr>
        <w:autoSpaceDE w:val="0"/>
        <w:autoSpaceDN w:val="0"/>
        <w:adjustRightInd w:val="0"/>
        <w:spacing w:after="0" w:line="360" w:lineRule="auto"/>
        <w:ind w:left="851" w:right="-1"/>
        <w:jc w:val="both"/>
        <w:rPr>
          <w:rFonts w:ascii="Arial" w:hAnsi="Arial" w:cs="Arial"/>
          <w:i/>
          <w:sz w:val="20"/>
          <w:szCs w:val="20"/>
        </w:rPr>
      </w:pPr>
    </w:p>
    <w:p w14:paraId="1BBB65F6" w14:textId="713D28B2" w:rsidR="00944199" w:rsidRDefault="00944199" w:rsidP="00944199">
      <w:pPr>
        <w:autoSpaceDE w:val="0"/>
        <w:autoSpaceDN w:val="0"/>
        <w:adjustRightInd w:val="0"/>
        <w:spacing w:after="0" w:line="360" w:lineRule="auto"/>
        <w:ind w:left="851" w:right="-1"/>
        <w:jc w:val="both"/>
        <w:rPr>
          <w:rFonts w:ascii="Arial" w:hAnsi="Arial" w:cs="Arial"/>
          <w:i/>
          <w:sz w:val="20"/>
          <w:szCs w:val="20"/>
        </w:rPr>
      </w:pPr>
      <w:r w:rsidRPr="00944199">
        <w:rPr>
          <w:rFonts w:ascii="Arial" w:hAnsi="Arial" w:cs="Arial"/>
          <w:i/>
          <w:sz w:val="20"/>
          <w:szCs w:val="20"/>
        </w:rPr>
        <w:t>Por tanto, de acuerdo con las normas de Derecho nacional aplicables en defecto de cláusula, los gastos notariales generados por el otorgamiento de la escritura de préstamo hipotecario debían repartirse por mitad, razón por la cual el banco demandado sólo podía ser condenado a reintegrar la mitad (341,83 euros).”</w:t>
      </w:r>
    </w:p>
    <w:p w14:paraId="65D264EE" w14:textId="742582E5" w:rsidR="00363D6E" w:rsidRDefault="00740D9B" w:rsidP="00363D6E">
      <w:pPr>
        <w:autoSpaceDE w:val="0"/>
        <w:autoSpaceDN w:val="0"/>
        <w:adjustRightInd w:val="0"/>
        <w:spacing w:after="0" w:line="360" w:lineRule="auto"/>
        <w:ind w:left="851" w:right="-1"/>
        <w:jc w:val="both"/>
        <w:rPr>
          <w:rFonts w:ascii="Arial" w:hAnsi="Arial" w:cs="Arial"/>
          <w:i/>
          <w:sz w:val="20"/>
          <w:szCs w:val="20"/>
        </w:rPr>
      </w:pPr>
      <w:r>
        <w:rPr>
          <w:rFonts w:ascii="Arial" w:hAnsi="Arial" w:cs="Arial"/>
          <w:i/>
          <w:sz w:val="20"/>
          <w:szCs w:val="20"/>
        </w:rPr>
        <w:t>(…)</w:t>
      </w:r>
    </w:p>
    <w:p w14:paraId="5E1B8F4A" w14:textId="5E27A381" w:rsidR="00363D6E" w:rsidRDefault="00363D6E" w:rsidP="00363D6E">
      <w:pPr>
        <w:autoSpaceDE w:val="0"/>
        <w:autoSpaceDN w:val="0"/>
        <w:adjustRightInd w:val="0"/>
        <w:spacing w:after="0" w:line="360" w:lineRule="auto"/>
        <w:ind w:left="851" w:right="-1"/>
        <w:jc w:val="both"/>
        <w:rPr>
          <w:rFonts w:ascii="Arial" w:hAnsi="Arial" w:cs="Arial"/>
          <w:i/>
          <w:sz w:val="20"/>
          <w:szCs w:val="20"/>
        </w:rPr>
      </w:pPr>
    </w:p>
    <w:p w14:paraId="31B871C4" w14:textId="65F8771A" w:rsidR="00363D6E" w:rsidRDefault="00363D6E" w:rsidP="00363D6E">
      <w:pPr>
        <w:autoSpaceDE w:val="0"/>
        <w:autoSpaceDN w:val="0"/>
        <w:adjustRightInd w:val="0"/>
        <w:spacing w:after="0" w:line="360" w:lineRule="auto"/>
        <w:ind w:left="851" w:right="-1"/>
        <w:jc w:val="both"/>
        <w:rPr>
          <w:rFonts w:ascii="Arial" w:eastAsia="Bankinter" w:hAnsi="Arial" w:cs="Arial"/>
          <w:b/>
          <w:sz w:val="20"/>
          <w:szCs w:val="20"/>
          <w:u w:val="single"/>
        </w:rPr>
      </w:pPr>
      <w:r>
        <w:rPr>
          <w:rFonts w:ascii="Arial" w:eastAsia="Bankinter" w:hAnsi="Arial" w:cs="Arial"/>
          <w:b/>
          <w:sz w:val="20"/>
          <w:szCs w:val="20"/>
          <w:u w:val="single"/>
        </w:rPr>
        <w:t xml:space="preserve">6.3. – Del reparto de los </w:t>
      </w:r>
      <w:r w:rsidRPr="00363D6E">
        <w:rPr>
          <w:rFonts w:ascii="Arial" w:eastAsia="Bankinter" w:hAnsi="Arial" w:cs="Arial"/>
          <w:b/>
          <w:sz w:val="20"/>
          <w:szCs w:val="20"/>
          <w:u w:val="single"/>
        </w:rPr>
        <w:t>gastos asociados a un préstamo hipotecario</w:t>
      </w:r>
      <w:r>
        <w:rPr>
          <w:rFonts w:ascii="Arial" w:eastAsia="Bankinter" w:hAnsi="Arial" w:cs="Arial"/>
          <w:b/>
          <w:sz w:val="20"/>
          <w:szCs w:val="20"/>
          <w:u w:val="single"/>
        </w:rPr>
        <w:t xml:space="preserve"> (STS 555/2020 de 26 de octubre):</w:t>
      </w:r>
    </w:p>
    <w:p w14:paraId="07FDFBC9" w14:textId="4E380B46" w:rsidR="00363D6E" w:rsidRDefault="00363D6E" w:rsidP="00363D6E">
      <w:pPr>
        <w:autoSpaceDE w:val="0"/>
        <w:autoSpaceDN w:val="0"/>
        <w:adjustRightInd w:val="0"/>
        <w:spacing w:after="0" w:line="360" w:lineRule="auto"/>
        <w:ind w:left="851" w:right="-1"/>
        <w:jc w:val="both"/>
        <w:rPr>
          <w:rFonts w:ascii="Arial" w:eastAsia="Bankinter" w:hAnsi="Arial" w:cs="Arial"/>
          <w:b/>
          <w:sz w:val="20"/>
          <w:szCs w:val="20"/>
          <w:u w:val="single"/>
        </w:rPr>
      </w:pPr>
    </w:p>
    <w:p w14:paraId="3EE8B1AA" w14:textId="68FA8855" w:rsidR="00363D6E" w:rsidRPr="00363D6E" w:rsidRDefault="00363D6E" w:rsidP="00363D6E">
      <w:pPr>
        <w:pStyle w:val="Prrafodelista"/>
        <w:numPr>
          <w:ilvl w:val="0"/>
          <w:numId w:val="27"/>
        </w:numPr>
        <w:autoSpaceDE w:val="0"/>
        <w:autoSpaceDN w:val="0"/>
        <w:adjustRightInd w:val="0"/>
        <w:spacing w:after="0" w:line="360" w:lineRule="auto"/>
        <w:ind w:right="-1"/>
        <w:jc w:val="both"/>
        <w:rPr>
          <w:rFonts w:ascii="Arial" w:hAnsi="Arial" w:cs="Arial"/>
          <w:sz w:val="20"/>
          <w:szCs w:val="20"/>
        </w:rPr>
      </w:pPr>
      <w:r w:rsidRPr="00363D6E">
        <w:rPr>
          <w:rFonts w:ascii="Arial" w:hAnsi="Arial" w:cs="Arial"/>
          <w:b/>
          <w:bCs/>
          <w:sz w:val="20"/>
          <w:szCs w:val="20"/>
        </w:rPr>
        <w:t>Con respecto a los gastos notariales</w:t>
      </w:r>
      <w:r w:rsidRPr="00363D6E">
        <w:rPr>
          <w:rFonts w:ascii="Arial" w:hAnsi="Arial" w:cs="Arial"/>
          <w:sz w:val="20"/>
          <w:szCs w:val="20"/>
        </w:rPr>
        <w:t>, se declara:</w:t>
      </w:r>
    </w:p>
    <w:p w14:paraId="63A920D6" w14:textId="77777777" w:rsidR="00363D6E" w:rsidRPr="00363D6E" w:rsidRDefault="00363D6E" w:rsidP="00363D6E">
      <w:pPr>
        <w:pStyle w:val="Prrafodelista"/>
        <w:autoSpaceDE w:val="0"/>
        <w:autoSpaceDN w:val="0"/>
        <w:adjustRightInd w:val="0"/>
        <w:spacing w:after="0" w:line="360" w:lineRule="auto"/>
        <w:ind w:left="1211" w:right="-1"/>
        <w:jc w:val="both"/>
        <w:rPr>
          <w:rFonts w:ascii="Arial" w:hAnsi="Arial" w:cs="Arial"/>
          <w:i/>
          <w:sz w:val="20"/>
          <w:szCs w:val="20"/>
        </w:rPr>
      </w:pPr>
    </w:p>
    <w:p w14:paraId="7B23696A" w14:textId="08696D4E" w:rsidR="00363D6E" w:rsidRPr="00363D6E" w:rsidRDefault="00363D6E" w:rsidP="00363D6E">
      <w:pPr>
        <w:autoSpaceDE w:val="0"/>
        <w:autoSpaceDN w:val="0"/>
        <w:adjustRightInd w:val="0"/>
        <w:spacing w:after="0" w:line="360" w:lineRule="auto"/>
        <w:ind w:left="851" w:right="-1"/>
        <w:jc w:val="both"/>
        <w:rPr>
          <w:rFonts w:ascii="Arial" w:hAnsi="Arial" w:cs="Arial"/>
          <w:i/>
          <w:iCs/>
          <w:sz w:val="20"/>
          <w:szCs w:val="20"/>
        </w:rPr>
      </w:pPr>
      <w:r w:rsidRPr="00363D6E">
        <w:rPr>
          <w:rFonts w:ascii="Arial" w:hAnsi="Arial" w:cs="Arial"/>
          <w:i/>
          <w:sz w:val="20"/>
          <w:szCs w:val="20"/>
        </w:rPr>
        <w:t>"</w:t>
      </w:r>
      <w:r w:rsidRPr="00363D6E">
        <w:rPr>
          <w:rFonts w:ascii="Arial" w:hAnsi="Arial" w:cs="Arial"/>
          <w:i/>
          <w:iCs/>
          <w:sz w:val="20"/>
          <w:szCs w:val="20"/>
        </w:rPr>
        <w:t>Es decir, como la normativa notarial habla en general de interesados, pero no especifica si</w:t>
      </w:r>
      <w:r>
        <w:rPr>
          <w:rFonts w:ascii="Arial" w:hAnsi="Arial" w:cs="Arial"/>
          <w:i/>
          <w:iCs/>
          <w:sz w:val="20"/>
          <w:szCs w:val="20"/>
        </w:rPr>
        <w:t xml:space="preserve"> </w:t>
      </w:r>
      <w:r w:rsidRPr="00363D6E">
        <w:rPr>
          <w:rFonts w:ascii="Arial" w:hAnsi="Arial" w:cs="Arial"/>
          <w:i/>
          <w:iCs/>
          <w:sz w:val="20"/>
          <w:szCs w:val="20"/>
        </w:rPr>
        <w:t>a estos efectos de redacción de la matriz el interesado es el prestatario o el prestamista, y el</w:t>
      </w:r>
      <w:r>
        <w:rPr>
          <w:rFonts w:ascii="Arial" w:hAnsi="Arial" w:cs="Arial"/>
          <w:i/>
          <w:iCs/>
          <w:sz w:val="20"/>
          <w:szCs w:val="20"/>
        </w:rPr>
        <w:t xml:space="preserve"> </w:t>
      </w:r>
      <w:r w:rsidRPr="00363D6E">
        <w:rPr>
          <w:rFonts w:ascii="Arial" w:hAnsi="Arial" w:cs="Arial"/>
          <w:i/>
          <w:iCs/>
          <w:sz w:val="20"/>
          <w:szCs w:val="20"/>
        </w:rPr>
        <w:t>préstamo hipotecario es una realidad inescindible, en la que están interesados tanto el</w:t>
      </w:r>
      <w:r>
        <w:rPr>
          <w:rFonts w:ascii="Arial" w:hAnsi="Arial" w:cs="Arial"/>
          <w:i/>
          <w:iCs/>
          <w:sz w:val="20"/>
          <w:szCs w:val="20"/>
        </w:rPr>
        <w:t xml:space="preserve"> </w:t>
      </w:r>
      <w:r w:rsidRPr="00363D6E">
        <w:rPr>
          <w:rFonts w:ascii="Arial" w:hAnsi="Arial" w:cs="Arial"/>
          <w:i/>
          <w:iCs/>
          <w:sz w:val="20"/>
          <w:szCs w:val="20"/>
        </w:rPr>
        <w:t>consumidor -por la obtención del préstamo-, como el prestamista -por la garantía</w:t>
      </w:r>
      <w:r>
        <w:rPr>
          <w:rFonts w:ascii="Arial" w:hAnsi="Arial" w:cs="Arial"/>
          <w:i/>
          <w:iCs/>
          <w:sz w:val="20"/>
          <w:szCs w:val="20"/>
        </w:rPr>
        <w:t xml:space="preserve"> </w:t>
      </w:r>
      <w:r w:rsidRPr="00363D6E">
        <w:rPr>
          <w:rFonts w:ascii="Arial" w:hAnsi="Arial" w:cs="Arial"/>
          <w:i/>
          <w:iCs/>
          <w:sz w:val="20"/>
          <w:szCs w:val="20"/>
        </w:rPr>
        <w:t>hipotecaria-, es razonable distribuir por mitad el pago de los gastos que genera su</w:t>
      </w:r>
      <w:r>
        <w:rPr>
          <w:rFonts w:ascii="Arial" w:hAnsi="Arial" w:cs="Arial"/>
          <w:i/>
          <w:iCs/>
          <w:sz w:val="20"/>
          <w:szCs w:val="20"/>
        </w:rPr>
        <w:t xml:space="preserve"> </w:t>
      </w:r>
      <w:r w:rsidRPr="00363D6E">
        <w:rPr>
          <w:rFonts w:ascii="Arial" w:hAnsi="Arial" w:cs="Arial"/>
          <w:b/>
          <w:i/>
          <w:iCs/>
          <w:sz w:val="20"/>
          <w:szCs w:val="20"/>
        </w:rPr>
        <w:t>otorgamiento.</w:t>
      </w:r>
    </w:p>
    <w:p w14:paraId="6895E216" w14:textId="67FEADCF" w:rsidR="00363D6E" w:rsidRDefault="00363D6E" w:rsidP="00363D6E">
      <w:pPr>
        <w:autoSpaceDE w:val="0"/>
        <w:autoSpaceDN w:val="0"/>
        <w:adjustRightInd w:val="0"/>
        <w:spacing w:after="0" w:line="360" w:lineRule="auto"/>
        <w:ind w:left="851" w:right="-1"/>
        <w:jc w:val="both"/>
        <w:rPr>
          <w:rFonts w:ascii="Arial" w:hAnsi="Arial" w:cs="Arial"/>
          <w:sz w:val="20"/>
          <w:szCs w:val="20"/>
        </w:rPr>
      </w:pPr>
      <w:r w:rsidRPr="00363D6E">
        <w:rPr>
          <w:rFonts w:ascii="Arial" w:hAnsi="Arial" w:cs="Arial"/>
          <w:iCs/>
          <w:sz w:val="20"/>
          <w:szCs w:val="20"/>
        </w:rPr>
        <w:lastRenderedPageBreak/>
        <w:t>"Esta misma solución debe predicarse respecto de la escritura de modificación del préstamo</w:t>
      </w:r>
      <w:r>
        <w:rPr>
          <w:rFonts w:ascii="Arial" w:hAnsi="Arial" w:cs="Arial"/>
          <w:iCs/>
          <w:sz w:val="20"/>
          <w:szCs w:val="20"/>
        </w:rPr>
        <w:t xml:space="preserve"> </w:t>
      </w:r>
      <w:r w:rsidRPr="00363D6E">
        <w:rPr>
          <w:rFonts w:ascii="Arial" w:hAnsi="Arial" w:cs="Arial"/>
          <w:iCs/>
          <w:sz w:val="20"/>
          <w:szCs w:val="20"/>
        </w:rPr>
        <w:t>hipotecario, puesto que ambas partes están interesadas en la modificación o novación</w:t>
      </w:r>
      <w:r w:rsidRPr="00363D6E">
        <w:rPr>
          <w:rFonts w:ascii="Arial" w:hAnsi="Arial" w:cs="Arial"/>
          <w:sz w:val="20"/>
          <w:szCs w:val="20"/>
        </w:rPr>
        <w:t>".</w:t>
      </w:r>
    </w:p>
    <w:p w14:paraId="305EBD82" w14:textId="77777777" w:rsidR="00363D6E" w:rsidRPr="00363D6E" w:rsidRDefault="00363D6E" w:rsidP="00363D6E">
      <w:pPr>
        <w:autoSpaceDE w:val="0"/>
        <w:autoSpaceDN w:val="0"/>
        <w:adjustRightInd w:val="0"/>
        <w:spacing w:after="0" w:line="360" w:lineRule="auto"/>
        <w:ind w:left="851" w:right="-1"/>
        <w:jc w:val="both"/>
        <w:rPr>
          <w:rFonts w:ascii="Arial" w:hAnsi="Arial" w:cs="Arial"/>
          <w:iCs/>
          <w:sz w:val="20"/>
          <w:szCs w:val="20"/>
        </w:rPr>
      </w:pPr>
    </w:p>
    <w:p w14:paraId="57156BD9" w14:textId="02D41AEC" w:rsidR="00363D6E" w:rsidRDefault="00363D6E" w:rsidP="00363D6E">
      <w:pPr>
        <w:autoSpaceDE w:val="0"/>
        <w:autoSpaceDN w:val="0"/>
        <w:adjustRightInd w:val="0"/>
        <w:spacing w:after="0" w:line="360" w:lineRule="auto"/>
        <w:ind w:left="851" w:right="-1"/>
        <w:jc w:val="both"/>
        <w:rPr>
          <w:rFonts w:ascii="Arial" w:hAnsi="Arial" w:cs="Arial"/>
          <w:sz w:val="20"/>
          <w:szCs w:val="20"/>
        </w:rPr>
      </w:pPr>
      <w:r w:rsidRPr="00363D6E">
        <w:rPr>
          <w:rFonts w:ascii="Arial" w:hAnsi="Arial" w:cs="Arial"/>
          <w:sz w:val="20"/>
          <w:szCs w:val="20"/>
        </w:rPr>
        <w:t>Dicha doctrina, por tanto, considera lo dispuesto en la Norma Sexta (Anexo II) del R.D.</w:t>
      </w:r>
      <w:r>
        <w:rPr>
          <w:rFonts w:ascii="Arial" w:hAnsi="Arial" w:cs="Arial"/>
          <w:sz w:val="20"/>
          <w:szCs w:val="20"/>
        </w:rPr>
        <w:t xml:space="preserve"> </w:t>
      </w:r>
      <w:r w:rsidRPr="00363D6E">
        <w:rPr>
          <w:rFonts w:ascii="Arial" w:hAnsi="Arial" w:cs="Arial"/>
          <w:sz w:val="20"/>
          <w:szCs w:val="20"/>
        </w:rPr>
        <w:t>1426/1989, de 17 de noviembre, siendo que ambas partes requieren de los servicios del</w:t>
      </w:r>
      <w:r>
        <w:rPr>
          <w:rFonts w:ascii="Arial" w:hAnsi="Arial" w:cs="Arial"/>
          <w:sz w:val="20"/>
          <w:szCs w:val="20"/>
        </w:rPr>
        <w:t xml:space="preserve"> </w:t>
      </w:r>
      <w:r w:rsidRPr="00363D6E">
        <w:rPr>
          <w:rFonts w:ascii="Arial" w:hAnsi="Arial" w:cs="Arial"/>
          <w:sz w:val="20"/>
          <w:szCs w:val="20"/>
        </w:rPr>
        <w:t xml:space="preserve">Notario, por lo que el gasto </w:t>
      </w:r>
      <w:r w:rsidRPr="00363D6E">
        <w:rPr>
          <w:rFonts w:ascii="Arial" w:hAnsi="Arial" w:cs="Arial"/>
          <w:b/>
          <w:sz w:val="20"/>
          <w:szCs w:val="20"/>
        </w:rPr>
        <w:t xml:space="preserve">debe distribuirse </w:t>
      </w:r>
      <w:r w:rsidRPr="00363D6E">
        <w:rPr>
          <w:rFonts w:ascii="Arial" w:hAnsi="Arial" w:cs="Arial"/>
          <w:b/>
          <w:bCs/>
          <w:sz w:val="20"/>
          <w:szCs w:val="20"/>
        </w:rPr>
        <w:t>por mitad</w:t>
      </w:r>
      <w:r w:rsidRPr="00363D6E">
        <w:rPr>
          <w:rFonts w:ascii="Arial" w:hAnsi="Arial" w:cs="Arial"/>
          <w:sz w:val="20"/>
          <w:szCs w:val="20"/>
        </w:rPr>
        <w:t>.</w:t>
      </w:r>
    </w:p>
    <w:p w14:paraId="6722344E" w14:textId="24A31790" w:rsidR="00363D6E" w:rsidRDefault="00363D6E" w:rsidP="00363D6E">
      <w:pPr>
        <w:autoSpaceDE w:val="0"/>
        <w:autoSpaceDN w:val="0"/>
        <w:adjustRightInd w:val="0"/>
        <w:spacing w:after="0" w:line="360" w:lineRule="auto"/>
        <w:ind w:left="851" w:right="-1"/>
        <w:jc w:val="both"/>
        <w:rPr>
          <w:rFonts w:ascii="Arial" w:hAnsi="Arial" w:cs="Arial"/>
          <w:sz w:val="20"/>
          <w:szCs w:val="20"/>
        </w:rPr>
      </w:pPr>
    </w:p>
    <w:p w14:paraId="7EA26FE1" w14:textId="27AB717F" w:rsidR="008950BB" w:rsidRDefault="00363D6E" w:rsidP="00363D6E">
      <w:pPr>
        <w:autoSpaceDE w:val="0"/>
        <w:autoSpaceDN w:val="0"/>
        <w:adjustRightInd w:val="0"/>
        <w:spacing w:after="0" w:line="360" w:lineRule="auto"/>
        <w:ind w:left="851" w:right="-1"/>
        <w:jc w:val="both"/>
        <w:rPr>
          <w:rFonts w:ascii="Arial" w:hAnsi="Arial" w:cs="Arial"/>
          <w:sz w:val="20"/>
          <w:szCs w:val="20"/>
        </w:rPr>
      </w:pPr>
      <w:r w:rsidRPr="00363D6E">
        <w:rPr>
          <w:rFonts w:ascii="Arial" w:hAnsi="Arial" w:cs="Arial"/>
          <w:sz w:val="20"/>
          <w:szCs w:val="20"/>
        </w:rPr>
        <w:t xml:space="preserve">2.- </w:t>
      </w:r>
      <w:r w:rsidRPr="00363D6E">
        <w:rPr>
          <w:rFonts w:ascii="Arial" w:hAnsi="Arial" w:cs="Arial"/>
          <w:b/>
          <w:sz w:val="20"/>
          <w:szCs w:val="20"/>
        </w:rPr>
        <w:t>En relación a los gastos del Registro de la Propiedad</w:t>
      </w:r>
      <w:r>
        <w:rPr>
          <w:rFonts w:ascii="Arial" w:hAnsi="Arial" w:cs="Arial"/>
          <w:sz w:val="20"/>
          <w:szCs w:val="20"/>
        </w:rPr>
        <w:t xml:space="preserve"> la sentencia 44/2019, de 23 de enero, en relación con</w:t>
      </w:r>
      <w:r w:rsidRPr="00363D6E">
        <w:rPr>
          <w:rFonts w:ascii="Arial" w:hAnsi="Arial" w:cs="Arial"/>
          <w:sz w:val="20"/>
          <w:szCs w:val="20"/>
        </w:rPr>
        <w:t xml:space="preserve"> el R</w:t>
      </w:r>
      <w:r>
        <w:rPr>
          <w:rFonts w:ascii="Arial" w:hAnsi="Arial" w:cs="Arial"/>
          <w:sz w:val="20"/>
          <w:szCs w:val="20"/>
        </w:rPr>
        <w:t xml:space="preserve">eal Decreto 1427/1989, de 17 de </w:t>
      </w:r>
      <w:r w:rsidRPr="00363D6E">
        <w:rPr>
          <w:rFonts w:ascii="Arial" w:hAnsi="Arial" w:cs="Arial"/>
          <w:sz w:val="20"/>
          <w:szCs w:val="20"/>
        </w:rPr>
        <w:t>noviembre, por el que se aprueba el Arancel de los Registrad</w:t>
      </w:r>
      <w:r>
        <w:rPr>
          <w:rFonts w:ascii="Arial" w:hAnsi="Arial" w:cs="Arial"/>
          <w:sz w:val="20"/>
          <w:szCs w:val="20"/>
        </w:rPr>
        <w:t xml:space="preserve">ores de la Propiedad, establece </w:t>
      </w:r>
      <w:r w:rsidRPr="00363D6E">
        <w:rPr>
          <w:rFonts w:ascii="Arial" w:hAnsi="Arial" w:cs="Arial"/>
          <w:sz w:val="20"/>
          <w:szCs w:val="20"/>
        </w:rPr>
        <w:t xml:space="preserve">en la Norma Octava de </w:t>
      </w:r>
      <w:r>
        <w:rPr>
          <w:rFonts w:ascii="Arial" w:hAnsi="Arial" w:cs="Arial"/>
          <w:sz w:val="20"/>
          <w:szCs w:val="20"/>
        </w:rPr>
        <w:t xml:space="preserve">su Anexo II, apartado 1.º, que: </w:t>
      </w:r>
    </w:p>
    <w:p w14:paraId="772DE4EF" w14:textId="77777777" w:rsidR="008950BB" w:rsidRDefault="008950BB" w:rsidP="00363D6E">
      <w:pPr>
        <w:autoSpaceDE w:val="0"/>
        <w:autoSpaceDN w:val="0"/>
        <w:adjustRightInd w:val="0"/>
        <w:spacing w:after="0" w:line="360" w:lineRule="auto"/>
        <w:ind w:left="851" w:right="-1"/>
        <w:jc w:val="both"/>
        <w:rPr>
          <w:rFonts w:ascii="Arial" w:hAnsi="Arial" w:cs="Arial"/>
          <w:sz w:val="20"/>
          <w:szCs w:val="20"/>
        </w:rPr>
      </w:pPr>
    </w:p>
    <w:p w14:paraId="0918A158" w14:textId="5B0C0856" w:rsidR="00363D6E" w:rsidRPr="008950BB" w:rsidRDefault="008950BB" w:rsidP="008950BB">
      <w:pPr>
        <w:autoSpaceDE w:val="0"/>
        <w:autoSpaceDN w:val="0"/>
        <w:adjustRightInd w:val="0"/>
        <w:spacing w:after="0" w:line="360" w:lineRule="auto"/>
        <w:ind w:left="851" w:right="-1"/>
        <w:jc w:val="both"/>
        <w:rPr>
          <w:rFonts w:ascii="Arial" w:hAnsi="Arial" w:cs="Arial"/>
          <w:i/>
          <w:sz w:val="20"/>
          <w:szCs w:val="20"/>
        </w:rPr>
      </w:pPr>
      <w:r>
        <w:rPr>
          <w:rFonts w:ascii="Arial" w:hAnsi="Arial" w:cs="Arial"/>
          <w:sz w:val="20"/>
          <w:szCs w:val="20"/>
        </w:rPr>
        <w:t>“</w:t>
      </w:r>
      <w:r w:rsidR="00363D6E" w:rsidRPr="008950BB">
        <w:rPr>
          <w:rFonts w:ascii="Arial" w:hAnsi="Arial" w:cs="Arial"/>
          <w:i/>
          <w:sz w:val="20"/>
          <w:szCs w:val="20"/>
        </w:rPr>
        <w:t>Los derechos del Registrador se pagarán por aquél o aqué</w:t>
      </w:r>
      <w:r w:rsidRPr="008950BB">
        <w:rPr>
          <w:rFonts w:ascii="Arial" w:hAnsi="Arial" w:cs="Arial"/>
          <w:i/>
          <w:sz w:val="20"/>
          <w:szCs w:val="20"/>
        </w:rPr>
        <w:t xml:space="preserve">llos a cuyo favor se inscriba o </w:t>
      </w:r>
      <w:r w:rsidR="00363D6E" w:rsidRPr="008950BB">
        <w:rPr>
          <w:rFonts w:ascii="Arial" w:hAnsi="Arial" w:cs="Arial"/>
          <w:i/>
          <w:sz w:val="20"/>
          <w:szCs w:val="20"/>
        </w:rPr>
        <w:t xml:space="preserve">anote inmediatamente el derecho, siendo exigibles también a la persona que haya </w:t>
      </w:r>
      <w:r w:rsidR="00363D6E" w:rsidRPr="008950BB">
        <w:rPr>
          <w:rFonts w:ascii="Arial" w:hAnsi="Arial" w:cs="Arial"/>
          <w:i/>
          <w:iCs/>
          <w:sz w:val="20"/>
          <w:szCs w:val="20"/>
        </w:rPr>
        <w:t>presentado el documento, pero en el caso de las letras b ) y c) del artículo 6 de la Ley</w:t>
      </w:r>
    </w:p>
    <w:p w14:paraId="10F26624" w14:textId="0E10A8DF" w:rsidR="00363D6E" w:rsidRPr="008950BB" w:rsidRDefault="00363D6E" w:rsidP="00363D6E">
      <w:pPr>
        <w:autoSpaceDE w:val="0"/>
        <w:autoSpaceDN w:val="0"/>
        <w:adjustRightInd w:val="0"/>
        <w:spacing w:after="0" w:line="360" w:lineRule="auto"/>
        <w:ind w:left="851" w:right="-1"/>
        <w:jc w:val="both"/>
        <w:rPr>
          <w:rFonts w:ascii="Arial" w:hAnsi="Arial" w:cs="Arial"/>
          <w:i/>
          <w:iCs/>
          <w:sz w:val="20"/>
          <w:szCs w:val="20"/>
        </w:rPr>
      </w:pPr>
      <w:r w:rsidRPr="008950BB">
        <w:rPr>
          <w:rFonts w:ascii="Arial" w:hAnsi="Arial" w:cs="Arial"/>
          <w:i/>
          <w:iCs/>
          <w:sz w:val="20"/>
          <w:szCs w:val="20"/>
        </w:rPr>
        <w:t>Hipotecaria , se abonarán p</w:t>
      </w:r>
      <w:r w:rsidR="008950BB" w:rsidRPr="008950BB">
        <w:rPr>
          <w:rFonts w:ascii="Arial" w:hAnsi="Arial" w:cs="Arial"/>
          <w:i/>
          <w:iCs/>
          <w:sz w:val="20"/>
          <w:szCs w:val="20"/>
        </w:rPr>
        <w:t>or el transmitente o interesado</w:t>
      </w:r>
      <w:r w:rsidRPr="008950BB">
        <w:rPr>
          <w:rFonts w:ascii="Arial" w:hAnsi="Arial" w:cs="Arial"/>
          <w:i/>
          <w:iCs/>
          <w:sz w:val="20"/>
          <w:szCs w:val="20"/>
        </w:rPr>
        <w:t>.</w:t>
      </w:r>
    </w:p>
    <w:p w14:paraId="56DFFD3C" w14:textId="6A190EBC" w:rsidR="00363D6E" w:rsidRPr="008950BB" w:rsidRDefault="00363D6E" w:rsidP="008950BB">
      <w:pPr>
        <w:autoSpaceDE w:val="0"/>
        <w:autoSpaceDN w:val="0"/>
        <w:adjustRightInd w:val="0"/>
        <w:spacing w:after="0" w:line="360" w:lineRule="auto"/>
        <w:ind w:left="851" w:right="-1"/>
        <w:jc w:val="both"/>
        <w:rPr>
          <w:rFonts w:ascii="Arial" w:hAnsi="Arial" w:cs="Arial"/>
          <w:i/>
          <w:iCs/>
          <w:sz w:val="20"/>
          <w:szCs w:val="20"/>
        </w:rPr>
      </w:pPr>
      <w:r w:rsidRPr="008950BB">
        <w:rPr>
          <w:rFonts w:ascii="Arial" w:hAnsi="Arial" w:cs="Arial"/>
          <w:i/>
          <w:iCs/>
          <w:sz w:val="20"/>
          <w:szCs w:val="20"/>
        </w:rPr>
        <w:t>Con arreglo a estos apartados del art. 6 de la Ley Hipotecaria , la inscripción de los títulos</w:t>
      </w:r>
      <w:r w:rsidR="008950BB" w:rsidRPr="008950BB">
        <w:rPr>
          <w:rFonts w:ascii="Arial" w:hAnsi="Arial" w:cs="Arial"/>
          <w:i/>
          <w:iCs/>
          <w:sz w:val="20"/>
          <w:szCs w:val="20"/>
        </w:rPr>
        <w:t xml:space="preserve"> </w:t>
      </w:r>
      <w:r w:rsidRPr="008950BB">
        <w:rPr>
          <w:rFonts w:ascii="Arial" w:hAnsi="Arial" w:cs="Arial"/>
          <w:i/>
          <w:iCs/>
          <w:sz w:val="20"/>
          <w:szCs w:val="20"/>
        </w:rPr>
        <w:t>en el Registro podrá pedirse indistintamente por el que lo transmita (letra b) y por quien</w:t>
      </w:r>
      <w:r w:rsidR="008950BB" w:rsidRPr="008950BB">
        <w:rPr>
          <w:rFonts w:ascii="Arial" w:hAnsi="Arial" w:cs="Arial"/>
          <w:i/>
          <w:iCs/>
          <w:sz w:val="20"/>
          <w:szCs w:val="20"/>
        </w:rPr>
        <w:t xml:space="preserve"> </w:t>
      </w:r>
      <w:r w:rsidRPr="008950BB">
        <w:rPr>
          <w:rFonts w:ascii="Arial" w:hAnsi="Arial" w:cs="Arial"/>
          <w:i/>
          <w:iCs/>
          <w:sz w:val="20"/>
          <w:szCs w:val="20"/>
        </w:rPr>
        <w:t>tenga interés en asegurar el derecho que se deba inscribir (letra c).</w:t>
      </w:r>
    </w:p>
    <w:p w14:paraId="6A02D9D0" w14:textId="77777777" w:rsidR="00363D6E" w:rsidRPr="008950BB" w:rsidRDefault="00363D6E" w:rsidP="00363D6E">
      <w:pPr>
        <w:autoSpaceDE w:val="0"/>
        <w:autoSpaceDN w:val="0"/>
        <w:adjustRightInd w:val="0"/>
        <w:spacing w:after="0" w:line="360" w:lineRule="auto"/>
        <w:ind w:left="851" w:right="-1"/>
        <w:jc w:val="both"/>
        <w:rPr>
          <w:rFonts w:ascii="Arial" w:hAnsi="Arial" w:cs="Arial"/>
          <w:i/>
          <w:iCs/>
          <w:sz w:val="20"/>
          <w:szCs w:val="20"/>
        </w:rPr>
      </w:pPr>
      <w:r w:rsidRPr="008950BB">
        <w:rPr>
          <w:rFonts w:ascii="Arial" w:hAnsi="Arial" w:cs="Arial"/>
          <w:i/>
          <w:iCs/>
          <w:sz w:val="20"/>
          <w:szCs w:val="20"/>
        </w:rPr>
        <w:t>16.- A diferencia, pues, del Arancel Notarial, que sí hace referencia, como criterio de</w:t>
      </w:r>
    </w:p>
    <w:p w14:paraId="3551E430" w14:textId="52177CF9" w:rsidR="00363D6E" w:rsidRPr="008950BB" w:rsidRDefault="00363D6E" w:rsidP="008950BB">
      <w:pPr>
        <w:autoSpaceDE w:val="0"/>
        <w:autoSpaceDN w:val="0"/>
        <w:adjustRightInd w:val="0"/>
        <w:spacing w:after="0" w:line="360" w:lineRule="auto"/>
        <w:ind w:left="851" w:right="-1"/>
        <w:jc w:val="both"/>
        <w:rPr>
          <w:rFonts w:ascii="Arial" w:hAnsi="Arial" w:cs="Arial"/>
          <w:i/>
          <w:iCs/>
          <w:sz w:val="20"/>
          <w:szCs w:val="20"/>
        </w:rPr>
      </w:pPr>
      <w:r w:rsidRPr="008950BB">
        <w:rPr>
          <w:rFonts w:ascii="Arial" w:hAnsi="Arial" w:cs="Arial"/>
          <w:i/>
          <w:iCs/>
          <w:sz w:val="20"/>
          <w:szCs w:val="20"/>
        </w:rPr>
        <w:t>imputación de pagos, a quien tenga interés en la operación, el Arancel de los Registradores</w:t>
      </w:r>
      <w:r w:rsidR="008950BB" w:rsidRPr="008950BB">
        <w:rPr>
          <w:rFonts w:ascii="Arial" w:hAnsi="Arial" w:cs="Arial"/>
          <w:i/>
          <w:iCs/>
          <w:sz w:val="20"/>
          <w:szCs w:val="20"/>
        </w:rPr>
        <w:t xml:space="preserve"> </w:t>
      </w:r>
      <w:r w:rsidRPr="008950BB">
        <w:rPr>
          <w:rFonts w:ascii="Arial" w:hAnsi="Arial" w:cs="Arial"/>
          <w:i/>
          <w:iCs/>
          <w:sz w:val="20"/>
          <w:szCs w:val="20"/>
        </w:rPr>
        <w:t>de la Propiedad no contempla una regla semejante al establecer quién debe abonar esos</w:t>
      </w:r>
      <w:r w:rsidR="008950BB" w:rsidRPr="008950BB">
        <w:rPr>
          <w:rFonts w:ascii="Arial" w:hAnsi="Arial" w:cs="Arial"/>
          <w:i/>
          <w:iCs/>
          <w:sz w:val="20"/>
          <w:szCs w:val="20"/>
        </w:rPr>
        <w:t xml:space="preserve"> </w:t>
      </w:r>
      <w:r w:rsidRPr="008950BB">
        <w:rPr>
          <w:rFonts w:ascii="Arial" w:hAnsi="Arial" w:cs="Arial"/>
          <w:i/>
          <w:iCs/>
          <w:sz w:val="20"/>
          <w:szCs w:val="20"/>
        </w:rPr>
        <w:t>gastos, sino que los imputa directamente a aquel a cuyo favor se inscriba o anote el derecho.</w:t>
      </w:r>
    </w:p>
    <w:p w14:paraId="0BA578C0" w14:textId="59A918F3" w:rsidR="00363D6E" w:rsidRDefault="00363D6E" w:rsidP="008950BB">
      <w:pPr>
        <w:autoSpaceDE w:val="0"/>
        <w:autoSpaceDN w:val="0"/>
        <w:adjustRightInd w:val="0"/>
        <w:spacing w:after="0" w:line="360" w:lineRule="auto"/>
        <w:ind w:left="851" w:right="-1"/>
        <w:jc w:val="both"/>
        <w:rPr>
          <w:rFonts w:ascii="Arial" w:hAnsi="Arial" w:cs="Arial"/>
          <w:sz w:val="20"/>
          <w:szCs w:val="20"/>
        </w:rPr>
      </w:pPr>
      <w:r w:rsidRPr="008950BB">
        <w:rPr>
          <w:rFonts w:ascii="Arial" w:hAnsi="Arial" w:cs="Arial"/>
          <w:i/>
          <w:iCs/>
          <w:sz w:val="20"/>
          <w:szCs w:val="20"/>
        </w:rPr>
        <w:t>17.- Desde este punto de vista, la garantía hipotecaria se inscribe a favor del banco</w:t>
      </w:r>
      <w:r w:rsidR="008950BB" w:rsidRPr="008950BB">
        <w:rPr>
          <w:rFonts w:ascii="Arial" w:hAnsi="Arial" w:cs="Arial"/>
          <w:i/>
          <w:iCs/>
          <w:sz w:val="20"/>
          <w:szCs w:val="20"/>
        </w:rPr>
        <w:t xml:space="preserve"> </w:t>
      </w:r>
      <w:r w:rsidRPr="008950BB">
        <w:rPr>
          <w:rFonts w:ascii="Arial" w:hAnsi="Arial" w:cs="Arial"/>
          <w:i/>
          <w:iCs/>
          <w:sz w:val="20"/>
          <w:szCs w:val="20"/>
        </w:rPr>
        <w:t>prestamista, por lo que es a este al que corresponde el pago de lo</w:t>
      </w:r>
      <w:r w:rsidR="008950BB" w:rsidRPr="008950BB">
        <w:rPr>
          <w:rFonts w:ascii="Arial" w:hAnsi="Arial" w:cs="Arial"/>
          <w:i/>
          <w:iCs/>
          <w:sz w:val="20"/>
          <w:szCs w:val="20"/>
        </w:rPr>
        <w:t xml:space="preserve">s gastos que ocasión </w:t>
      </w:r>
      <w:r w:rsidRPr="008950BB">
        <w:rPr>
          <w:rFonts w:ascii="Arial" w:hAnsi="Arial" w:cs="Arial"/>
          <w:i/>
          <w:iCs/>
          <w:sz w:val="20"/>
          <w:szCs w:val="20"/>
        </w:rPr>
        <w:t>la</w:t>
      </w:r>
      <w:r w:rsidR="008950BB" w:rsidRPr="008950BB">
        <w:rPr>
          <w:rFonts w:ascii="Arial" w:hAnsi="Arial" w:cs="Arial"/>
          <w:i/>
          <w:iCs/>
          <w:sz w:val="20"/>
          <w:szCs w:val="20"/>
        </w:rPr>
        <w:t xml:space="preserve"> </w:t>
      </w:r>
      <w:r w:rsidRPr="008950BB">
        <w:rPr>
          <w:rFonts w:ascii="Arial" w:hAnsi="Arial" w:cs="Arial"/>
          <w:i/>
          <w:iCs/>
          <w:sz w:val="20"/>
          <w:szCs w:val="20"/>
        </w:rPr>
        <w:t>inscripción de la hipoteca</w:t>
      </w:r>
      <w:r w:rsidRPr="00363D6E">
        <w:rPr>
          <w:rFonts w:ascii="Arial" w:hAnsi="Arial" w:cs="Arial"/>
          <w:sz w:val="20"/>
          <w:szCs w:val="20"/>
        </w:rPr>
        <w:t>.”</w:t>
      </w:r>
    </w:p>
    <w:p w14:paraId="472F0D93" w14:textId="77777777" w:rsidR="008950BB" w:rsidRPr="008950BB" w:rsidRDefault="008950BB" w:rsidP="008950BB">
      <w:pPr>
        <w:autoSpaceDE w:val="0"/>
        <w:autoSpaceDN w:val="0"/>
        <w:adjustRightInd w:val="0"/>
        <w:spacing w:after="0" w:line="360" w:lineRule="auto"/>
        <w:ind w:left="851" w:right="-1"/>
        <w:jc w:val="both"/>
        <w:rPr>
          <w:rFonts w:ascii="Arial" w:hAnsi="Arial" w:cs="Arial"/>
          <w:i/>
          <w:iCs/>
          <w:sz w:val="20"/>
          <w:szCs w:val="20"/>
        </w:rPr>
      </w:pPr>
    </w:p>
    <w:p w14:paraId="1FCBACE8" w14:textId="05FE3247" w:rsidR="00363D6E" w:rsidRDefault="00363D6E" w:rsidP="00363D6E">
      <w:pPr>
        <w:autoSpaceDE w:val="0"/>
        <w:autoSpaceDN w:val="0"/>
        <w:adjustRightInd w:val="0"/>
        <w:spacing w:after="0" w:line="360" w:lineRule="auto"/>
        <w:ind w:left="851" w:right="-1"/>
        <w:jc w:val="both"/>
        <w:rPr>
          <w:rFonts w:ascii="Arial" w:hAnsi="Arial" w:cs="Arial"/>
          <w:sz w:val="20"/>
          <w:szCs w:val="20"/>
        </w:rPr>
      </w:pPr>
      <w:r w:rsidRPr="00363D6E">
        <w:rPr>
          <w:rFonts w:ascii="Arial" w:hAnsi="Arial" w:cs="Arial"/>
          <w:sz w:val="20"/>
          <w:szCs w:val="20"/>
        </w:rPr>
        <w:t xml:space="preserve">Por ello, el gasto corresponde </w:t>
      </w:r>
      <w:r w:rsidRPr="00363D6E">
        <w:rPr>
          <w:rFonts w:ascii="Arial" w:hAnsi="Arial" w:cs="Arial"/>
          <w:b/>
          <w:bCs/>
          <w:sz w:val="20"/>
          <w:szCs w:val="20"/>
        </w:rPr>
        <w:t>a la entidad bancaria</w:t>
      </w:r>
      <w:r w:rsidRPr="00363D6E">
        <w:rPr>
          <w:rFonts w:ascii="Arial" w:hAnsi="Arial" w:cs="Arial"/>
          <w:sz w:val="20"/>
          <w:szCs w:val="20"/>
        </w:rPr>
        <w:t>.</w:t>
      </w:r>
    </w:p>
    <w:p w14:paraId="03DB791B" w14:textId="03A830B0" w:rsidR="008950BB" w:rsidRDefault="008950BB" w:rsidP="00363D6E">
      <w:pPr>
        <w:autoSpaceDE w:val="0"/>
        <w:autoSpaceDN w:val="0"/>
        <w:adjustRightInd w:val="0"/>
        <w:spacing w:after="0" w:line="360" w:lineRule="auto"/>
        <w:ind w:left="851" w:right="-1"/>
        <w:jc w:val="both"/>
        <w:rPr>
          <w:rFonts w:ascii="Arial" w:hAnsi="Arial" w:cs="Arial"/>
          <w:sz w:val="20"/>
          <w:szCs w:val="20"/>
        </w:rPr>
      </w:pPr>
    </w:p>
    <w:p w14:paraId="6D6C0D1B" w14:textId="77777777" w:rsidR="008950BB" w:rsidRDefault="008950BB" w:rsidP="008950BB">
      <w:pPr>
        <w:autoSpaceDE w:val="0"/>
        <w:autoSpaceDN w:val="0"/>
        <w:adjustRightInd w:val="0"/>
        <w:spacing w:after="0" w:line="360" w:lineRule="auto"/>
        <w:ind w:left="708"/>
        <w:jc w:val="both"/>
        <w:rPr>
          <w:rFonts w:ascii="Arial" w:hAnsi="Arial" w:cs="Arial"/>
          <w:b/>
          <w:bCs/>
          <w:sz w:val="20"/>
          <w:szCs w:val="24"/>
        </w:rPr>
      </w:pPr>
      <w:r w:rsidRPr="008950BB">
        <w:rPr>
          <w:rFonts w:ascii="Arial" w:hAnsi="Arial" w:cs="Arial"/>
          <w:bCs/>
          <w:sz w:val="20"/>
          <w:szCs w:val="24"/>
        </w:rPr>
        <w:t>3.-</w:t>
      </w:r>
      <w:r w:rsidRPr="008950BB">
        <w:rPr>
          <w:rFonts w:ascii="Arial" w:hAnsi="Arial" w:cs="Arial"/>
          <w:b/>
          <w:bCs/>
          <w:sz w:val="20"/>
          <w:szCs w:val="24"/>
        </w:rPr>
        <w:t xml:space="preserve"> En relación a los gastos de gestoría</w:t>
      </w:r>
      <w:r w:rsidRPr="008950BB">
        <w:rPr>
          <w:rFonts w:ascii="Arial" w:hAnsi="Arial" w:cs="Arial"/>
          <w:sz w:val="20"/>
          <w:szCs w:val="24"/>
        </w:rPr>
        <w:t>, el criterio jurisprudencial ha sido mo</w:t>
      </w:r>
      <w:r>
        <w:rPr>
          <w:rFonts w:ascii="Arial" w:hAnsi="Arial" w:cs="Arial"/>
          <w:sz w:val="20"/>
          <w:szCs w:val="24"/>
        </w:rPr>
        <w:t xml:space="preserve">dificado </w:t>
      </w:r>
      <w:r w:rsidRPr="008950BB">
        <w:rPr>
          <w:rFonts w:ascii="Arial" w:hAnsi="Arial" w:cs="Arial"/>
          <w:sz w:val="20"/>
          <w:szCs w:val="24"/>
        </w:rPr>
        <w:t xml:space="preserve">por </w:t>
      </w:r>
      <w:r w:rsidRPr="008950BB">
        <w:rPr>
          <w:rFonts w:ascii="Arial" w:hAnsi="Arial" w:cs="Arial"/>
          <w:b/>
          <w:bCs/>
          <w:sz w:val="20"/>
          <w:szCs w:val="24"/>
        </w:rPr>
        <w:t>la</w:t>
      </w:r>
      <w:r>
        <w:rPr>
          <w:rFonts w:ascii="Arial" w:hAnsi="Arial" w:cs="Arial"/>
          <w:b/>
          <w:bCs/>
          <w:sz w:val="20"/>
          <w:szCs w:val="24"/>
        </w:rPr>
        <w:t xml:space="preserve"> </w:t>
      </w:r>
      <w:r w:rsidRPr="008950BB">
        <w:rPr>
          <w:rFonts w:ascii="Arial" w:hAnsi="Arial" w:cs="Arial"/>
          <w:b/>
          <w:bCs/>
          <w:sz w:val="20"/>
          <w:szCs w:val="24"/>
        </w:rPr>
        <w:t>reciente STS 555/2020, de 26 de octubre</w:t>
      </w:r>
      <w:r>
        <w:rPr>
          <w:rFonts w:ascii="Arial" w:hAnsi="Arial" w:cs="Arial"/>
          <w:sz w:val="20"/>
          <w:szCs w:val="24"/>
        </w:rPr>
        <w:t>, habida cuenta de que no existe norma legal que atribuya su pago al prestamista o al prestatario.</w:t>
      </w:r>
      <w:r>
        <w:rPr>
          <w:rFonts w:ascii="Arial" w:hAnsi="Arial" w:cs="Arial"/>
          <w:b/>
          <w:bCs/>
          <w:sz w:val="20"/>
          <w:szCs w:val="24"/>
        </w:rPr>
        <w:t xml:space="preserve"> </w:t>
      </w:r>
      <w:r w:rsidRPr="008950BB">
        <w:rPr>
          <w:rFonts w:ascii="Arial" w:hAnsi="Arial" w:cs="Arial"/>
          <w:sz w:val="20"/>
          <w:szCs w:val="24"/>
        </w:rPr>
        <w:t>El Tribunal Supremo venía considerando en las sentencias antes citadas que como las</w:t>
      </w:r>
      <w:r>
        <w:rPr>
          <w:rFonts w:ascii="Arial" w:hAnsi="Arial" w:cs="Arial"/>
          <w:b/>
          <w:bCs/>
          <w:sz w:val="20"/>
          <w:szCs w:val="24"/>
        </w:rPr>
        <w:t xml:space="preserve"> </w:t>
      </w:r>
      <w:r w:rsidRPr="008950BB">
        <w:rPr>
          <w:rFonts w:ascii="Arial" w:hAnsi="Arial" w:cs="Arial"/>
          <w:sz w:val="20"/>
          <w:szCs w:val="24"/>
        </w:rPr>
        <w:t>gestiones se realizan en interés o beneficio de ambas partes, el gasto generado por este</w:t>
      </w:r>
      <w:r>
        <w:rPr>
          <w:rFonts w:ascii="Arial" w:hAnsi="Arial" w:cs="Arial"/>
          <w:b/>
          <w:bCs/>
          <w:sz w:val="20"/>
          <w:szCs w:val="24"/>
        </w:rPr>
        <w:t xml:space="preserve"> </w:t>
      </w:r>
      <w:r w:rsidRPr="008950BB">
        <w:rPr>
          <w:rFonts w:ascii="Arial" w:hAnsi="Arial" w:cs="Arial"/>
          <w:sz w:val="20"/>
          <w:szCs w:val="24"/>
        </w:rPr>
        <w:t>concepto debe ser sufragado por mitad.</w:t>
      </w:r>
    </w:p>
    <w:p w14:paraId="7E79CAF3" w14:textId="77777777" w:rsidR="008950BB" w:rsidRDefault="008950BB" w:rsidP="008950BB">
      <w:pPr>
        <w:autoSpaceDE w:val="0"/>
        <w:autoSpaceDN w:val="0"/>
        <w:adjustRightInd w:val="0"/>
        <w:spacing w:after="0" w:line="360" w:lineRule="auto"/>
        <w:ind w:left="708"/>
        <w:jc w:val="both"/>
        <w:rPr>
          <w:rFonts w:ascii="Arial" w:hAnsi="Arial" w:cs="Arial"/>
          <w:sz w:val="20"/>
          <w:szCs w:val="24"/>
        </w:rPr>
      </w:pPr>
    </w:p>
    <w:p w14:paraId="6660721A" w14:textId="2C87B446" w:rsidR="008950BB" w:rsidRDefault="008950BB" w:rsidP="008950BB">
      <w:pPr>
        <w:autoSpaceDE w:val="0"/>
        <w:autoSpaceDN w:val="0"/>
        <w:adjustRightInd w:val="0"/>
        <w:spacing w:after="0" w:line="360" w:lineRule="auto"/>
        <w:ind w:left="708"/>
        <w:jc w:val="both"/>
        <w:rPr>
          <w:rFonts w:ascii="Arial" w:hAnsi="Arial" w:cs="Arial"/>
          <w:b/>
          <w:bCs/>
          <w:sz w:val="20"/>
          <w:szCs w:val="24"/>
        </w:rPr>
      </w:pPr>
      <w:r w:rsidRPr="008950BB">
        <w:rPr>
          <w:rFonts w:ascii="Arial" w:hAnsi="Arial" w:cs="Arial"/>
          <w:sz w:val="20"/>
          <w:szCs w:val="24"/>
        </w:rPr>
        <w:t>Dicho criterio, como hemos señalado, ha sido modificado en virtud de la sentencia 555/2020,</w:t>
      </w:r>
      <w:r>
        <w:rPr>
          <w:rFonts w:ascii="Arial" w:hAnsi="Arial" w:cs="Arial"/>
          <w:b/>
          <w:bCs/>
          <w:sz w:val="20"/>
          <w:szCs w:val="24"/>
        </w:rPr>
        <w:t xml:space="preserve"> </w:t>
      </w:r>
      <w:r w:rsidRPr="008950BB">
        <w:rPr>
          <w:rFonts w:ascii="Arial" w:hAnsi="Arial" w:cs="Arial"/>
          <w:sz w:val="20"/>
          <w:szCs w:val="24"/>
        </w:rPr>
        <w:t xml:space="preserve">de 26 de octubre, al objeto de acomodar la doctrina jurisprudencial en esta </w:t>
      </w:r>
      <w:r w:rsidRPr="008950BB">
        <w:rPr>
          <w:rFonts w:ascii="Arial" w:hAnsi="Arial" w:cs="Arial"/>
          <w:sz w:val="20"/>
          <w:szCs w:val="24"/>
        </w:rPr>
        <w:lastRenderedPageBreak/>
        <w:t>materia a la</w:t>
      </w:r>
      <w:r>
        <w:rPr>
          <w:rFonts w:ascii="Arial" w:hAnsi="Arial" w:cs="Arial"/>
          <w:b/>
          <w:bCs/>
          <w:sz w:val="20"/>
          <w:szCs w:val="24"/>
        </w:rPr>
        <w:t xml:space="preserve"> </w:t>
      </w:r>
      <w:r w:rsidRPr="008950BB">
        <w:rPr>
          <w:rFonts w:ascii="Arial" w:hAnsi="Arial" w:cs="Arial"/>
          <w:sz w:val="20"/>
          <w:szCs w:val="24"/>
        </w:rPr>
        <w:t>STJUE de 16 de julio de 2020, y dado que con anterioridad a la Ley 5/2019, de 15 de marzo</w:t>
      </w:r>
      <w:r>
        <w:rPr>
          <w:rFonts w:ascii="Arial" w:hAnsi="Arial" w:cs="Arial"/>
          <w:b/>
          <w:bCs/>
          <w:sz w:val="20"/>
          <w:szCs w:val="24"/>
        </w:rPr>
        <w:t xml:space="preserve"> </w:t>
      </w:r>
      <w:r w:rsidRPr="008950BB">
        <w:rPr>
          <w:rFonts w:ascii="Arial" w:hAnsi="Arial" w:cs="Arial"/>
          <w:sz w:val="20"/>
          <w:szCs w:val="24"/>
        </w:rPr>
        <w:t>de Contratos de Crédito Inmobiliario, no existía ninguna previsión normativa sobre como</w:t>
      </w:r>
      <w:r>
        <w:rPr>
          <w:rFonts w:ascii="Arial" w:hAnsi="Arial" w:cs="Arial"/>
          <w:b/>
          <w:bCs/>
          <w:sz w:val="20"/>
          <w:szCs w:val="24"/>
        </w:rPr>
        <w:t xml:space="preserve"> </w:t>
      </w:r>
      <w:r w:rsidRPr="008950BB">
        <w:rPr>
          <w:rFonts w:ascii="Arial" w:hAnsi="Arial" w:cs="Arial"/>
          <w:sz w:val="20"/>
          <w:szCs w:val="24"/>
        </w:rPr>
        <w:t>debían abonarse esos gastos de gestoría, por lo que el criterio adecuado a la jurisprudencia</w:t>
      </w:r>
      <w:r>
        <w:rPr>
          <w:rFonts w:ascii="Arial" w:hAnsi="Arial" w:cs="Arial"/>
          <w:b/>
          <w:bCs/>
          <w:sz w:val="20"/>
          <w:szCs w:val="24"/>
        </w:rPr>
        <w:t xml:space="preserve"> </w:t>
      </w:r>
      <w:r w:rsidRPr="008950BB">
        <w:rPr>
          <w:rFonts w:ascii="Arial" w:hAnsi="Arial" w:cs="Arial"/>
          <w:sz w:val="20"/>
          <w:szCs w:val="24"/>
        </w:rPr>
        <w:t xml:space="preserve">comunitaria es el de atribuir tales gastos </w:t>
      </w:r>
      <w:r w:rsidRPr="008950BB">
        <w:rPr>
          <w:rFonts w:ascii="Arial" w:hAnsi="Arial" w:cs="Arial"/>
          <w:b/>
          <w:bCs/>
          <w:sz w:val="20"/>
          <w:szCs w:val="24"/>
        </w:rPr>
        <w:t>a la entidad bancaria.</w:t>
      </w:r>
    </w:p>
    <w:p w14:paraId="6D1BA683" w14:textId="5674ED52" w:rsidR="008950BB" w:rsidRDefault="008950BB" w:rsidP="008950BB">
      <w:pPr>
        <w:autoSpaceDE w:val="0"/>
        <w:autoSpaceDN w:val="0"/>
        <w:adjustRightInd w:val="0"/>
        <w:spacing w:after="0" w:line="360" w:lineRule="auto"/>
        <w:ind w:left="708"/>
        <w:jc w:val="both"/>
        <w:rPr>
          <w:rFonts w:ascii="Arial" w:hAnsi="Arial" w:cs="Arial"/>
          <w:b/>
          <w:bCs/>
          <w:sz w:val="20"/>
          <w:szCs w:val="24"/>
        </w:rPr>
      </w:pPr>
    </w:p>
    <w:p w14:paraId="07EF4154" w14:textId="5C100BD1" w:rsidR="0060393B" w:rsidRPr="008950BB" w:rsidRDefault="008950BB" w:rsidP="008950BB">
      <w:pPr>
        <w:autoSpaceDE w:val="0"/>
        <w:autoSpaceDN w:val="0"/>
        <w:adjustRightInd w:val="0"/>
        <w:spacing w:after="0" w:line="360" w:lineRule="auto"/>
        <w:ind w:left="708"/>
        <w:jc w:val="both"/>
        <w:rPr>
          <w:rFonts w:ascii="Arial" w:hAnsi="Arial" w:cs="Arial"/>
          <w:sz w:val="20"/>
          <w:szCs w:val="24"/>
        </w:rPr>
      </w:pPr>
      <w:r w:rsidRPr="008950BB">
        <w:rPr>
          <w:rFonts w:ascii="Arial" w:hAnsi="Arial" w:cs="Arial"/>
          <w:bCs/>
          <w:sz w:val="20"/>
          <w:szCs w:val="24"/>
        </w:rPr>
        <w:t>4.-</w:t>
      </w:r>
      <w:r w:rsidRPr="008950BB">
        <w:rPr>
          <w:rFonts w:ascii="Arial" w:hAnsi="Arial" w:cs="Arial"/>
          <w:b/>
          <w:bCs/>
          <w:sz w:val="20"/>
          <w:szCs w:val="24"/>
        </w:rPr>
        <w:t xml:space="preserve"> Por lo que respecta a los gastos de tasación</w:t>
      </w:r>
      <w:r w:rsidRPr="008950BB">
        <w:rPr>
          <w:rFonts w:ascii="Arial" w:hAnsi="Arial" w:cs="Arial"/>
          <w:sz w:val="20"/>
          <w:szCs w:val="24"/>
        </w:rPr>
        <w:t>, estamos en el mismo supuesto que en lo</w:t>
      </w:r>
      <w:r>
        <w:rPr>
          <w:rFonts w:ascii="Arial" w:hAnsi="Arial" w:cs="Arial"/>
          <w:sz w:val="20"/>
          <w:szCs w:val="24"/>
        </w:rPr>
        <w:t xml:space="preserve"> </w:t>
      </w:r>
      <w:r w:rsidRPr="008950BB">
        <w:rPr>
          <w:rFonts w:ascii="Arial" w:hAnsi="Arial" w:cs="Arial"/>
          <w:sz w:val="20"/>
          <w:szCs w:val="24"/>
        </w:rPr>
        <w:t>relativo a los gastos de gestión, por lo que habida cuenta q</w:t>
      </w:r>
      <w:r>
        <w:rPr>
          <w:rFonts w:ascii="Arial" w:hAnsi="Arial" w:cs="Arial"/>
          <w:sz w:val="20"/>
          <w:szCs w:val="24"/>
        </w:rPr>
        <w:t xml:space="preserve">ue el abono de dichos gastos no </w:t>
      </w:r>
      <w:r w:rsidRPr="008950BB">
        <w:rPr>
          <w:rFonts w:ascii="Arial" w:hAnsi="Arial" w:cs="Arial"/>
          <w:sz w:val="20"/>
          <w:szCs w:val="24"/>
        </w:rPr>
        <w:t xml:space="preserve">viene regulado en ninguna norma específica, el pago de dichos gastos corresponderá </w:t>
      </w:r>
      <w:r w:rsidRPr="008950BB">
        <w:rPr>
          <w:rFonts w:ascii="Arial" w:hAnsi="Arial" w:cs="Arial"/>
          <w:b/>
          <w:bCs/>
          <w:sz w:val="20"/>
          <w:szCs w:val="24"/>
        </w:rPr>
        <w:t>a la</w:t>
      </w:r>
      <w:r>
        <w:rPr>
          <w:rFonts w:ascii="Arial" w:hAnsi="Arial" w:cs="Arial"/>
          <w:sz w:val="20"/>
          <w:szCs w:val="24"/>
        </w:rPr>
        <w:t xml:space="preserve"> </w:t>
      </w:r>
      <w:r w:rsidRPr="008950BB">
        <w:rPr>
          <w:rFonts w:ascii="Arial" w:hAnsi="Arial" w:cs="Arial"/>
          <w:b/>
          <w:bCs/>
          <w:sz w:val="20"/>
          <w:szCs w:val="24"/>
        </w:rPr>
        <w:t>entidad bancaria</w:t>
      </w:r>
      <w:r w:rsidRPr="008950BB">
        <w:rPr>
          <w:rFonts w:ascii="Arial" w:hAnsi="Arial" w:cs="Arial"/>
          <w:sz w:val="20"/>
          <w:szCs w:val="24"/>
        </w:rPr>
        <w:t>.</w:t>
      </w:r>
      <w:bookmarkEnd w:id="49"/>
    </w:p>
    <w:p w14:paraId="11BEC80F" w14:textId="64E1B421" w:rsidR="002F763B" w:rsidRPr="00554476" w:rsidRDefault="002F763B" w:rsidP="00554476">
      <w:pPr>
        <w:spacing w:after="0" w:line="360" w:lineRule="auto"/>
        <w:jc w:val="both"/>
        <w:rPr>
          <w:rFonts w:ascii="Arial" w:hAnsi="Arial" w:cs="Arial"/>
          <w:sz w:val="20"/>
          <w:szCs w:val="20"/>
        </w:rPr>
      </w:pPr>
    </w:p>
    <w:p w14:paraId="5F0DABA2" w14:textId="3C983569" w:rsidR="002F763B" w:rsidRPr="00554476" w:rsidRDefault="008950BB" w:rsidP="00554476">
      <w:pPr>
        <w:pStyle w:val="Ttulo2"/>
        <w:spacing w:before="0" w:line="360" w:lineRule="auto"/>
        <w:jc w:val="both"/>
        <w:rPr>
          <w:rFonts w:ascii="Arial" w:eastAsia="Bankinter" w:hAnsi="Arial" w:cs="Arial"/>
          <w:b/>
          <w:color w:val="auto"/>
          <w:sz w:val="20"/>
          <w:szCs w:val="20"/>
          <w:u w:val="single"/>
        </w:rPr>
      </w:pPr>
      <w:bookmarkStart w:id="50" w:name="_Toc54185215"/>
      <w:r>
        <w:rPr>
          <w:rFonts w:ascii="Arial" w:eastAsia="Bankinter" w:hAnsi="Arial" w:cs="Arial"/>
          <w:b/>
          <w:color w:val="auto"/>
          <w:sz w:val="20"/>
          <w:szCs w:val="20"/>
          <w:u w:val="single"/>
        </w:rPr>
        <w:t>SEPTIMO</w:t>
      </w:r>
      <w:r w:rsidR="00C169FE" w:rsidRPr="00554476">
        <w:rPr>
          <w:rFonts w:ascii="Arial" w:eastAsia="Bankinter" w:hAnsi="Arial" w:cs="Arial"/>
          <w:b/>
          <w:color w:val="auto"/>
          <w:sz w:val="20"/>
          <w:szCs w:val="20"/>
          <w:u w:val="single"/>
        </w:rPr>
        <w:t>. -</w:t>
      </w:r>
      <w:r w:rsidR="002F763B" w:rsidRPr="00554476">
        <w:rPr>
          <w:rFonts w:ascii="Arial" w:eastAsia="Bankinter" w:hAnsi="Arial" w:cs="Arial"/>
          <w:b/>
          <w:color w:val="auto"/>
          <w:sz w:val="20"/>
          <w:szCs w:val="20"/>
          <w:u w:val="single"/>
        </w:rPr>
        <w:t xml:space="preserve"> Costas.</w:t>
      </w:r>
      <w:bookmarkEnd w:id="50"/>
    </w:p>
    <w:p w14:paraId="2A7E566F" w14:textId="77777777" w:rsidR="002F763B" w:rsidRPr="00554476" w:rsidRDefault="002F763B" w:rsidP="00554476">
      <w:pPr>
        <w:spacing w:after="0" w:line="360" w:lineRule="auto"/>
        <w:jc w:val="both"/>
        <w:rPr>
          <w:rFonts w:ascii="Arial" w:eastAsia="Calibri" w:hAnsi="Arial" w:cs="Arial"/>
          <w:b/>
          <w:spacing w:val="4"/>
          <w:sz w:val="20"/>
          <w:szCs w:val="20"/>
          <w:u w:val="single"/>
        </w:rPr>
      </w:pPr>
    </w:p>
    <w:p w14:paraId="4BC6A3C2" w14:textId="669A714E" w:rsidR="002F763B" w:rsidRPr="00554476" w:rsidRDefault="002F763B" w:rsidP="00554476">
      <w:pPr>
        <w:spacing w:after="0" w:line="360" w:lineRule="auto"/>
        <w:jc w:val="both"/>
        <w:rPr>
          <w:rFonts w:ascii="Arial" w:eastAsia="Calibri" w:hAnsi="Arial" w:cs="Arial"/>
          <w:spacing w:val="4"/>
          <w:sz w:val="20"/>
          <w:szCs w:val="20"/>
        </w:rPr>
      </w:pPr>
      <w:r w:rsidRPr="00554476">
        <w:rPr>
          <w:rFonts w:ascii="Arial" w:eastAsia="Calibri" w:hAnsi="Arial" w:cs="Arial"/>
          <w:spacing w:val="4"/>
          <w:sz w:val="20"/>
          <w:szCs w:val="20"/>
        </w:rPr>
        <w:t>Al proceder la desestimación de la demanda, deberán ser impuestas a la parte actora de conformidad con el artículo 394 de la</w:t>
      </w:r>
      <w:r w:rsidRPr="00554476">
        <w:rPr>
          <w:rFonts w:ascii="Arial" w:eastAsia="Calibri" w:hAnsi="Arial" w:cs="Arial"/>
          <w:spacing w:val="-17"/>
          <w:sz w:val="20"/>
          <w:szCs w:val="20"/>
        </w:rPr>
        <w:t xml:space="preserve"> </w:t>
      </w:r>
      <w:r w:rsidRPr="00554476">
        <w:rPr>
          <w:rFonts w:ascii="Arial" w:eastAsia="Calibri" w:hAnsi="Arial" w:cs="Arial"/>
          <w:spacing w:val="4"/>
          <w:sz w:val="20"/>
          <w:szCs w:val="20"/>
        </w:rPr>
        <w:t>LEC.</w:t>
      </w:r>
    </w:p>
    <w:p w14:paraId="4DF99A79" w14:textId="1FB90F79" w:rsidR="00C64B3B" w:rsidRPr="00554476" w:rsidRDefault="00C64B3B" w:rsidP="00554476">
      <w:pPr>
        <w:spacing w:after="0" w:line="360" w:lineRule="auto"/>
        <w:jc w:val="both"/>
        <w:rPr>
          <w:rFonts w:ascii="Arial" w:eastAsia="Calibri" w:hAnsi="Arial" w:cs="Arial"/>
          <w:spacing w:val="4"/>
          <w:sz w:val="20"/>
          <w:szCs w:val="20"/>
        </w:rPr>
      </w:pPr>
    </w:p>
    <w:p w14:paraId="1E85359A" w14:textId="21CB4000" w:rsidR="002F763B" w:rsidRDefault="001618DF" w:rsidP="00554476">
      <w:pPr>
        <w:spacing w:after="0" w:line="360" w:lineRule="auto"/>
        <w:jc w:val="both"/>
        <w:rPr>
          <w:rFonts w:ascii="Arial" w:eastAsia="Calibri" w:hAnsi="Arial" w:cs="Arial"/>
          <w:spacing w:val="4"/>
          <w:sz w:val="20"/>
          <w:szCs w:val="20"/>
        </w:rPr>
      </w:pPr>
      <w:r w:rsidRPr="001618DF">
        <w:rPr>
          <w:rFonts w:ascii="Arial" w:eastAsia="Calibri" w:hAnsi="Arial" w:cs="Arial"/>
          <w:spacing w:val="4"/>
          <w:sz w:val="20"/>
          <w:szCs w:val="20"/>
          <w:highlight w:val="cyan"/>
        </w:rPr>
        <w:t>[AJUSTAR A CASO CONCRETO CON COMPENDIO COSTAS CONTESTACIONES]</w:t>
      </w:r>
    </w:p>
    <w:p w14:paraId="0D631486" w14:textId="77777777" w:rsidR="001618DF" w:rsidRPr="00554476" w:rsidRDefault="001618DF" w:rsidP="00554476">
      <w:pPr>
        <w:spacing w:after="0" w:line="360" w:lineRule="auto"/>
        <w:jc w:val="both"/>
        <w:rPr>
          <w:rFonts w:ascii="Arial" w:eastAsia="Calibri" w:hAnsi="Arial" w:cs="Arial"/>
          <w:spacing w:val="4"/>
          <w:sz w:val="20"/>
          <w:szCs w:val="20"/>
        </w:rPr>
      </w:pPr>
    </w:p>
    <w:p w14:paraId="2DEC0520" w14:textId="77777777" w:rsidR="001618DF" w:rsidRDefault="001618DF" w:rsidP="00554476">
      <w:pPr>
        <w:pStyle w:val="Ttulo2"/>
        <w:spacing w:before="0" w:line="360" w:lineRule="auto"/>
        <w:jc w:val="both"/>
        <w:rPr>
          <w:rFonts w:ascii="Arial" w:eastAsia="Bankinter" w:hAnsi="Arial" w:cs="Arial"/>
          <w:b/>
          <w:color w:val="auto"/>
          <w:sz w:val="20"/>
          <w:szCs w:val="20"/>
          <w:u w:val="single"/>
        </w:rPr>
      </w:pPr>
      <w:bookmarkStart w:id="51" w:name="_Toc54185216"/>
    </w:p>
    <w:p w14:paraId="77660C8A" w14:textId="4F5E08F0" w:rsidR="00987F1E" w:rsidRPr="00554476" w:rsidRDefault="008950BB" w:rsidP="00554476">
      <w:pPr>
        <w:pStyle w:val="Ttulo2"/>
        <w:spacing w:before="0" w:line="360" w:lineRule="auto"/>
        <w:jc w:val="both"/>
        <w:rPr>
          <w:rFonts w:ascii="Arial" w:eastAsia="Bankinter" w:hAnsi="Arial" w:cs="Arial"/>
          <w:b/>
          <w:color w:val="auto"/>
          <w:sz w:val="20"/>
          <w:szCs w:val="20"/>
          <w:u w:val="single"/>
        </w:rPr>
      </w:pPr>
      <w:r>
        <w:rPr>
          <w:rFonts w:ascii="Arial" w:eastAsia="Bankinter" w:hAnsi="Arial" w:cs="Arial"/>
          <w:b/>
          <w:color w:val="auto"/>
          <w:sz w:val="20"/>
          <w:szCs w:val="20"/>
          <w:u w:val="single"/>
        </w:rPr>
        <w:t>OCTAVO</w:t>
      </w:r>
      <w:r w:rsidR="00C169FE" w:rsidRPr="00554476">
        <w:rPr>
          <w:rFonts w:ascii="Arial" w:eastAsia="Bankinter" w:hAnsi="Arial" w:cs="Arial"/>
          <w:b/>
          <w:color w:val="auto"/>
          <w:sz w:val="20"/>
          <w:szCs w:val="20"/>
          <w:u w:val="single"/>
        </w:rPr>
        <w:t xml:space="preserve">. </w:t>
      </w:r>
      <w:r w:rsidR="0087367C" w:rsidRPr="00554476">
        <w:rPr>
          <w:rFonts w:ascii="Arial" w:eastAsia="Bankinter" w:hAnsi="Arial" w:cs="Arial"/>
          <w:b/>
          <w:color w:val="auto"/>
          <w:sz w:val="20"/>
          <w:szCs w:val="20"/>
          <w:u w:val="single"/>
        </w:rPr>
        <w:t>–</w:t>
      </w:r>
      <w:r w:rsidR="003F1B5F" w:rsidRPr="00554476">
        <w:rPr>
          <w:rFonts w:ascii="Arial" w:eastAsia="Bankinter" w:hAnsi="Arial" w:cs="Arial"/>
          <w:b/>
          <w:color w:val="auto"/>
          <w:sz w:val="20"/>
          <w:szCs w:val="20"/>
          <w:u w:val="single"/>
        </w:rPr>
        <w:t xml:space="preserve"> </w:t>
      </w:r>
      <w:r w:rsidR="0087367C" w:rsidRPr="00554476">
        <w:rPr>
          <w:rFonts w:ascii="Arial" w:eastAsia="Bankinter" w:hAnsi="Arial" w:cs="Arial"/>
          <w:b/>
          <w:color w:val="auto"/>
          <w:sz w:val="20"/>
          <w:szCs w:val="20"/>
          <w:u w:val="single"/>
        </w:rPr>
        <w:t>Consideración del principio “</w:t>
      </w:r>
      <w:proofErr w:type="spellStart"/>
      <w:r w:rsidR="0087367C" w:rsidRPr="00554476">
        <w:rPr>
          <w:rFonts w:ascii="Arial" w:eastAsia="Bankinter" w:hAnsi="Arial" w:cs="Arial"/>
          <w:b/>
          <w:color w:val="auto"/>
          <w:sz w:val="20"/>
          <w:szCs w:val="20"/>
          <w:u w:val="single"/>
        </w:rPr>
        <w:t>i</w:t>
      </w:r>
      <w:r w:rsidR="00987F1E" w:rsidRPr="00554476">
        <w:rPr>
          <w:rFonts w:ascii="Arial" w:eastAsia="Bankinter" w:hAnsi="Arial" w:cs="Arial"/>
          <w:b/>
          <w:color w:val="auto"/>
          <w:sz w:val="20"/>
          <w:szCs w:val="20"/>
          <w:u w:val="single"/>
        </w:rPr>
        <w:t>ura</w:t>
      </w:r>
      <w:proofErr w:type="spellEnd"/>
      <w:r w:rsidR="00987F1E" w:rsidRPr="00554476">
        <w:rPr>
          <w:rFonts w:ascii="Arial" w:eastAsia="Bankinter" w:hAnsi="Arial" w:cs="Arial"/>
          <w:b/>
          <w:color w:val="auto"/>
          <w:sz w:val="20"/>
          <w:szCs w:val="20"/>
          <w:u w:val="single"/>
        </w:rPr>
        <w:t xml:space="preserve"> </w:t>
      </w:r>
      <w:proofErr w:type="spellStart"/>
      <w:r w:rsidR="00987F1E" w:rsidRPr="00554476">
        <w:rPr>
          <w:rFonts w:ascii="Arial" w:eastAsia="Bankinter" w:hAnsi="Arial" w:cs="Arial"/>
          <w:b/>
          <w:color w:val="auto"/>
          <w:sz w:val="20"/>
          <w:szCs w:val="20"/>
          <w:u w:val="single"/>
        </w:rPr>
        <w:t>novit</w:t>
      </w:r>
      <w:proofErr w:type="spellEnd"/>
      <w:r w:rsidR="00987F1E" w:rsidRPr="00554476">
        <w:rPr>
          <w:rFonts w:ascii="Arial" w:eastAsia="Bankinter" w:hAnsi="Arial" w:cs="Arial"/>
          <w:b/>
          <w:color w:val="auto"/>
          <w:sz w:val="20"/>
          <w:szCs w:val="20"/>
          <w:u w:val="single"/>
        </w:rPr>
        <w:t xml:space="preserve"> curia</w:t>
      </w:r>
      <w:r w:rsidR="0087367C" w:rsidRPr="00554476">
        <w:rPr>
          <w:rFonts w:ascii="Arial" w:eastAsia="Bankinter" w:hAnsi="Arial" w:cs="Arial"/>
          <w:b/>
          <w:color w:val="auto"/>
          <w:sz w:val="20"/>
          <w:szCs w:val="20"/>
          <w:u w:val="single"/>
        </w:rPr>
        <w:t>”</w:t>
      </w:r>
      <w:r w:rsidR="00987F1E" w:rsidRPr="00554476">
        <w:rPr>
          <w:rFonts w:ascii="Arial" w:eastAsia="Bankinter" w:hAnsi="Arial" w:cs="Arial"/>
          <w:b/>
          <w:color w:val="auto"/>
          <w:sz w:val="20"/>
          <w:szCs w:val="20"/>
          <w:u w:val="single"/>
        </w:rPr>
        <w:t>.</w:t>
      </w:r>
      <w:bookmarkEnd w:id="51"/>
    </w:p>
    <w:p w14:paraId="20FC01CC" w14:textId="77777777" w:rsidR="00987F1E" w:rsidRPr="00554476" w:rsidRDefault="00987F1E" w:rsidP="00554476">
      <w:pPr>
        <w:spacing w:after="0" w:line="360" w:lineRule="auto"/>
        <w:ind w:firstLine="708"/>
        <w:jc w:val="both"/>
        <w:rPr>
          <w:rFonts w:ascii="Arial" w:hAnsi="Arial" w:cs="Arial"/>
          <w:b/>
          <w:sz w:val="20"/>
          <w:szCs w:val="20"/>
          <w:u w:val="single"/>
        </w:rPr>
      </w:pPr>
    </w:p>
    <w:p w14:paraId="7EDDA5BB" w14:textId="77777777" w:rsidR="00865697" w:rsidRPr="00554476" w:rsidRDefault="00987F1E" w:rsidP="00554476">
      <w:pPr>
        <w:spacing w:after="0" w:line="360" w:lineRule="auto"/>
        <w:jc w:val="both"/>
        <w:rPr>
          <w:rFonts w:ascii="Arial" w:eastAsia="Calibri" w:hAnsi="Arial" w:cs="Arial"/>
          <w:sz w:val="20"/>
          <w:szCs w:val="20"/>
        </w:rPr>
      </w:pPr>
      <w:r w:rsidRPr="00554476">
        <w:rPr>
          <w:rFonts w:ascii="Arial" w:eastAsia="Calibri" w:hAnsi="Arial" w:cs="Arial"/>
          <w:sz w:val="20"/>
          <w:szCs w:val="20"/>
        </w:rPr>
        <w:t xml:space="preserve">Esta parte interesa la consideración del principio </w:t>
      </w:r>
      <w:proofErr w:type="spellStart"/>
      <w:r w:rsidRPr="00554476">
        <w:rPr>
          <w:rFonts w:ascii="Arial" w:eastAsia="Calibri" w:hAnsi="Arial" w:cs="Arial"/>
          <w:sz w:val="20"/>
          <w:szCs w:val="20"/>
        </w:rPr>
        <w:t>Iura</w:t>
      </w:r>
      <w:proofErr w:type="spellEnd"/>
      <w:r w:rsidRPr="00554476">
        <w:rPr>
          <w:rFonts w:ascii="Arial" w:eastAsia="Calibri" w:hAnsi="Arial" w:cs="Arial"/>
          <w:sz w:val="20"/>
          <w:szCs w:val="20"/>
        </w:rPr>
        <w:t xml:space="preserve"> Novit Curia previsto en el segundo párrafo del artículo 218.1 de la Ley de Enjuiciamiento Civil para la debida aplicación del Derecho, con independencia de la fortuna con la que aquí haya sido expresado. Pues este principio implica la potestad judicial para subsumir el supuesto fáctico en la norma jurídica aplicable al caso, siempre que no exista discrepancia entre las pretensiones de las pa</w:t>
      </w:r>
      <w:r w:rsidR="00865697" w:rsidRPr="00554476">
        <w:rPr>
          <w:rFonts w:ascii="Arial" w:eastAsia="Calibri" w:hAnsi="Arial" w:cs="Arial"/>
          <w:sz w:val="20"/>
          <w:szCs w:val="20"/>
        </w:rPr>
        <w:t>rtes y lo resuelto en el fallo.</w:t>
      </w:r>
    </w:p>
    <w:p w14:paraId="182BE0BC" w14:textId="05C7F393" w:rsidR="00987F1E" w:rsidRPr="00554476" w:rsidRDefault="00987F1E" w:rsidP="00554476">
      <w:pPr>
        <w:spacing w:after="0" w:line="360" w:lineRule="auto"/>
        <w:jc w:val="both"/>
        <w:rPr>
          <w:rFonts w:ascii="Arial" w:hAnsi="Arial" w:cs="Arial"/>
          <w:b/>
          <w:sz w:val="20"/>
          <w:szCs w:val="20"/>
        </w:rPr>
      </w:pPr>
    </w:p>
    <w:p w14:paraId="62D81090" w14:textId="77777777" w:rsidR="0087367C" w:rsidRPr="00554476" w:rsidRDefault="0087367C" w:rsidP="00554476">
      <w:pPr>
        <w:spacing w:after="0" w:line="360" w:lineRule="auto"/>
        <w:jc w:val="both"/>
        <w:rPr>
          <w:rFonts w:ascii="Arial" w:hAnsi="Arial" w:cs="Arial"/>
          <w:b/>
          <w:sz w:val="20"/>
          <w:szCs w:val="20"/>
        </w:rPr>
      </w:pPr>
    </w:p>
    <w:p w14:paraId="6659520E" w14:textId="4EE88531" w:rsidR="00204640" w:rsidRPr="00554476" w:rsidRDefault="0087367C" w:rsidP="00554476">
      <w:pPr>
        <w:spacing w:after="0" w:line="360" w:lineRule="auto"/>
        <w:jc w:val="both"/>
        <w:rPr>
          <w:rFonts w:ascii="Arial" w:hAnsi="Arial" w:cs="Arial"/>
          <w:b/>
          <w:sz w:val="20"/>
          <w:szCs w:val="20"/>
        </w:rPr>
      </w:pPr>
      <w:r w:rsidRPr="00554476">
        <w:rPr>
          <w:rFonts w:ascii="Arial" w:hAnsi="Arial" w:cs="Arial"/>
          <w:b/>
          <w:sz w:val="20"/>
          <w:szCs w:val="20"/>
        </w:rPr>
        <w:t>En virtud de todo lo expuesto,</w:t>
      </w:r>
    </w:p>
    <w:p w14:paraId="23D3BAA9" w14:textId="1CD692BD" w:rsidR="00865697" w:rsidRPr="00554476" w:rsidRDefault="00865697" w:rsidP="00554476">
      <w:pPr>
        <w:spacing w:after="0" w:line="360" w:lineRule="auto"/>
        <w:jc w:val="both"/>
        <w:rPr>
          <w:rFonts w:ascii="Arial" w:hAnsi="Arial" w:cs="Arial"/>
          <w:sz w:val="20"/>
          <w:szCs w:val="20"/>
        </w:rPr>
      </w:pPr>
    </w:p>
    <w:p w14:paraId="0CAC9BF2" w14:textId="1761FB7B" w:rsidR="00BA4F82" w:rsidRPr="00554476" w:rsidRDefault="00BA4F82" w:rsidP="00554476">
      <w:pPr>
        <w:spacing w:after="0" w:line="360" w:lineRule="auto"/>
        <w:ind w:firstLine="567"/>
        <w:jc w:val="both"/>
        <w:rPr>
          <w:rFonts w:ascii="Arial" w:hAnsi="Arial" w:cs="Arial"/>
          <w:b/>
          <w:bCs/>
          <w:sz w:val="20"/>
          <w:szCs w:val="20"/>
        </w:rPr>
      </w:pPr>
      <w:r w:rsidRPr="00554476">
        <w:rPr>
          <w:rFonts w:ascii="Arial" w:hAnsi="Arial" w:cs="Arial"/>
          <w:b/>
          <w:sz w:val="20"/>
          <w:szCs w:val="20"/>
        </w:rPr>
        <w:t>SUPLICO AL JUZGADO</w:t>
      </w:r>
      <w:r w:rsidRPr="00554476">
        <w:rPr>
          <w:rFonts w:ascii="Arial" w:hAnsi="Arial" w:cs="Arial"/>
          <w:sz w:val="20"/>
          <w:szCs w:val="20"/>
        </w:rPr>
        <w:t xml:space="preserve"> que habiendo por presentado</w:t>
      </w:r>
      <w:r w:rsidR="0087367C" w:rsidRPr="00554476">
        <w:rPr>
          <w:rFonts w:ascii="Arial" w:hAnsi="Arial" w:cs="Arial"/>
          <w:sz w:val="20"/>
          <w:szCs w:val="20"/>
        </w:rPr>
        <w:t xml:space="preserve"> este escrito</w:t>
      </w:r>
      <w:r w:rsidRPr="00554476">
        <w:rPr>
          <w:rFonts w:ascii="Arial" w:hAnsi="Arial" w:cs="Arial"/>
          <w:sz w:val="20"/>
          <w:szCs w:val="20"/>
        </w:rPr>
        <w:t xml:space="preserve"> junto a los documentos que lo acompañan y copias de todo ello, se sirva admitirlo; me tenga por comparecida y parte en la representación que ostento de la entidad Bankinter, S.A.; conforme a lo que se expresa en el cuerpo del mismo, </w:t>
      </w:r>
      <w:r w:rsidRPr="00554476">
        <w:rPr>
          <w:rFonts w:ascii="Arial" w:hAnsi="Arial" w:cs="Arial"/>
          <w:b/>
          <w:bCs/>
          <w:sz w:val="20"/>
          <w:szCs w:val="20"/>
        </w:rPr>
        <w:t xml:space="preserve">tenga por formulada en tiempo y forma </w:t>
      </w:r>
      <w:r w:rsidR="0087367C" w:rsidRPr="00554476">
        <w:rPr>
          <w:rFonts w:ascii="Arial" w:hAnsi="Arial" w:cs="Arial"/>
          <w:b/>
          <w:bCs/>
          <w:sz w:val="20"/>
          <w:szCs w:val="20"/>
        </w:rPr>
        <w:t>la presente CONTESTACIÓN Y OPOSICIÓN frente</w:t>
      </w:r>
      <w:r w:rsidRPr="00554476">
        <w:rPr>
          <w:rFonts w:ascii="Arial" w:hAnsi="Arial" w:cs="Arial"/>
          <w:b/>
          <w:bCs/>
          <w:sz w:val="20"/>
          <w:szCs w:val="20"/>
        </w:rPr>
        <w:t xml:space="preserve"> a las pretensiones </w:t>
      </w:r>
      <w:r w:rsidR="0087367C" w:rsidRPr="00554476">
        <w:rPr>
          <w:rFonts w:ascii="Arial" w:hAnsi="Arial" w:cs="Arial"/>
          <w:b/>
          <w:bCs/>
          <w:sz w:val="20"/>
          <w:szCs w:val="20"/>
        </w:rPr>
        <w:t>planteadas de contrario y que traen causa</w:t>
      </w:r>
      <w:r w:rsidRPr="00554476">
        <w:rPr>
          <w:rFonts w:ascii="Arial" w:hAnsi="Arial" w:cs="Arial"/>
          <w:b/>
          <w:bCs/>
          <w:sz w:val="20"/>
          <w:szCs w:val="20"/>
        </w:rPr>
        <w:t xml:space="preserve">; y en mérito de las manifestaciones </w:t>
      </w:r>
      <w:r w:rsidR="0087367C" w:rsidRPr="00554476">
        <w:rPr>
          <w:rFonts w:ascii="Arial" w:hAnsi="Arial" w:cs="Arial"/>
          <w:b/>
          <w:bCs/>
          <w:sz w:val="20"/>
          <w:szCs w:val="20"/>
        </w:rPr>
        <w:t>que aquí se</w:t>
      </w:r>
      <w:r w:rsidRPr="00554476">
        <w:rPr>
          <w:rFonts w:ascii="Arial" w:hAnsi="Arial" w:cs="Arial"/>
          <w:b/>
          <w:bCs/>
          <w:sz w:val="20"/>
          <w:szCs w:val="20"/>
        </w:rPr>
        <w:t xml:space="preserve"> contiene</w:t>
      </w:r>
      <w:r w:rsidR="0087367C" w:rsidRPr="00554476">
        <w:rPr>
          <w:rFonts w:ascii="Arial" w:hAnsi="Arial" w:cs="Arial"/>
          <w:b/>
          <w:bCs/>
          <w:sz w:val="20"/>
          <w:szCs w:val="20"/>
        </w:rPr>
        <w:t>n</w:t>
      </w:r>
      <w:r w:rsidRPr="00554476">
        <w:rPr>
          <w:rFonts w:ascii="Arial" w:hAnsi="Arial" w:cs="Arial"/>
          <w:b/>
          <w:bCs/>
          <w:sz w:val="20"/>
          <w:szCs w:val="20"/>
        </w:rPr>
        <w:t>,</w:t>
      </w:r>
      <w:r w:rsidRPr="00554476">
        <w:rPr>
          <w:rFonts w:ascii="Arial" w:hAnsi="Arial" w:cs="Arial"/>
          <w:sz w:val="20"/>
          <w:szCs w:val="20"/>
        </w:rPr>
        <w:t xml:space="preserve"> tras los trámites procesales oportunos, </w:t>
      </w:r>
      <w:r w:rsidRPr="00554476">
        <w:rPr>
          <w:rFonts w:ascii="Arial" w:hAnsi="Arial" w:cs="Arial"/>
          <w:b/>
          <w:bCs/>
          <w:sz w:val="20"/>
          <w:szCs w:val="20"/>
        </w:rPr>
        <w:t xml:space="preserve">finalmente dicte Sentencia </w:t>
      </w:r>
      <w:r w:rsidR="0087367C" w:rsidRPr="00554476">
        <w:rPr>
          <w:rFonts w:ascii="Arial" w:hAnsi="Arial" w:cs="Arial"/>
          <w:b/>
          <w:bCs/>
          <w:sz w:val="20"/>
          <w:szCs w:val="20"/>
        </w:rPr>
        <w:t xml:space="preserve">mediante la que desestime íntegramente </w:t>
      </w:r>
      <w:r w:rsidRPr="00554476">
        <w:rPr>
          <w:rFonts w:ascii="Arial" w:hAnsi="Arial" w:cs="Arial"/>
          <w:b/>
          <w:bCs/>
          <w:sz w:val="20"/>
          <w:szCs w:val="20"/>
        </w:rPr>
        <w:t xml:space="preserve">la demanda </w:t>
      </w:r>
      <w:r w:rsidR="0087367C" w:rsidRPr="00554476">
        <w:rPr>
          <w:rFonts w:ascii="Arial" w:hAnsi="Arial" w:cs="Arial"/>
          <w:b/>
          <w:bCs/>
          <w:sz w:val="20"/>
          <w:szCs w:val="20"/>
        </w:rPr>
        <w:t xml:space="preserve">con que principiaron estas actuaciones </w:t>
      </w:r>
      <w:r w:rsidRPr="00554476">
        <w:rPr>
          <w:rFonts w:ascii="Arial" w:hAnsi="Arial" w:cs="Arial"/>
          <w:b/>
          <w:bCs/>
          <w:sz w:val="20"/>
          <w:szCs w:val="20"/>
        </w:rPr>
        <w:t xml:space="preserve">e imponga expresamente a la parte actora-demandante las costas </w:t>
      </w:r>
      <w:r w:rsidR="0087367C" w:rsidRPr="00554476">
        <w:rPr>
          <w:rFonts w:ascii="Arial" w:hAnsi="Arial" w:cs="Arial"/>
          <w:b/>
          <w:bCs/>
          <w:sz w:val="20"/>
          <w:szCs w:val="20"/>
        </w:rPr>
        <w:t>causadas con ocasión de este procedimiento.</w:t>
      </w:r>
    </w:p>
    <w:p w14:paraId="0F71381E" w14:textId="42D4A660" w:rsidR="0087367C" w:rsidRPr="00554476" w:rsidRDefault="0087367C" w:rsidP="00554476">
      <w:pPr>
        <w:spacing w:after="0" w:line="360" w:lineRule="auto"/>
        <w:jc w:val="both"/>
        <w:rPr>
          <w:rFonts w:ascii="Arial" w:hAnsi="Arial" w:cs="Arial"/>
          <w:b/>
          <w:sz w:val="20"/>
          <w:szCs w:val="20"/>
          <w:u w:val="single"/>
        </w:rPr>
      </w:pPr>
    </w:p>
    <w:p w14:paraId="7B681D87" w14:textId="77777777" w:rsidR="0087367C" w:rsidRPr="00554476" w:rsidRDefault="0087367C" w:rsidP="00554476">
      <w:pPr>
        <w:spacing w:after="0" w:line="360" w:lineRule="auto"/>
        <w:jc w:val="both"/>
        <w:rPr>
          <w:rFonts w:ascii="Arial" w:hAnsi="Arial" w:cs="Arial"/>
          <w:b/>
          <w:sz w:val="20"/>
          <w:szCs w:val="20"/>
          <w:u w:val="single"/>
        </w:rPr>
      </w:pPr>
    </w:p>
    <w:p w14:paraId="6DE153E2" w14:textId="05828655" w:rsidR="0020464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b/>
          <w:sz w:val="20"/>
          <w:szCs w:val="20"/>
        </w:rPr>
        <w:t>PRIMER OTROSÍ DIGO</w:t>
      </w:r>
      <w:r w:rsidRPr="00554476">
        <w:rPr>
          <w:rFonts w:ascii="Arial" w:hAnsi="Arial" w:cs="Arial"/>
          <w:sz w:val="20"/>
          <w:szCs w:val="20"/>
        </w:rPr>
        <w:t xml:space="preserve"> que interesa al derecho de esta parte dejar designados, a efectos de prueba y por si fuere menester, los archivos de cuantos organismos públicos y privados han sido citados a lo largo de este escrito, incluidos los de mis representadas.</w:t>
      </w:r>
    </w:p>
    <w:p w14:paraId="785BF69D" w14:textId="77777777" w:rsidR="00204640" w:rsidRPr="00554476" w:rsidRDefault="00204640" w:rsidP="00554476">
      <w:pPr>
        <w:spacing w:after="0" w:line="360" w:lineRule="auto"/>
        <w:jc w:val="both"/>
        <w:rPr>
          <w:rFonts w:ascii="Arial" w:hAnsi="Arial" w:cs="Arial"/>
          <w:sz w:val="20"/>
          <w:szCs w:val="20"/>
        </w:rPr>
      </w:pPr>
      <w:r w:rsidRPr="00554476">
        <w:rPr>
          <w:rFonts w:ascii="Arial" w:hAnsi="Arial" w:cs="Arial"/>
          <w:sz w:val="20"/>
          <w:szCs w:val="20"/>
        </w:rPr>
        <w:tab/>
      </w:r>
    </w:p>
    <w:p w14:paraId="7B10EC6D" w14:textId="77777777" w:rsidR="0020464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sz w:val="20"/>
          <w:szCs w:val="20"/>
        </w:rPr>
        <w:t xml:space="preserve">Y, es por lo que, </w:t>
      </w:r>
    </w:p>
    <w:p w14:paraId="534B1A7E" w14:textId="77777777" w:rsidR="00204640" w:rsidRPr="00554476" w:rsidRDefault="00204640" w:rsidP="00554476">
      <w:pPr>
        <w:spacing w:after="0" w:line="360" w:lineRule="auto"/>
        <w:jc w:val="both"/>
        <w:rPr>
          <w:rFonts w:ascii="Arial" w:hAnsi="Arial" w:cs="Arial"/>
          <w:sz w:val="20"/>
          <w:szCs w:val="20"/>
        </w:rPr>
      </w:pPr>
      <w:r w:rsidRPr="00554476">
        <w:rPr>
          <w:rFonts w:ascii="Arial" w:hAnsi="Arial" w:cs="Arial"/>
          <w:sz w:val="20"/>
          <w:szCs w:val="20"/>
        </w:rPr>
        <w:tab/>
      </w:r>
    </w:p>
    <w:p w14:paraId="03442839" w14:textId="77777777" w:rsidR="0020464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b/>
          <w:sz w:val="20"/>
          <w:szCs w:val="20"/>
        </w:rPr>
        <w:t>NUEVAMENTE SUPLICO AL JUZGADO,</w:t>
      </w:r>
      <w:r w:rsidRPr="00554476">
        <w:rPr>
          <w:rFonts w:ascii="Arial" w:hAnsi="Arial" w:cs="Arial"/>
          <w:sz w:val="20"/>
          <w:szCs w:val="20"/>
        </w:rPr>
        <w:t xml:space="preserve"> que tenga por hecha la anterior manifestación, a los efectos procesales oportunos.</w:t>
      </w:r>
    </w:p>
    <w:p w14:paraId="515E7E04" w14:textId="706BB5EC" w:rsidR="00204640" w:rsidRPr="00554476" w:rsidRDefault="00204640" w:rsidP="00554476">
      <w:pPr>
        <w:spacing w:after="0" w:line="360" w:lineRule="auto"/>
        <w:jc w:val="both"/>
        <w:rPr>
          <w:rFonts w:ascii="Arial" w:hAnsi="Arial" w:cs="Arial"/>
          <w:sz w:val="20"/>
          <w:szCs w:val="20"/>
        </w:rPr>
      </w:pPr>
    </w:p>
    <w:p w14:paraId="6AC8DCD2" w14:textId="615274A6" w:rsidR="0087367C" w:rsidRPr="00554476" w:rsidRDefault="0087367C" w:rsidP="00554476">
      <w:pPr>
        <w:spacing w:after="0" w:line="360" w:lineRule="auto"/>
        <w:jc w:val="both"/>
        <w:rPr>
          <w:rFonts w:ascii="Arial" w:hAnsi="Arial" w:cs="Arial"/>
          <w:b/>
          <w:sz w:val="20"/>
          <w:szCs w:val="20"/>
          <w:u w:val="single"/>
        </w:rPr>
      </w:pPr>
    </w:p>
    <w:p w14:paraId="31155012" w14:textId="3BA95905" w:rsidR="0020464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b/>
          <w:sz w:val="20"/>
          <w:szCs w:val="20"/>
        </w:rPr>
        <w:t>SEGUNDO OTROSÍ DIGO</w:t>
      </w:r>
      <w:r w:rsidR="00A85592" w:rsidRPr="00554476">
        <w:rPr>
          <w:rFonts w:ascii="Arial" w:hAnsi="Arial" w:cs="Arial"/>
          <w:sz w:val="20"/>
          <w:szCs w:val="20"/>
        </w:rPr>
        <w:t xml:space="preserve"> que a fin de subsanar los defectos en los que, en su caso, incurriese esta parte, se manifiesta, a los efectos previsto en el artículo 243.3 de la Ley Orgánica del Poder Judicial y en el</w:t>
      </w:r>
      <w:r w:rsidRPr="00554476">
        <w:rPr>
          <w:rFonts w:ascii="Arial" w:hAnsi="Arial" w:cs="Arial"/>
          <w:sz w:val="20"/>
          <w:szCs w:val="20"/>
        </w:rPr>
        <w:t xml:space="preserve"> artículo 231 de la Ley de Enjuiciamiento Civil, </w:t>
      </w:r>
      <w:r w:rsidR="00A85592" w:rsidRPr="00554476">
        <w:rPr>
          <w:rFonts w:ascii="Arial" w:hAnsi="Arial" w:cs="Arial"/>
          <w:sz w:val="20"/>
          <w:szCs w:val="20"/>
        </w:rPr>
        <w:t xml:space="preserve">para éste y los sucesivos trámites e incluso </w:t>
      </w:r>
      <w:r w:rsidR="00257401" w:rsidRPr="00554476">
        <w:rPr>
          <w:rFonts w:ascii="Arial" w:hAnsi="Arial" w:cs="Arial"/>
          <w:sz w:val="20"/>
          <w:szCs w:val="20"/>
        </w:rPr>
        <w:t>instancias, esta</w:t>
      </w:r>
      <w:r w:rsidRPr="00554476">
        <w:rPr>
          <w:rFonts w:ascii="Arial" w:hAnsi="Arial" w:cs="Arial"/>
          <w:sz w:val="20"/>
          <w:szCs w:val="20"/>
        </w:rPr>
        <w:t xml:space="preserve"> parte manifiesta su voluntad de cumplir con los requisitos exigidos por la Ley en todos los actos procesales que realice en el presente procedimiento.</w:t>
      </w:r>
    </w:p>
    <w:p w14:paraId="345DA686" w14:textId="77777777" w:rsidR="00204640" w:rsidRPr="00554476" w:rsidRDefault="00204640" w:rsidP="00554476">
      <w:pPr>
        <w:spacing w:after="0" w:line="360" w:lineRule="auto"/>
        <w:jc w:val="both"/>
        <w:rPr>
          <w:rFonts w:ascii="Arial" w:hAnsi="Arial" w:cs="Arial"/>
          <w:sz w:val="20"/>
          <w:szCs w:val="20"/>
        </w:rPr>
      </w:pPr>
    </w:p>
    <w:p w14:paraId="07CA2FB6" w14:textId="172F4693" w:rsidR="00687CF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sz w:val="20"/>
          <w:szCs w:val="20"/>
        </w:rPr>
        <w:t>Y, es por lo que,</w:t>
      </w:r>
      <w:r w:rsidR="00A85592" w:rsidRPr="00554476">
        <w:rPr>
          <w:rFonts w:ascii="Arial" w:hAnsi="Arial" w:cs="Arial"/>
          <w:sz w:val="20"/>
          <w:szCs w:val="20"/>
        </w:rPr>
        <w:t xml:space="preserve"> </w:t>
      </w:r>
    </w:p>
    <w:p w14:paraId="7295021A" w14:textId="77777777" w:rsidR="00687CF0" w:rsidRPr="00554476" w:rsidRDefault="00687CF0" w:rsidP="00554476">
      <w:pPr>
        <w:spacing w:after="0" w:line="360" w:lineRule="auto"/>
        <w:ind w:firstLine="708"/>
        <w:jc w:val="both"/>
        <w:rPr>
          <w:rFonts w:ascii="Arial" w:hAnsi="Arial" w:cs="Arial"/>
          <w:b/>
          <w:sz w:val="20"/>
          <w:szCs w:val="20"/>
          <w:u w:val="single"/>
        </w:rPr>
      </w:pPr>
    </w:p>
    <w:p w14:paraId="597E86FF" w14:textId="77777777" w:rsidR="00204640" w:rsidRPr="00554476" w:rsidRDefault="00204640" w:rsidP="00554476">
      <w:pPr>
        <w:spacing w:after="0" w:line="360" w:lineRule="auto"/>
        <w:ind w:firstLine="567"/>
        <w:jc w:val="both"/>
        <w:rPr>
          <w:rFonts w:ascii="Arial" w:hAnsi="Arial" w:cs="Arial"/>
          <w:sz w:val="20"/>
          <w:szCs w:val="20"/>
        </w:rPr>
      </w:pPr>
      <w:r w:rsidRPr="00554476">
        <w:rPr>
          <w:rFonts w:ascii="Arial" w:hAnsi="Arial" w:cs="Arial"/>
          <w:b/>
          <w:sz w:val="20"/>
          <w:szCs w:val="20"/>
        </w:rPr>
        <w:t xml:space="preserve">NUEVAMENTE SUPLICO AL JUZGADO, </w:t>
      </w:r>
      <w:r w:rsidRPr="00554476">
        <w:rPr>
          <w:rFonts w:ascii="Arial" w:hAnsi="Arial" w:cs="Arial"/>
          <w:sz w:val="20"/>
          <w:szCs w:val="20"/>
        </w:rPr>
        <w:t>que tenga por realizada la anterior manifestación, a los efectos procesales oportunos.</w:t>
      </w:r>
    </w:p>
    <w:p w14:paraId="660DBFAC" w14:textId="2F17DB25" w:rsidR="00622977" w:rsidRPr="00554476" w:rsidRDefault="00622977" w:rsidP="00554476">
      <w:pPr>
        <w:spacing w:after="0" w:line="360" w:lineRule="auto"/>
        <w:rPr>
          <w:rFonts w:ascii="Arial" w:hAnsi="Arial" w:cs="Arial"/>
          <w:sz w:val="20"/>
          <w:szCs w:val="20"/>
        </w:rPr>
      </w:pPr>
    </w:p>
    <w:p w14:paraId="413EF3E8" w14:textId="77777777" w:rsidR="004E673F" w:rsidRPr="00554476" w:rsidRDefault="004E673F" w:rsidP="00554476">
      <w:pPr>
        <w:spacing w:after="0" w:line="360" w:lineRule="auto"/>
        <w:rPr>
          <w:rFonts w:ascii="Arial" w:hAnsi="Arial" w:cs="Arial"/>
          <w:sz w:val="20"/>
          <w:szCs w:val="20"/>
        </w:rPr>
      </w:pPr>
    </w:p>
    <w:p w14:paraId="387F1DEC" w14:textId="77777777" w:rsidR="0003044A" w:rsidRPr="00554476" w:rsidRDefault="0003044A" w:rsidP="00554476">
      <w:pPr>
        <w:spacing w:after="0" w:line="360" w:lineRule="auto"/>
        <w:jc w:val="right"/>
        <w:rPr>
          <w:rFonts w:ascii="Arial" w:hAnsi="Arial" w:cs="Arial"/>
          <w:sz w:val="20"/>
          <w:szCs w:val="20"/>
        </w:rPr>
      </w:pPr>
    </w:p>
    <w:p w14:paraId="7FABCAE9" w14:textId="77777777" w:rsidR="00A85592" w:rsidRPr="00554476" w:rsidRDefault="00A85592" w:rsidP="00554476">
      <w:pPr>
        <w:spacing w:after="0" w:line="360" w:lineRule="auto"/>
        <w:jc w:val="center"/>
        <w:rPr>
          <w:rFonts w:ascii="Arial" w:hAnsi="Arial" w:cs="Arial"/>
          <w:b/>
          <w:sz w:val="20"/>
          <w:szCs w:val="20"/>
        </w:rPr>
      </w:pPr>
      <w:r w:rsidRPr="00554476">
        <w:rPr>
          <w:rFonts w:ascii="Arial" w:hAnsi="Arial" w:cs="Arial"/>
          <w:b/>
          <w:sz w:val="20"/>
          <w:szCs w:val="20"/>
        </w:rPr>
        <w:t>Es Justicia que respetuosamente pido.</w:t>
      </w:r>
    </w:p>
    <w:p w14:paraId="7C944739" w14:textId="560135E2" w:rsidR="00A85592" w:rsidRPr="00554476" w:rsidRDefault="001325C0" w:rsidP="00554476">
      <w:pPr>
        <w:spacing w:after="0" w:line="360" w:lineRule="auto"/>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juzgadoprincipal_poblacionjuz</w:instrText>
      </w:r>
      <w:r>
        <w:rPr>
          <w:rFonts w:ascii="Arial" w:hAnsi="Arial" w:cs="Arial"/>
          <w:sz w:val="20"/>
          <w:szCs w:val="20"/>
        </w:rPr>
        <w:fldChar w:fldCharType="separate"/>
      </w:r>
      <w:r>
        <w:rPr>
          <w:rFonts w:ascii="Arial" w:hAnsi="Arial" w:cs="Arial"/>
          <w:noProof/>
          <w:sz w:val="20"/>
          <w:szCs w:val="20"/>
        </w:rPr>
        <w:t>«Juzgado_Principal_Población»</w:t>
      </w:r>
      <w:r>
        <w:rPr>
          <w:rFonts w:ascii="Arial" w:hAnsi="Arial" w:cs="Arial"/>
          <w:sz w:val="20"/>
          <w:szCs w:val="20"/>
        </w:rPr>
        <w:fldChar w:fldCharType="end"/>
      </w:r>
      <w:r w:rsidR="00A85592" w:rsidRPr="00554476">
        <w:rPr>
          <w:rFonts w:ascii="Arial" w:hAnsi="Arial" w:cs="Arial"/>
          <w:sz w:val="20"/>
          <w:szCs w:val="20"/>
        </w:rPr>
        <w:t xml:space="preserve">, a </w:t>
      </w:r>
      <w:r>
        <w:rPr>
          <w:rFonts w:ascii="Arial" w:hAnsi="Arial" w:cs="Arial"/>
          <w:sz w:val="20"/>
          <w:szCs w:val="20"/>
        </w:rPr>
        <w:fldChar w:fldCharType="begin"/>
      </w:r>
      <w:r>
        <w:rPr>
          <w:rFonts w:ascii="Arial" w:hAnsi="Arial" w:cs="Arial"/>
          <w:sz w:val="20"/>
          <w:szCs w:val="20"/>
        </w:rPr>
        <w:instrText>director_fechaimpresionlarga</w:instrText>
      </w:r>
      <w:r>
        <w:rPr>
          <w:rFonts w:ascii="Arial" w:hAnsi="Arial" w:cs="Arial"/>
          <w:sz w:val="20"/>
          <w:szCs w:val="20"/>
        </w:rPr>
        <w:fldChar w:fldCharType="separate"/>
      </w:r>
      <w:r>
        <w:rPr>
          <w:rFonts w:ascii="Arial" w:hAnsi="Arial" w:cs="Arial"/>
          <w:noProof/>
          <w:sz w:val="20"/>
          <w:szCs w:val="20"/>
        </w:rPr>
        <w:t>«Fecha_Impresión_Fecha_Impresión_Larga»</w:t>
      </w:r>
      <w:r>
        <w:rPr>
          <w:rFonts w:ascii="Arial" w:hAnsi="Arial" w:cs="Arial"/>
          <w:sz w:val="20"/>
          <w:szCs w:val="20"/>
        </w:rPr>
        <w:fldChar w:fldCharType="end"/>
      </w:r>
      <w:r w:rsidR="000A5A5A" w:rsidRPr="00554476">
        <w:rPr>
          <w:rFonts w:ascii="Arial" w:hAnsi="Arial" w:cs="Arial"/>
          <w:sz w:val="20"/>
          <w:szCs w:val="20"/>
        </w:rPr>
        <w:t>.</w:t>
      </w:r>
    </w:p>
    <w:p w14:paraId="5F7D5C34" w14:textId="77777777" w:rsidR="00A85592" w:rsidRPr="00554476" w:rsidRDefault="00A85592" w:rsidP="00554476">
      <w:pPr>
        <w:spacing w:after="0" w:line="360" w:lineRule="auto"/>
        <w:ind w:right="140"/>
        <w:rPr>
          <w:rFonts w:ascii="Arial" w:hAnsi="Arial" w:cs="Arial"/>
          <w:sz w:val="20"/>
          <w:szCs w:val="20"/>
        </w:rPr>
      </w:pPr>
    </w:p>
    <w:p w14:paraId="67471287" w14:textId="77777777" w:rsidR="00A85592" w:rsidRPr="00554476" w:rsidRDefault="00A85592" w:rsidP="00554476">
      <w:pPr>
        <w:spacing w:after="0" w:line="360" w:lineRule="auto"/>
        <w:ind w:right="140"/>
        <w:rPr>
          <w:rFonts w:ascii="Arial" w:hAnsi="Arial" w:cs="Arial"/>
          <w:sz w:val="20"/>
          <w:szCs w:val="20"/>
        </w:rPr>
      </w:pPr>
    </w:p>
    <w:p w14:paraId="2C9EA481" w14:textId="77777777" w:rsidR="00A85592" w:rsidRPr="00554476" w:rsidRDefault="00A85592" w:rsidP="00554476">
      <w:pPr>
        <w:spacing w:after="0" w:line="360" w:lineRule="auto"/>
        <w:ind w:right="140"/>
        <w:rPr>
          <w:rFonts w:ascii="Arial" w:hAnsi="Arial" w:cs="Arial"/>
          <w:sz w:val="20"/>
          <w:szCs w:val="20"/>
        </w:rPr>
      </w:pPr>
    </w:p>
    <w:tbl>
      <w:tblPr>
        <w:tblW w:w="0" w:type="auto"/>
        <w:tblInd w:w="-567" w:type="dxa"/>
        <w:tblLook w:val="04A0" w:firstRow="1" w:lastRow="0" w:firstColumn="1" w:lastColumn="0" w:noHBand="0" w:noVBand="1"/>
      </w:tblPr>
      <w:tblGrid>
        <w:gridCol w:w="3747"/>
        <w:gridCol w:w="1259"/>
        <w:gridCol w:w="4065"/>
      </w:tblGrid>
      <w:tr w:rsidR="00122EF0" w:rsidRPr="00554476" w14:paraId="11A4B366" w14:textId="77777777" w:rsidTr="0037285A">
        <w:tc>
          <w:tcPr>
            <w:tcW w:w="3747" w:type="dxa"/>
            <w:shd w:val="clear" w:color="auto" w:fill="auto"/>
          </w:tcPr>
          <w:tbl>
            <w:tblPr>
              <w:tblW w:w="0" w:type="auto"/>
              <w:tblLook w:val="04A0" w:firstRow="1" w:lastRow="0" w:firstColumn="1" w:lastColumn="0" w:noHBand="0" w:noVBand="1"/>
            </w:tblPr>
            <w:tblGrid>
              <w:gridCol w:w="3531"/>
            </w:tblGrid>
            <w:tr w:rsidR="00122EF0" w:rsidRPr="00554476" w14:paraId="25086539" w14:textId="77777777" w:rsidTr="00AD7BFB">
              <w:tc>
                <w:tcPr>
                  <w:tcW w:w="3794" w:type="dxa"/>
                  <w:shd w:val="clear" w:color="auto" w:fill="auto"/>
                </w:tcPr>
                <w:p w14:paraId="480A8803" w14:textId="6CCAADB4" w:rsidR="002934E4" w:rsidRDefault="002934E4" w:rsidP="00554476">
                  <w:pPr>
                    <w:spacing w:after="0" w:line="360" w:lineRule="auto"/>
                    <w:jc w:val="center"/>
                    <w:rPr>
                      <w:rFonts w:ascii="Arial" w:hAnsi="Arial" w:cs="Arial"/>
                      <w:b/>
                      <w:sz w:val="20"/>
                      <w:szCs w:val="20"/>
                    </w:rPr>
                  </w:pPr>
                  <w:r>
                    <w:rPr>
                      <w:rFonts w:ascii="Arial" w:hAnsi="Arial" w:cs="Arial"/>
                      <w:b/>
                      <w:sz w:val="20"/>
                      <w:szCs w:val="20"/>
                    </w:rPr>
                    <w:t>Lucía Martínez Lavara</w:t>
                  </w:r>
                </w:p>
                <w:p w14:paraId="3CEB2C1F" w14:textId="387E5A4B" w:rsidR="003F1B5F" w:rsidRPr="00554476" w:rsidRDefault="003F1B5F" w:rsidP="00554476">
                  <w:pPr>
                    <w:spacing w:after="0" w:line="360" w:lineRule="auto"/>
                    <w:jc w:val="center"/>
                    <w:rPr>
                      <w:rFonts w:ascii="Arial" w:hAnsi="Arial" w:cs="Arial"/>
                      <w:sz w:val="20"/>
                      <w:szCs w:val="20"/>
                    </w:rPr>
                  </w:pPr>
                  <w:r w:rsidRPr="00554476">
                    <w:rPr>
                      <w:rFonts w:ascii="Arial" w:hAnsi="Arial" w:cs="Arial"/>
                      <w:sz w:val="20"/>
                      <w:szCs w:val="20"/>
                    </w:rPr>
                    <w:t>L</w:t>
                  </w:r>
                  <w:r w:rsidR="002934E4">
                    <w:rPr>
                      <w:rFonts w:ascii="Arial" w:hAnsi="Arial" w:cs="Arial"/>
                      <w:sz w:val="20"/>
                      <w:szCs w:val="20"/>
                    </w:rPr>
                    <w:t>etrada</w:t>
                  </w:r>
                </w:p>
              </w:tc>
            </w:tr>
          </w:tbl>
          <w:p w14:paraId="4E200BE1" w14:textId="77777777" w:rsidR="0037285A" w:rsidRPr="00554476" w:rsidRDefault="0037285A" w:rsidP="00554476">
            <w:pPr>
              <w:spacing w:after="0" w:line="360" w:lineRule="auto"/>
              <w:jc w:val="center"/>
              <w:rPr>
                <w:rFonts w:ascii="Arial" w:hAnsi="Arial" w:cs="Arial"/>
                <w:sz w:val="20"/>
                <w:szCs w:val="20"/>
              </w:rPr>
            </w:pPr>
          </w:p>
        </w:tc>
        <w:tc>
          <w:tcPr>
            <w:tcW w:w="1259" w:type="dxa"/>
            <w:shd w:val="clear" w:color="auto" w:fill="auto"/>
          </w:tcPr>
          <w:p w14:paraId="3E749E37" w14:textId="77777777" w:rsidR="0037285A" w:rsidRPr="00554476" w:rsidRDefault="0037285A" w:rsidP="00554476">
            <w:pPr>
              <w:spacing w:after="0" w:line="360" w:lineRule="auto"/>
              <w:jc w:val="center"/>
              <w:rPr>
                <w:rFonts w:ascii="Arial" w:hAnsi="Arial" w:cs="Arial"/>
                <w:sz w:val="20"/>
                <w:szCs w:val="20"/>
              </w:rPr>
            </w:pPr>
          </w:p>
        </w:tc>
        <w:tc>
          <w:tcPr>
            <w:tcW w:w="4065" w:type="dxa"/>
            <w:shd w:val="clear" w:color="auto" w:fill="auto"/>
          </w:tcPr>
          <w:p w14:paraId="1AE677E7" w14:textId="69FDB56C" w:rsidR="0037285A" w:rsidRPr="00554476" w:rsidRDefault="0087367C" w:rsidP="00554476">
            <w:pPr>
              <w:spacing w:after="0" w:line="360" w:lineRule="auto"/>
              <w:jc w:val="center"/>
              <w:rPr>
                <w:rFonts w:ascii="Arial" w:hAnsi="Arial" w:cs="Arial"/>
                <w:b/>
                <w:sz w:val="20"/>
                <w:szCs w:val="20"/>
              </w:rPr>
            </w:pPr>
            <w:r w:rsidRPr="00554476">
              <w:rPr>
                <w:rFonts w:ascii="Arial" w:hAnsi="Arial" w:cs="Arial"/>
                <w:b/>
                <w:sz w:val="20"/>
                <w:szCs w:val="20"/>
              </w:rPr>
              <w:t xml:space="preserve">Gemma </w:t>
            </w:r>
            <w:proofErr w:type="spellStart"/>
            <w:r w:rsidRPr="00554476">
              <w:rPr>
                <w:rFonts w:ascii="Arial" w:hAnsi="Arial" w:cs="Arial"/>
                <w:b/>
                <w:sz w:val="20"/>
                <w:szCs w:val="20"/>
              </w:rPr>
              <w:t>Donderis</w:t>
            </w:r>
            <w:proofErr w:type="spellEnd"/>
            <w:r w:rsidRPr="00554476">
              <w:rPr>
                <w:rFonts w:ascii="Arial" w:hAnsi="Arial" w:cs="Arial"/>
                <w:b/>
                <w:sz w:val="20"/>
                <w:szCs w:val="20"/>
              </w:rPr>
              <w:t xml:space="preserve"> de Salazar</w:t>
            </w:r>
          </w:p>
          <w:p w14:paraId="16929D2E" w14:textId="77777777" w:rsidR="0037285A" w:rsidRPr="00554476" w:rsidRDefault="0037285A" w:rsidP="00554476">
            <w:pPr>
              <w:spacing w:after="0" w:line="360" w:lineRule="auto"/>
              <w:jc w:val="center"/>
              <w:rPr>
                <w:rFonts w:ascii="Arial" w:hAnsi="Arial" w:cs="Arial"/>
                <w:sz w:val="20"/>
                <w:szCs w:val="20"/>
              </w:rPr>
            </w:pPr>
            <w:r w:rsidRPr="00554476">
              <w:rPr>
                <w:rFonts w:ascii="Arial" w:hAnsi="Arial" w:cs="Arial"/>
                <w:sz w:val="20"/>
                <w:szCs w:val="20"/>
              </w:rPr>
              <w:t>Procuradora</w:t>
            </w:r>
          </w:p>
        </w:tc>
      </w:tr>
    </w:tbl>
    <w:p w14:paraId="768300AE" w14:textId="77777777" w:rsidR="009101F6" w:rsidRPr="00554476" w:rsidRDefault="009101F6" w:rsidP="00554476">
      <w:pPr>
        <w:spacing w:after="0" w:line="360" w:lineRule="auto"/>
        <w:jc w:val="both"/>
        <w:rPr>
          <w:rFonts w:ascii="Arial" w:hAnsi="Arial" w:cs="Arial"/>
          <w:sz w:val="20"/>
          <w:szCs w:val="20"/>
        </w:rPr>
      </w:pPr>
    </w:p>
    <w:sectPr w:rsidR="009101F6" w:rsidRPr="00554476" w:rsidSect="00336CB4">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85F0DF" w14:textId="77777777" w:rsidR="00336CB4" w:rsidRDefault="00336CB4">
      <w:pPr>
        <w:spacing w:after="0" w:line="240" w:lineRule="auto"/>
      </w:pPr>
      <w:r>
        <w:separator/>
      </w:r>
    </w:p>
  </w:endnote>
  <w:endnote w:type="continuationSeparator" w:id="0">
    <w:p w14:paraId="3B90E45C" w14:textId="77777777" w:rsidR="00336CB4" w:rsidRDefault="0033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nkinter">
    <w:altName w:val="Calibri"/>
    <w:charset w:val="00"/>
    <w:family w:val="auto"/>
    <w:pitch w:val="variable"/>
    <w:sig w:usb0="800000AF" w:usb1="1000204B"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jaVu Sans">
    <w:altName w:val="Times New Roman"/>
    <w:charset w:val="00"/>
    <w:family w:val="swiss"/>
    <w:pitch w:val="variable"/>
    <w:sig w:usb0="E7002EFF" w:usb1="D200FDFF" w:usb2="0A246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LiberationSans-Italic">
    <w:altName w:val="MS Gothic"/>
    <w:panose1 w:val="00000000000000000000"/>
    <w:charset w:val="80"/>
    <w:family w:val="auto"/>
    <w:notTrueType/>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DejaVuSan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rPr>
      <w:id w:val="174654345"/>
      <w:docPartObj>
        <w:docPartGallery w:val="Page Numbers (Bottom of Page)"/>
        <w:docPartUnique/>
      </w:docPartObj>
    </w:sdtPr>
    <w:sdtEndPr>
      <w:rPr>
        <w:rFonts w:ascii="Times New Roman" w:hAnsi="Times New Roman" w:cs="Times New Roman"/>
      </w:rPr>
    </w:sdtEndPr>
    <w:sdtContent>
      <w:p w14:paraId="55BC5E1E" w14:textId="1B9EB7D9" w:rsidR="004364A0" w:rsidRPr="00A30D65" w:rsidRDefault="004364A0">
        <w:pPr>
          <w:pStyle w:val="Piedepgina"/>
          <w:jc w:val="center"/>
          <w:rPr>
            <w:rFonts w:ascii="Times New Roman" w:hAnsi="Times New Roman" w:cs="Times New Roman"/>
            <w:sz w:val="14"/>
            <w:szCs w:val="20"/>
          </w:rPr>
        </w:pPr>
        <w:r w:rsidRPr="00A30D65">
          <w:rPr>
            <w:rFonts w:ascii="Times New Roman" w:hAnsi="Times New Roman" w:cs="Times New Roman"/>
            <w:sz w:val="16"/>
          </w:rPr>
          <w:fldChar w:fldCharType="begin"/>
        </w:r>
        <w:r w:rsidRPr="00A30D65">
          <w:rPr>
            <w:rFonts w:ascii="Times New Roman" w:hAnsi="Times New Roman" w:cs="Times New Roman"/>
            <w:sz w:val="16"/>
          </w:rPr>
          <w:instrText xml:space="preserve"> PAGE   \* MERGEFORMAT </w:instrText>
        </w:r>
        <w:r w:rsidRPr="00A30D65">
          <w:rPr>
            <w:rFonts w:ascii="Times New Roman" w:hAnsi="Times New Roman" w:cs="Times New Roman"/>
            <w:sz w:val="16"/>
          </w:rPr>
          <w:fldChar w:fldCharType="separate"/>
        </w:r>
        <w:r w:rsidR="00441ECA" w:rsidRPr="00441ECA">
          <w:rPr>
            <w:noProof/>
            <w:sz w:val="16"/>
          </w:rPr>
          <w:t>108</w:t>
        </w:r>
        <w:r w:rsidRPr="00A30D65">
          <w:rPr>
            <w:rFonts w:ascii="Times New Roman" w:hAnsi="Times New Roman" w:cs="Times New Roman"/>
            <w:sz w:val="16"/>
          </w:rPr>
          <w:fldChar w:fldCharType="end"/>
        </w:r>
      </w:p>
    </w:sdtContent>
  </w:sdt>
  <w:p w14:paraId="367388B4" w14:textId="77777777" w:rsidR="004364A0" w:rsidRDefault="004364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36EB6" w14:textId="77777777" w:rsidR="00336CB4" w:rsidRDefault="00336CB4">
      <w:pPr>
        <w:spacing w:after="0" w:line="240" w:lineRule="auto"/>
      </w:pPr>
      <w:r>
        <w:separator/>
      </w:r>
    </w:p>
  </w:footnote>
  <w:footnote w:type="continuationSeparator" w:id="0">
    <w:p w14:paraId="306DE73C" w14:textId="77777777" w:rsidR="00336CB4" w:rsidRDefault="00336CB4">
      <w:pPr>
        <w:spacing w:after="0" w:line="240" w:lineRule="auto"/>
      </w:pPr>
      <w:r>
        <w:continuationSeparator/>
      </w:r>
    </w:p>
  </w:footnote>
  <w:footnote w:id="1">
    <w:p w14:paraId="11CCE705" w14:textId="77777777" w:rsidR="004364A0" w:rsidRPr="00BE758C" w:rsidRDefault="004364A0" w:rsidP="00177619">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2">
    <w:p w14:paraId="7CC77511" w14:textId="77777777" w:rsidR="004364A0" w:rsidRPr="00BE758C" w:rsidRDefault="004364A0" w:rsidP="00177619">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
    <w:p w14:paraId="0AE30D9B" w14:textId="77777777" w:rsidR="004364A0" w:rsidRPr="00BE758C" w:rsidRDefault="004364A0" w:rsidP="00177619">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4">
    <w:p w14:paraId="438DB3AC" w14:textId="77777777" w:rsidR="004364A0" w:rsidRPr="00BE758C" w:rsidRDefault="004364A0" w:rsidP="00177619">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5">
    <w:p w14:paraId="2E32A873" w14:textId="77777777" w:rsidR="004364A0" w:rsidRPr="00BE758C" w:rsidRDefault="004364A0" w:rsidP="00177619">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84.</w:t>
      </w:r>
    </w:p>
  </w:footnote>
  <w:footnote w:id="6">
    <w:p w14:paraId="68750AE2" w14:textId="77777777" w:rsidR="004364A0" w:rsidRPr="00BE758C" w:rsidRDefault="004364A0" w:rsidP="00177619">
      <w:pPr>
        <w:jc w:val="both"/>
        <w:rPr>
          <w:rFonts w:ascii="Arial" w:hAnsi="Arial" w:cs="Arial"/>
          <w:color w:val="000000"/>
          <w:sz w:val="14"/>
          <w:szCs w:val="20"/>
        </w:rPr>
      </w:pPr>
      <w:r w:rsidRPr="00BE758C">
        <w:rPr>
          <w:rStyle w:val="Refdenotaalpie"/>
          <w:rFonts w:cs="Arial"/>
          <w:sz w:val="14"/>
          <w:szCs w:val="20"/>
        </w:rPr>
        <w:footnoteRef/>
      </w:r>
      <w:r w:rsidRPr="00BE758C">
        <w:rPr>
          <w:rFonts w:ascii="Arial" w:hAnsi="Arial" w:cs="Arial"/>
          <w:sz w:val="14"/>
          <w:szCs w:val="20"/>
          <w:lang w:val="es-ES_tradnl"/>
        </w:rPr>
        <w:t xml:space="preserve"> </w:t>
      </w:r>
      <w:r w:rsidRPr="00BE758C">
        <w:rPr>
          <w:rFonts w:ascii="Arial" w:hAnsi="Arial" w:cs="Arial"/>
          <w:sz w:val="14"/>
          <w:szCs w:val="20"/>
        </w:rPr>
        <w:t xml:space="preserve">Sentencia del TJUE de 10 de junio de 2021, </w:t>
      </w:r>
      <w:r w:rsidRPr="00BE758C">
        <w:rPr>
          <w:rFonts w:ascii="Arial" w:hAnsi="Arial" w:cs="Arial"/>
          <w:i/>
          <w:sz w:val="14"/>
          <w:szCs w:val="20"/>
        </w:rPr>
        <w:t>BNP Paribas</w:t>
      </w:r>
      <w:r w:rsidRPr="00BE758C">
        <w:rPr>
          <w:rFonts w:ascii="Arial" w:hAnsi="Arial" w:cs="Arial"/>
          <w:sz w:val="14"/>
          <w:szCs w:val="20"/>
        </w:rPr>
        <w:t xml:space="preserve">, asuntos C-776/19 y C-782/19, ECLI:EU:C:2021:470, apartado 34: </w:t>
      </w:r>
      <w:r w:rsidRPr="00BE758C">
        <w:rPr>
          <w:rFonts w:ascii="Arial" w:hAnsi="Arial" w:cs="Arial"/>
          <w:color w:val="000000"/>
          <w:sz w:val="14"/>
          <w:szCs w:val="20"/>
        </w:rPr>
        <w:t>“</w:t>
      </w:r>
      <w:r w:rsidRPr="00BE758C">
        <w:rPr>
          <w:rFonts w:ascii="Arial" w:hAnsi="Arial" w:cs="Arial"/>
          <w:i/>
          <w:iCs/>
          <w:color w:val="000000"/>
          <w:sz w:val="14"/>
          <w:szCs w:val="20"/>
        </w:rPr>
        <w:t xml:space="preserve">34. En el caso de autos, la petición de decisión prejudicial se refiere a </w:t>
      </w:r>
      <w:r w:rsidRPr="00BE758C">
        <w:rPr>
          <w:rFonts w:ascii="Arial" w:hAnsi="Arial" w:cs="Arial"/>
          <w:b/>
          <w:bCs/>
          <w:i/>
          <w:iCs/>
          <w:color w:val="000000"/>
          <w:sz w:val="14"/>
          <w:szCs w:val="20"/>
          <w:u w:val="single"/>
        </w:rPr>
        <w:t>dos situaciones distintas</w:t>
      </w:r>
      <w:r w:rsidRPr="00BE758C">
        <w:rPr>
          <w:rFonts w:ascii="Arial" w:hAnsi="Arial" w:cs="Arial"/>
          <w:b/>
          <w:bCs/>
          <w:i/>
          <w:iCs/>
          <w:color w:val="000000"/>
          <w:sz w:val="14"/>
          <w:szCs w:val="20"/>
        </w:rPr>
        <w:t>,</w:t>
      </w:r>
      <w:r w:rsidRPr="00BE758C">
        <w:rPr>
          <w:rFonts w:ascii="Arial" w:hAnsi="Arial" w:cs="Arial"/>
          <w:i/>
          <w:iCs/>
          <w:color w:val="000000"/>
          <w:sz w:val="14"/>
          <w:szCs w:val="20"/>
        </w:rPr>
        <w:t xml:space="preserve"> a saber, por un lado, la oposición de un plazo de prescripción </w:t>
      </w:r>
      <w:r w:rsidRPr="00BE758C">
        <w:rPr>
          <w:rFonts w:ascii="Arial" w:hAnsi="Arial" w:cs="Arial"/>
          <w:i/>
          <w:iCs/>
          <w:color w:val="000000"/>
          <w:sz w:val="14"/>
          <w:szCs w:val="20"/>
          <w:u w:val="single"/>
        </w:rPr>
        <w:t>a una acción ejercitada por un consumidor para que se declare el carácter abusivo de una cláusula</w:t>
      </w:r>
      <w:r w:rsidRPr="00BE758C">
        <w:rPr>
          <w:rFonts w:ascii="Arial" w:hAnsi="Arial" w:cs="Arial"/>
          <w:color w:val="000000"/>
          <w:sz w:val="14"/>
          <w:szCs w:val="20"/>
        </w:rPr>
        <w:t xml:space="preserve"> </w:t>
      </w:r>
      <w:r w:rsidRPr="00BE758C">
        <w:rPr>
          <w:rFonts w:ascii="Arial" w:hAnsi="Arial" w:cs="Arial"/>
          <w:i/>
          <w:iCs/>
          <w:color w:val="000000"/>
          <w:sz w:val="14"/>
          <w:szCs w:val="20"/>
        </w:rPr>
        <w:t xml:space="preserve">incluida en un contrato celebrado entre un profesiones y un consumidor y, por otro lado, la oposición de tal plazo a </w:t>
      </w:r>
      <w:r w:rsidRPr="00BE758C">
        <w:rPr>
          <w:rFonts w:ascii="Arial" w:hAnsi="Arial" w:cs="Arial"/>
          <w:i/>
          <w:iCs/>
          <w:color w:val="000000"/>
          <w:sz w:val="14"/>
          <w:szCs w:val="20"/>
          <w:u w:val="single"/>
        </w:rPr>
        <w:t>una acción ejercitada por dicho consumidor para obtener la devolución de cantidades</w:t>
      </w:r>
      <w:r w:rsidRPr="00BE758C">
        <w:rPr>
          <w:rFonts w:ascii="Arial" w:hAnsi="Arial" w:cs="Arial"/>
          <w:color w:val="000000"/>
          <w:sz w:val="14"/>
          <w:szCs w:val="20"/>
        </w:rPr>
        <w:t xml:space="preserve"> </w:t>
      </w:r>
      <w:r w:rsidRPr="00BE758C">
        <w:rPr>
          <w:rFonts w:ascii="Arial" w:hAnsi="Arial" w:cs="Arial"/>
          <w:i/>
          <w:iCs/>
          <w:color w:val="000000"/>
          <w:sz w:val="14"/>
          <w:szCs w:val="20"/>
        </w:rPr>
        <w:t>indebidamente abonadas, sobre la base de cláusulas abusivas en el sentido de la Directiva 93/13</w:t>
      </w:r>
      <w:r w:rsidRPr="00BE758C">
        <w:rPr>
          <w:rFonts w:ascii="Arial" w:hAnsi="Arial" w:cs="Arial"/>
          <w:color w:val="000000"/>
          <w:sz w:val="14"/>
          <w:szCs w:val="20"/>
        </w:rPr>
        <w:t>”.</w:t>
      </w:r>
    </w:p>
  </w:footnote>
  <w:footnote w:id="7">
    <w:p w14:paraId="6D2F6866" w14:textId="77777777" w:rsidR="004364A0" w:rsidRPr="00BE758C" w:rsidRDefault="004364A0" w:rsidP="00177619">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w:t>
      </w:r>
      <w:r w:rsidRPr="00BE758C">
        <w:rPr>
          <w:rFonts w:ascii="Arial" w:hAnsi="Arial" w:cs="Arial"/>
          <w:color w:val="000000"/>
          <w:sz w:val="14"/>
        </w:rPr>
        <w:t xml:space="preserve">Concretamente, el artículo 12, apartado 2, párrafo segundo de la </w:t>
      </w:r>
      <w:r w:rsidRPr="00BE758C">
        <w:rPr>
          <w:rFonts w:ascii="Arial" w:hAnsi="Arial" w:cs="Arial"/>
          <w:sz w:val="14"/>
        </w:rPr>
        <w:t>Ley 7/1998, de 13 de abril, sobre condiciones generales de la contratación (BOE núm. 89, de 14/04/1998)</w:t>
      </w:r>
      <w:r w:rsidRPr="00BE758C">
        <w:rPr>
          <w:rFonts w:ascii="Arial" w:hAnsi="Arial" w:cs="Arial"/>
          <w:color w:val="000000"/>
          <w:sz w:val="14"/>
        </w:rPr>
        <w:t xml:space="preserve"> (“</w:t>
      </w:r>
      <w:r w:rsidRPr="00BE758C">
        <w:rPr>
          <w:rFonts w:ascii="Arial" w:hAnsi="Arial" w:cs="Arial"/>
          <w:b/>
          <w:color w:val="000000"/>
          <w:sz w:val="14"/>
        </w:rPr>
        <w:t>LCGC</w:t>
      </w:r>
      <w:r w:rsidRPr="00BE758C">
        <w:rPr>
          <w:rFonts w:ascii="Arial" w:hAnsi="Arial" w:cs="Arial"/>
          <w:color w:val="000000"/>
          <w:sz w:val="14"/>
        </w:rPr>
        <w:t>”) establece que “</w:t>
      </w:r>
      <w:r w:rsidRPr="00BE758C">
        <w:rPr>
          <w:rFonts w:ascii="Arial" w:hAnsi="Arial" w:cs="Arial"/>
          <w:i/>
          <w:color w:val="000000"/>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8">
    <w:p w14:paraId="4EC50B43" w14:textId="77777777" w:rsidR="004364A0" w:rsidRPr="006C15D1" w:rsidRDefault="004364A0" w:rsidP="00177619">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rec. núm. 265/2020, ES:APB:2020:7927 y núm. 2548/2020, de 1 de diciembre de 2020, rec. núm. 423/2020, Fundamentos de Derecho Segundo, apartados 8 y 11.</w:t>
      </w:r>
      <w:r w:rsidRPr="00BE758C">
        <w:rPr>
          <w:sz w:val="14"/>
        </w:rPr>
        <w:t xml:space="preserve"> </w:t>
      </w:r>
    </w:p>
  </w:footnote>
  <w:footnote w:id="9">
    <w:p w14:paraId="784DED11" w14:textId="77777777" w:rsidR="004364A0" w:rsidRPr="00BE758C" w:rsidRDefault="004364A0" w:rsidP="00177619">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rec. núm. 265/2020, ES:APB:2020:7927, Fundamento de Derecho Segundo, apartado 11.</w:t>
      </w:r>
    </w:p>
  </w:footnote>
  <w:footnote w:id="10">
    <w:p w14:paraId="608C9C4F" w14:textId="77777777" w:rsidR="004364A0" w:rsidRPr="00BE758C" w:rsidRDefault="004364A0" w:rsidP="00177619">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Sentencia de la Audiencia Provincial de Murcia (Sección 4ª), núm. 311/2020, de 2 de abril de 2020, rec. núm. 1844/2019, ES:APMU:2020:740, Fundamento de Derecho Tercero, apartado ii).</w:t>
      </w:r>
    </w:p>
  </w:footnote>
  <w:footnote w:id="11">
    <w:p w14:paraId="0D557BB6" w14:textId="77777777" w:rsidR="004364A0" w:rsidRPr="000B02B6" w:rsidRDefault="004364A0" w:rsidP="00177619">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12">
    <w:p w14:paraId="2377B602" w14:textId="77777777" w:rsidR="004364A0" w:rsidRPr="00BE758C" w:rsidRDefault="004364A0" w:rsidP="00177619">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apartados 38 y 48.</w:t>
      </w:r>
    </w:p>
  </w:footnote>
  <w:footnote w:id="13">
    <w:p w14:paraId="428E29BE" w14:textId="77777777" w:rsidR="004364A0" w:rsidRPr="00BE758C" w:rsidRDefault="004364A0" w:rsidP="00177619">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r w:rsidRPr="00BE758C">
        <w:rPr>
          <w:rFonts w:ascii="Arial" w:hAnsi="Arial" w:cs="Arial"/>
          <w:i/>
          <w:sz w:val="14"/>
        </w:rPr>
        <w:t>Baczó y Vizsnyiczai</w:t>
      </w:r>
      <w:r w:rsidRPr="00BE758C">
        <w:rPr>
          <w:rFonts w:ascii="Arial" w:hAnsi="Arial" w:cs="Arial"/>
          <w:sz w:val="14"/>
        </w:rPr>
        <w:t>, C-567/13, EU:C:2015:88, apartados 42 a 47.</w:t>
      </w:r>
    </w:p>
  </w:footnote>
  <w:footnote w:id="14">
    <w:p w14:paraId="62E42EA5" w14:textId="77777777" w:rsidR="004364A0" w:rsidRPr="00BE758C" w:rsidRDefault="004364A0" w:rsidP="00177619">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15">
    <w:p w14:paraId="66DE5ADD" w14:textId="77777777" w:rsidR="004364A0" w:rsidRPr="000B02B6" w:rsidRDefault="004364A0" w:rsidP="00177619">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xml:space="preserve">, asuntos C-224/19 y C-259/19, EU:C:2020:578, apartado 92. En idéntico sentido, STJUE de 9 de julio de 2020, </w:t>
      </w:r>
      <w:r w:rsidRPr="00BE758C">
        <w:rPr>
          <w:rFonts w:ascii="Arial" w:hAnsi="Arial" w:cs="Arial"/>
          <w:i/>
          <w:iCs/>
          <w:sz w:val="14"/>
        </w:rPr>
        <w:t>Raiffeisen Bank y BRD Groupe Société Générale</w:t>
      </w:r>
      <w:r w:rsidRPr="00BE758C">
        <w:rPr>
          <w:rFonts w:ascii="Arial" w:hAnsi="Arial" w:cs="Arial"/>
          <w:sz w:val="14"/>
        </w:rPr>
        <w:t xml:space="preserve"> -C698/18 y C-699/18, EU:C:2020:537, apartado 58.</w:t>
      </w:r>
    </w:p>
  </w:footnote>
  <w:footnote w:id="16">
    <w:p w14:paraId="7B50B1D7" w14:textId="77777777" w:rsidR="004364A0" w:rsidRPr="00BE758C" w:rsidRDefault="004364A0" w:rsidP="00177619">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 40.</w:t>
      </w:r>
    </w:p>
  </w:footnote>
  <w:footnote w:id="17">
    <w:p w14:paraId="61C371F9" w14:textId="77777777" w:rsidR="004364A0" w:rsidRPr="00BE758C" w:rsidRDefault="004364A0" w:rsidP="00177619">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r w:rsidRPr="00BE758C">
        <w:rPr>
          <w:rFonts w:ascii="Arial" w:hAnsi="Arial" w:cs="Arial"/>
          <w:i/>
          <w:sz w:val="14"/>
        </w:rPr>
        <w:t>Raiffeisen Bank</w:t>
      </w:r>
      <w:r w:rsidRPr="00BE758C">
        <w:rPr>
          <w:rFonts w:ascii="Arial" w:hAnsi="Arial" w:cs="Arial"/>
          <w:sz w:val="14"/>
        </w:rPr>
        <w:t xml:space="preserve">, C-698/18 y C-699/18, EU:C:2020:537, apartado 57 y de 16 de julio de 2020, </w:t>
      </w:r>
      <w:r w:rsidRPr="00BE758C">
        <w:rPr>
          <w:rFonts w:ascii="Arial" w:hAnsi="Arial" w:cs="Arial"/>
          <w:i/>
          <w:sz w:val="14"/>
        </w:rPr>
        <w:t>Caixabank</w:t>
      </w:r>
      <w:r w:rsidRPr="00BE758C">
        <w:rPr>
          <w:rFonts w:ascii="Arial" w:hAnsi="Arial" w:cs="Arial"/>
          <w:sz w:val="14"/>
        </w:rPr>
        <w:t>, C-224/19 y C-259/19, EU:C:2020:578, apartados 83 a 85.</w:t>
      </w:r>
    </w:p>
  </w:footnote>
  <w:footnote w:id="18">
    <w:p w14:paraId="21F85AD0" w14:textId="77777777" w:rsidR="004364A0" w:rsidRPr="00BE758C" w:rsidRDefault="004364A0" w:rsidP="00177619">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87.</w:t>
      </w:r>
    </w:p>
  </w:footnote>
  <w:footnote w:id="19">
    <w:p w14:paraId="4FC0B2FB" w14:textId="77777777" w:rsidR="004364A0" w:rsidRPr="00BE758C" w:rsidRDefault="004364A0" w:rsidP="00177619">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rec. núm. 180/2018, ES:TS:2020:2508, Fundamento de Derecho Segundo, apartado 5.</w:t>
      </w:r>
    </w:p>
  </w:footnote>
  <w:footnote w:id="20">
    <w:p w14:paraId="2E9F23B9" w14:textId="77777777" w:rsidR="004364A0" w:rsidRPr="00BE758C" w:rsidRDefault="004364A0" w:rsidP="00177619">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 40.</w:t>
      </w:r>
    </w:p>
  </w:footnote>
  <w:footnote w:id="21">
    <w:p w14:paraId="2A2A3033" w14:textId="77777777" w:rsidR="004364A0" w:rsidRPr="003D3B51" w:rsidRDefault="004364A0" w:rsidP="00177619">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87.</w:t>
      </w:r>
    </w:p>
  </w:footnote>
  <w:footnote w:id="22">
    <w:p w14:paraId="09635832" w14:textId="77777777" w:rsidR="004364A0" w:rsidRPr="003D3B51" w:rsidRDefault="004364A0" w:rsidP="00177619">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C-224/19 y C-259/19, EU:C:2020:578, apartados 90 y 91.</w:t>
      </w:r>
    </w:p>
  </w:footnote>
  <w:footnote w:id="23">
    <w:p w14:paraId="433B2764" w14:textId="77777777" w:rsidR="004364A0" w:rsidRPr="00D94AA2" w:rsidRDefault="004364A0" w:rsidP="00177619">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Montecorvo,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Dyckinson, Madrid, 2002.</w:t>
      </w:r>
    </w:p>
  </w:footnote>
  <w:footnote w:id="24">
    <w:p w14:paraId="581739EE" w14:textId="77777777" w:rsidR="004364A0" w:rsidRPr="00D94AA2" w:rsidRDefault="004364A0" w:rsidP="00177619">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rec. núm. 265/2020, ES:APB:2020:7927, Fundamento de Derecho Tercero, apartado 28.</w:t>
      </w:r>
    </w:p>
  </w:footnote>
  <w:footnote w:id="25">
    <w:p w14:paraId="0E1637BB" w14:textId="77777777" w:rsidR="004364A0" w:rsidRPr="00D94AA2" w:rsidRDefault="004364A0" w:rsidP="00177619">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nº 911/2021, de 13 de mayo 2021 en referencia a la SAP Valencia (Secc. 9ª), de 1 de febrero de 2018 (JUR 2018, 131835).</w:t>
      </w:r>
    </w:p>
  </w:footnote>
  <w:footnote w:id="26">
    <w:p w14:paraId="0564B35D" w14:textId="77777777" w:rsidR="004364A0" w:rsidRPr="003D3B51" w:rsidRDefault="004364A0" w:rsidP="00177619">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27">
    <w:p w14:paraId="0341B3A2" w14:textId="77777777" w:rsidR="004364A0" w:rsidRPr="00D94AA2" w:rsidRDefault="004364A0" w:rsidP="00177619">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1" w:history="1">
        <w:r w:rsidRPr="00D94AA2">
          <w:rPr>
            <w:rStyle w:val="Hipervnculo"/>
            <w:rFonts w:ascii="Arial" w:hAnsi="Arial" w:cs="Arial"/>
            <w:sz w:val="14"/>
            <w:lang w:val="es-ES_tradnl"/>
          </w:rPr>
          <w:t>Anuncio Arriaga Asociados &amp; Iker Casillas - #HagamosloFacil - YouTube</w:t>
        </w:r>
      </w:hyperlink>
    </w:p>
  </w:footnote>
  <w:footnote w:id="28">
    <w:p w14:paraId="0A94EDD9" w14:textId="77777777" w:rsidR="004364A0" w:rsidRPr="003D3B51" w:rsidRDefault="004364A0" w:rsidP="00177619">
      <w:pPr>
        <w:pStyle w:val="Textonotapie"/>
        <w:rPr>
          <w:lang w:val="es-ES_tradnl"/>
        </w:rPr>
      </w:pPr>
      <w:r w:rsidRPr="003D3B51">
        <w:rPr>
          <w:rStyle w:val="Refdenotaalpie"/>
        </w:rPr>
        <w:footnoteRef/>
      </w:r>
      <w:r w:rsidRPr="003D3B51">
        <w:rPr>
          <w:lang w:val="es-ES_tradnl"/>
        </w:rPr>
        <w:t xml:space="preserve"> </w:t>
      </w:r>
      <w:hyperlink r:id="rId2" w:history="1">
        <w:r w:rsidRPr="003D3B51">
          <w:rPr>
            <w:rStyle w:val="Hipervnculo"/>
            <w:lang w:val="es-ES_tradnl"/>
          </w:rPr>
          <w:t>Entrevista de 'Más vale tarde' de La Sexta a ADICAE: gastos hipotecarios y cláusulas suelo - YouTube</w:t>
        </w:r>
      </w:hyperlink>
    </w:p>
  </w:footnote>
  <w:footnote w:id="29">
    <w:p w14:paraId="48BDCF14" w14:textId="77777777" w:rsidR="004364A0" w:rsidRPr="00BE758C" w:rsidRDefault="004364A0" w:rsidP="004364A0">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30">
    <w:p w14:paraId="34BE1F83" w14:textId="77777777" w:rsidR="004364A0" w:rsidRPr="00BE758C" w:rsidRDefault="004364A0" w:rsidP="004364A0">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1">
    <w:p w14:paraId="7CCBB7FB"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32">
    <w:p w14:paraId="2E5E1EC2"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33">
    <w:p w14:paraId="6BCEB4A4" w14:textId="77777777" w:rsidR="004364A0" w:rsidRPr="00BE758C" w:rsidRDefault="004364A0" w:rsidP="004364A0">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84.</w:t>
      </w:r>
    </w:p>
  </w:footnote>
  <w:footnote w:id="34">
    <w:p w14:paraId="73F4F24F" w14:textId="77777777" w:rsidR="004364A0" w:rsidRPr="00BE758C" w:rsidRDefault="004364A0" w:rsidP="004364A0">
      <w:pPr>
        <w:jc w:val="both"/>
        <w:rPr>
          <w:rFonts w:ascii="Arial" w:hAnsi="Arial" w:cs="Arial"/>
          <w:color w:val="000000"/>
          <w:sz w:val="14"/>
          <w:szCs w:val="20"/>
        </w:rPr>
      </w:pPr>
      <w:r w:rsidRPr="00BE758C">
        <w:rPr>
          <w:rStyle w:val="Refdenotaalpie"/>
          <w:rFonts w:cs="Arial"/>
          <w:sz w:val="14"/>
          <w:szCs w:val="20"/>
        </w:rPr>
        <w:footnoteRef/>
      </w:r>
      <w:r w:rsidRPr="00BE758C">
        <w:rPr>
          <w:rFonts w:ascii="Arial" w:hAnsi="Arial" w:cs="Arial"/>
          <w:sz w:val="14"/>
          <w:szCs w:val="20"/>
          <w:lang w:val="es-ES_tradnl"/>
        </w:rPr>
        <w:t xml:space="preserve"> </w:t>
      </w:r>
      <w:r w:rsidRPr="00BE758C">
        <w:rPr>
          <w:rFonts w:ascii="Arial" w:hAnsi="Arial" w:cs="Arial"/>
          <w:sz w:val="14"/>
          <w:szCs w:val="20"/>
        </w:rPr>
        <w:t xml:space="preserve">Sentencia del TJUE de 10 de junio de 2021, </w:t>
      </w:r>
      <w:r w:rsidRPr="00BE758C">
        <w:rPr>
          <w:rFonts w:ascii="Arial" w:hAnsi="Arial" w:cs="Arial"/>
          <w:i/>
          <w:sz w:val="14"/>
          <w:szCs w:val="20"/>
        </w:rPr>
        <w:t>BNP Paribas</w:t>
      </w:r>
      <w:r w:rsidRPr="00BE758C">
        <w:rPr>
          <w:rFonts w:ascii="Arial" w:hAnsi="Arial" w:cs="Arial"/>
          <w:sz w:val="14"/>
          <w:szCs w:val="20"/>
        </w:rPr>
        <w:t xml:space="preserve">, asuntos C-776/19 y C-782/19, ECLI:EU:C:2021:470, apartado 34: </w:t>
      </w:r>
      <w:r w:rsidRPr="00BE758C">
        <w:rPr>
          <w:rFonts w:ascii="Arial" w:hAnsi="Arial" w:cs="Arial"/>
          <w:color w:val="000000"/>
          <w:sz w:val="14"/>
          <w:szCs w:val="20"/>
        </w:rPr>
        <w:t>“</w:t>
      </w:r>
      <w:r w:rsidRPr="00BE758C">
        <w:rPr>
          <w:rFonts w:ascii="Arial" w:hAnsi="Arial" w:cs="Arial"/>
          <w:i/>
          <w:iCs/>
          <w:color w:val="000000"/>
          <w:sz w:val="14"/>
          <w:szCs w:val="20"/>
        </w:rPr>
        <w:t xml:space="preserve">34. En el caso de autos, la petición de decisión prejudicial se refiere a </w:t>
      </w:r>
      <w:r w:rsidRPr="00BE758C">
        <w:rPr>
          <w:rFonts w:ascii="Arial" w:hAnsi="Arial" w:cs="Arial"/>
          <w:b/>
          <w:bCs/>
          <w:i/>
          <w:iCs/>
          <w:color w:val="000000"/>
          <w:sz w:val="14"/>
          <w:szCs w:val="20"/>
          <w:u w:val="single"/>
        </w:rPr>
        <w:t>dos situaciones distintas</w:t>
      </w:r>
      <w:r w:rsidRPr="00BE758C">
        <w:rPr>
          <w:rFonts w:ascii="Arial" w:hAnsi="Arial" w:cs="Arial"/>
          <w:b/>
          <w:bCs/>
          <w:i/>
          <w:iCs/>
          <w:color w:val="000000"/>
          <w:sz w:val="14"/>
          <w:szCs w:val="20"/>
        </w:rPr>
        <w:t>,</w:t>
      </w:r>
      <w:r w:rsidRPr="00BE758C">
        <w:rPr>
          <w:rFonts w:ascii="Arial" w:hAnsi="Arial" w:cs="Arial"/>
          <w:i/>
          <w:iCs/>
          <w:color w:val="000000"/>
          <w:sz w:val="14"/>
          <w:szCs w:val="20"/>
        </w:rPr>
        <w:t xml:space="preserve"> a saber, por un lado, la oposición de un plazo de prescripción </w:t>
      </w:r>
      <w:r w:rsidRPr="00BE758C">
        <w:rPr>
          <w:rFonts w:ascii="Arial" w:hAnsi="Arial" w:cs="Arial"/>
          <w:i/>
          <w:iCs/>
          <w:color w:val="000000"/>
          <w:sz w:val="14"/>
          <w:szCs w:val="20"/>
          <w:u w:val="single"/>
        </w:rPr>
        <w:t>a una acción ejercitada por un consumidor para que se declare el carácter abusivo de una cláusula</w:t>
      </w:r>
      <w:r w:rsidRPr="00BE758C">
        <w:rPr>
          <w:rFonts w:ascii="Arial" w:hAnsi="Arial" w:cs="Arial"/>
          <w:color w:val="000000"/>
          <w:sz w:val="14"/>
          <w:szCs w:val="20"/>
        </w:rPr>
        <w:t xml:space="preserve"> </w:t>
      </w:r>
      <w:r w:rsidRPr="00BE758C">
        <w:rPr>
          <w:rFonts w:ascii="Arial" w:hAnsi="Arial" w:cs="Arial"/>
          <w:i/>
          <w:iCs/>
          <w:color w:val="000000"/>
          <w:sz w:val="14"/>
          <w:szCs w:val="20"/>
        </w:rPr>
        <w:t xml:space="preserve">incluida en un contrato celebrado entre un profesiones y un consumidor y, por otro lado, la oposición de tal plazo a </w:t>
      </w:r>
      <w:r w:rsidRPr="00BE758C">
        <w:rPr>
          <w:rFonts w:ascii="Arial" w:hAnsi="Arial" w:cs="Arial"/>
          <w:i/>
          <w:iCs/>
          <w:color w:val="000000"/>
          <w:sz w:val="14"/>
          <w:szCs w:val="20"/>
          <w:u w:val="single"/>
        </w:rPr>
        <w:t>una acción ejercitada por dicho consumidor para obtener la devolución de cantidades</w:t>
      </w:r>
      <w:r w:rsidRPr="00BE758C">
        <w:rPr>
          <w:rFonts w:ascii="Arial" w:hAnsi="Arial" w:cs="Arial"/>
          <w:color w:val="000000"/>
          <w:sz w:val="14"/>
          <w:szCs w:val="20"/>
        </w:rPr>
        <w:t xml:space="preserve"> </w:t>
      </w:r>
      <w:r w:rsidRPr="00BE758C">
        <w:rPr>
          <w:rFonts w:ascii="Arial" w:hAnsi="Arial" w:cs="Arial"/>
          <w:i/>
          <w:iCs/>
          <w:color w:val="000000"/>
          <w:sz w:val="14"/>
          <w:szCs w:val="20"/>
        </w:rPr>
        <w:t>indebidamente abonadas, sobre la base de cláusulas abusivas en el sentido de la Directiva 93/13</w:t>
      </w:r>
      <w:r w:rsidRPr="00BE758C">
        <w:rPr>
          <w:rFonts w:ascii="Arial" w:hAnsi="Arial" w:cs="Arial"/>
          <w:color w:val="000000"/>
          <w:sz w:val="14"/>
          <w:szCs w:val="20"/>
        </w:rPr>
        <w:t>”.</w:t>
      </w:r>
    </w:p>
  </w:footnote>
  <w:footnote w:id="35">
    <w:p w14:paraId="1700AEEC"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w:t>
      </w:r>
      <w:r w:rsidRPr="00BE758C">
        <w:rPr>
          <w:rFonts w:ascii="Arial" w:hAnsi="Arial" w:cs="Arial"/>
          <w:color w:val="000000"/>
          <w:sz w:val="14"/>
        </w:rPr>
        <w:t xml:space="preserve">Concretamente, el artículo 12, apartado 2, párrafo segundo de la </w:t>
      </w:r>
      <w:r w:rsidRPr="00BE758C">
        <w:rPr>
          <w:rFonts w:ascii="Arial" w:hAnsi="Arial" w:cs="Arial"/>
          <w:sz w:val="14"/>
        </w:rPr>
        <w:t>Ley 7/1998, de 13 de abril, sobre condiciones generales de la contratación (BOE núm. 89, de 14/04/1998)</w:t>
      </w:r>
      <w:r w:rsidRPr="00BE758C">
        <w:rPr>
          <w:rFonts w:ascii="Arial" w:hAnsi="Arial" w:cs="Arial"/>
          <w:color w:val="000000"/>
          <w:sz w:val="14"/>
        </w:rPr>
        <w:t xml:space="preserve"> (“</w:t>
      </w:r>
      <w:r w:rsidRPr="00BE758C">
        <w:rPr>
          <w:rFonts w:ascii="Arial" w:hAnsi="Arial" w:cs="Arial"/>
          <w:b/>
          <w:color w:val="000000"/>
          <w:sz w:val="14"/>
        </w:rPr>
        <w:t>LCGC</w:t>
      </w:r>
      <w:r w:rsidRPr="00BE758C">
        <w:rPr>
          <w:rFonts w:ascii="Arial" w:hAnsi="Arial" w:cs="Arial"/>
          <w:color w:val="000000"/>
          <w:sz w:val="14"/>
        </w:rPr>
        <w:t>”) establece que “</w:t>
      </w:r>
      <w:r w:rsidRPr="00BE758C">
        <w:rPr>
          <w:rFonts w:ascii="Arial" w:hAnsi="Arial" w:cs="Arial"/>
          <w:i/>
          <w:color w:val="000000"/>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36">
    <w:p w14:paraId="10434EB5" w14:textId="77777777" w:rsidR="004364A0" w:rsidRPr="006C15D1" w:rsidRDefault="004364A0" w:rsidP="004364A0">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rec. núm. 265/2020, ES:APB:2020:7927 y núm. 2548/2020, de 1 de diciembre de 2020, rec. núm. 423/2020, Fundamentos de Derecho Segundo, apartados 8 y 11.</w:t>
      </w:r>
      <w:r w:rsidRPr="00BE758C">
        <w:rPr>
          <w:sz w:val="14"/>
        </w:rPr>
        <w:t xml:space="preserve"> </w:t>
      </w:r>
    </w:p>
  </w:footnote>
  <w:footnote w:id="37">
    <w:p w14:paraId="012F275C"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rec. núm. 265/2020, ES:APB:2020:7927, Fundamento de Derecho Segundo, apartado 11.</w:t>
      </w:r>
    </w:p>
  </w:footnote>
  <w:footnote w:id="38">
    <w:p w14:paraId="0905B158" w14:textId="77777777" w:rsidR="004364A0" w:rsidRPr="00BE758C" w:rsidRDefault="004364A0" w:rsidP="004364A0">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Sentencia de la Audiencia Provincial de Murcia (Sección 4ª), núm. 311/2020, de 2 de abril de 2020, rec. núm. 1844/2019, ES:APMU:2020:740, Fundamento de Derecho Tercero, apartado ii).</w:t>
      </w:r>
    </w:p>
  </w:footnote>
  <w:footnote w:id="39">
    <w:p w14:paraId="3A7123EF" w14:textId="77777777" w:rsidR="004364A0" w:rsidRPr="000B02B6" w:rsidRDefault="004364A0" w:rsidP="004364A0">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40">
    <w:p w14:paraId="217C5830" w14:textId="77777777" w:rsidR="004364A0" w:rsidRPr="00BE758C" w:rsidRDefault="004364A0" w:rsidP="004364A0">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apartados 38 y 48.</w:t>
      </w:r>
    </w:p>
  </w:footnote>
  <w:footnote w:id="41">
    <w:p w14:paraId="3A4FE8D4"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r w:rsidRPr="00BE758C">
        <w:rPr>
          <w:rFonts w:ascii="Arial" w:hAnsi="Arial" w:cs="Arial"/>
          <w:i/>
          <w:sz w:val="14"/>
        </w:rPr>
        <w:t>Baczó y Vizsnyiczai</w:t>
      </w:r>
      <w:r w:rsidRPr="00BE758C">
        <w:rPr>
          <w:rFonts w:ascii="Arial" w:hAnsi="Arial" w:cs="Arial"/>
          <w:sz w:val="14"/>
        </w:rPr>
        <w:t>, C-567/13, EU:C:2015:88, apartados 42 a 47.</w:t>
      </w:r>
    </w:p>
  </w:footnote>
  <w:footnote w:id="42">
    <w:p w14:paraId="26A3DA1E" w14:textId="77777777" w:rsidR="004364A0" w:rsidRPr="00BE758C" w:rsidRDefault="004364A0" w:rsidP="004364A0">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43">
    <w:p w14:paraId="76F38736" w14:textId="77777777" w:rsidR="004364A0" w:rsidRPr="000B02B6" w:rsidRDefault="004364A0" w:rsidP="004364A0">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xml:space="preserve">, asuntos C-224/19 y C-259/19, EU:C:2020:578, apartado 92. En idéntico sentido, STJUE de 9 de julio de 2020, </w:t>
      </w:r>
      <w:r w:rsidRPr="00BE758C">
        <w:rPr>
          <w:rFonts w:ascii="Arial" w:hAnsi="Arial" w:cs="Arial"/>
          <w:i/>
          <w:iCs/>
          <w:sz w:val="14"/>
        </w:rPr>
        <w:t>Raiffeisen Bank y BRD Groupe Société Générale</w:t>
      </w:r>
      <w:r w:rsidRPr="00BE758C">
        <w:rPr>
          <w:rFonts w:ascii="Arial" w:hAnsi="Arial" w:cs="Arial"/>
          <w:sz w:val="14"/>
        </w:rPr>
        <w:t xml:space="preserve"> -C698/18 y C-699/18, EU:C:2020:537, apartado 58.</w:t>
      </w:r>
    </w:p>
  </w:footnote>
  <w:footnote w:id="44">
    <w:p w14:paraId="77972C68" w14:textId="77777777" w:rsidR="004364A0" w:rsidRPr="00BE758C" w:rsidRDefault="004364A0" w:rsidP="004364A0">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 40.</w:t>
      </w:r>
    </w:p>
  </w:footnote>
  <w:footnote w:id="45">
    <w:p w14:paraId="7D8F937B" w14:textId="77777777" w:rsidR="004364A0" w:rsidRPr="00BE758C" w:rsidRDefault="004364A0" w:rsidP="004364A0">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r w:rsidRPr="00BE758C">
        <w:rPr>
          <w:rFonts w:ascii="Arial" w:hAnsi="Arial" w:cs="Arial"/>
          <w:i/>
          <w:sz w:val="14"/>
        </w:rPr>
        <w:t>Raiffeisen Bank</w:t>
      </w:r>
      <w:r w:rsidRPr="00BE758C">
        <w:rPr>
          <w:rFonts w:ascii="Arial" w:hAnsi="Arial" w:cs="Arial"/>
          <w:sz w:val="14"/>
        </w:rPr>
        <w:t xml:space="preserve">, C-698/18 y C-699/18, EU:C:2020:537, apartado 57 y de 16 de julio de 2020, </w:t>
      </w:r>
      <w:r w:rsidRPr="00BE758C">
        <w:rPr>
          <w:rFonts w:ascii="Arial" w:hAnsi="Arial" w:cs="Arial"/>
          <w:i/>
          <w:sz w:val="14"/>
        </w:rPr>
        <w:t>Caixabank</w:t>
      </w:r>
      <w:r w:rsidRPr="00BE758C">
        <w:rPr>
          <w:rFonts w:ascii="Arial" w:hAnsi="Arial" w:cs="Arial"/>
          <w:sz w:val="14"/>
        </w:rPr>
        <w:t>, C-224/19 y C-259/19, EU:C:2020:578, apartados 83 a 85.</w:t>
      </w:r>
    </w:p>
  </w:footnote>
  <w:footnote w:id="46">
    <w:p w14:paraId="0819BFB6" w14:textId="77777777" w:rsidR="004364A0" w:rsidRPr="00BE758C" w:rsidRDefault="004364A0" w:rsidP="004364A0">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87.</w:t>
      </w:r>
    </w:p>
  </w:footnote>
  <w:footnote w:id="47">
    <w:p w14:paraId="5EDC5D7E" w14:textId="77777777" w:rsidR="004364A0" w:rsidRPr="00BE758C" w:rsidRDefault="004364A0" w:rsidP="004364A0">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rec. núm. 180/2018, ES:TS:2020:2508, Fundamento de Derecho Segundo, apartado 5.</w:t>
      </w:r>
    </w:p>
  </w:footnote>
  <w:footnote w:id="48">
    <w:p w14:paraId="46FB8357" w14:textId="77777777" w:rsidR="004364A0" w:rsidRPr="00BE758C" w:rsidRDefault="004364A0" w:rsidP="004364A0">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BNP Paribas</w:t>
      </w:r>
      <w:r w:rsidRPr="00BE758C">
        <w:rPr>
          <w:rFonts w:ascii="Arial" w:hAnsi="Arial" w:cs="Arial"/>
          <w:sz w:val="14"/>
        </w:rPr>
        <w:t>, asuntos C-776/19 y C-782/19, ECLI:EU:C:2021:470, apartado 40.</w:t>
      </w:r>
    </w:p>
  </w:footnote>
  <w:footnote w:id="49">
    <w:p w14:paraId="39EA6EE8" w14:textId="77777777" w:rsidR="004364A0" w:rsidRPr="003D3B51" w:rsidRDefault="004364A0" w:rsidP="004364A0">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asuntos C-224/19 y C-259/19, EU:C:2020:578, apartado 87.</w:t>
      </w:r>
    </w:p>
  </w:footnote>
  <w:footnote w:id="50">
    <w:p w14:paraId="71AD8D00" w14:textId="77777777" w:rsidR="004364A0" w:rsidRPr="00BE758C" w:rsidRDefault="004364A0" w:rsidP="004364A0">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29/2020, de 21 de enero de 2020, rec. núm. 6/2018, ES:TS:2020:21.</w:t>
      </w:r>
    </w:p>
  </w:footnote>
  <w:footnote w:id="51">
    <w:p w14:paraId="2A072739"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Disposición adicional cuarta del Real Decreto 463/2020, de 14 de marzo, por el que se declara el estado de alarma para la gestión de la situación de crisis sanitaria ocasionada por el COVID (BOE núm. 67, de 14 de marzo de 2020, pág. 25390), la cual dispone que “</w:t>
      </w:r>
      <w:r w:rsidRPr="00BE758C">
        <w:rPr>
          <w:rFonts w:ascii="Arial" w:hAnsi="Arial" w:cs="Arial"/>
          <w:i/>
          <w:sz w:val="14"/>
        </w:rPr>
        <w:t xml:space="preserve">los plazos de prescripción y caducidad de cualesquiera acciones y derechos quedarán suspendidos </w:t>
      </w:r>
      <w:r w:rsidRPr="00BE758C">
        <w:rPr>
          <w:rFonts w:ascii="Arial" w:hAnsi="Arial" w:cs="Arial"/>
          <w:i/>
          <w:color w:val="000000"/>
          <w:sz w:val="14"/>
        </w:rPr>
        <w:t>durante</w:t>
      </w:r>
      <w:r w:rsidRPr="00BE758C">
        <w:rPr>
          <w:rFonts w:ascii="Arial" w:hAnsi="Arial" w:cs="Arial"/>
          <w:i/>
          <w:sz w:val="14"/>
        </w:rPr>
        <w:t xml:space="preserve"> el plazo de vigencia del estado de alarma y, en su caso, de las prórrogas que se adoptaren</w:t>
      </w:r>
      <w:r w:rsidRPr="00BE758C">
        <w:rPr>
          <w:rFonts w:ascii="Arial" w:hAnsi="Arial" w:cs="Arial"/>
          <w:sz w:val="14"/>
        </w:rPr>
        <w:t>”</w:t>
      </w:r>
    </w:p>
  </w:footnote>
  <w:footnote w:id="52">
    <w:p w14:paraId="6F7870AC" w14:textId="77777777" w:rsidR="004364A0" w:rsidRPr="00BE758C" w:rsidRDefault="004364A0" w:rsidP="004364A0">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8 del Real Decreto 537/2020, de 22 de mayo, por el que se prorroga el estado de alarma declarado por el Real Decreto 463/2020, de 14 de marzo, por el que se declara el estado de alarma para la gestión de la situación de crisis sanitaria ocasionada por el COVID-19 (BOE núm. 145, de 23 de mayo de 2020, pág. 34001).</w:t>
      </w:r>
    </w:p>
  </w:footnote>
  <w:footnote w:id="53">
    <w:p w14:paraId="7A8774CF" w14:textId="77777777" w:rsidR="004364A0" w:rsidRPr="003D3B51" w:rsidRDefault="004364A0" w:rsidP="004364A0">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r w:rsidRPr="00BE758C">
        <w:rPr>
          <w:rFonts w:ascii="Arial" w:hAnsi="Arial" w:cs="Arial"/>
          <w:i/>
          <w:sz w:val="14"/>
        </w:rPr>
        <w:t>Caixabank</w:t>
      </w:r>
      <w:r w:rsidRPr="00BE758C">
        <w:rPr>
          <w:rFonts w:ascii="Arial" w:hAnsi="Arial" w:cs="Arial"/>
          <w:sz w:val="14"/>
        </w:rPr>
        <w:t>, C-224/19 y C-259/19, EU:C:2020:578, apartados 90 y 91.</w:t>
      </w:r>
    </w:p>
  </w:footnote>
  <w:footnote w:id="54">
    <w:p w14:paraId="399932FE" w14:textId="77777777" w:rsidR="004364A0" w:rsidRPr="00D94AA2" w:rsidRDefault="004364A0" w:rsidP="004364A0">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Montecorvo,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Dyckinson, Madrid, 2002.</w:t>
      </w:r>
    </w:p>
  </w:footnote>
  <w:footnote w:id="55">
    <w:p w14:paraId="4546159C" w14:textId="77777777" w:rsidR="004364A0" w:rsidRPr="000B02B6" w:rsidRDefault="004364A0" w:rsidP="004364A0">
      <w:pPr>
        <w:pStyle w:val="Textonotapie"/>
        <w:rPr>
          <w:lang w:val="es-ES_tradnl"/>
        </w:rPr>
      </w:pPr>
      <w:r w:rsidRPr="00D94AA2">
        <w:rPr>
          <w:rStyle w:val="Refdenotaalpie"/>
          <w:rFonts w:cs="Arial"/>
          <w:sz w:val="14"/>
        </w:rPr>
        <w:footnoteRef/>
      </w:r>
      <w:r w:rsidRPr="00D94AA2">
        <w:rPr>
          <w:rFonts w:ascii="Arial" w:hAnsi="Arial" w:cs="Arial"/>
          <w:sz w:val="14"/>
        </w:rPr>
        <w:t xml:space="preserve"> Sentencia del Tribunal Supremo (Sala Primera, de lo Civil), núm. 728/2012, de 11 de diciembre de 2012, rec. núm. 1028/2010, ES:TS:2012:9198, Fundamento de Derecho Tercero, apartado 1. En el mismo sentido, Sentencias del Tribunal Supremo (Sala de lo Civil, Sección Pleno) de </w:t>
      </w:r>
      <w:r w:rsidRPr="00D94AA2">
        <w:rPr>
          <w:rFonts w:ascii="Arial" w:hAnsi="Arial" w:cs="Arial"/>
          <w:sz w:val="14"/>
          <w:lang w:val="es-ES_tradnl"/>
        </w:rPr>
        <w:t>21 de junio de 2013, RJ 8079; 2 de diciembre de 2013, RJ 7832; y 14 de enero de 2014, RJ 1</w:t>
      </w:r>
    </w:p>
  </w:footnote>
  <w:footnote w:id="56">
    <w:p w14:paraId="2CB7EB9F" w14:textId="77777777" w:rsidR="004364A0" w:rsidRPr="00D94AA2" w:rsidRDefault="004364A0" w:rsidP="004364A0">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Entre otras, sentencia de la Audiencia Provincial de Barcelona (Sección 15ª), núm. 1828/2020, de 10 de septiembre de 2020, rec. núm. 265/2020, ES:APB:2020:7927, Fundamento de Derecho Tercero, </w:t>
      </w:r>
      <w:r w:rsidRPr="00D94AA2">
        <w:rPr>
          <w:rFonts w:ascii="Arial" w:hAnsi="Arial" w:cs="Arial"/>
          <w:sz w:val="14"/>
          <w:szCs w:val="16"/>
        </w:rPr>
        <w:t>apartados 18 y 23; sentencia de la Audiencia Provincial</w:t>
      </w:r>
      <w:r w:rsidRPr="00D94AA2">
        <w:rPr>
          <w:sz w:val="18"/>
        </w:rPr>
        <w:t xml:space="preserve"> </w:t>
      </w:r>
      <w:r w:rsidRPr="00D94AA2">
        <w:rPr>
          <w:rFonts w:ascii="Arial" w:hAnsi="Arial" w:cs="Arial"/>
          <w:sz w:val="14"/>
        </w:rPr>
        <w:t>de Madrid</w:t>
      </w:r>
      <w:r w:rsidRPr="00D94AA2">
        <w:rPr>
          <w:sz w:val="14"/>
        </w:rPr>
        <w:t xml:space="preserve"> </w:t>
      </w:r>
      <w:r w:rsidRPr="00D94AA2">
        <w:rPr>
          <w:rFonts w:ascii="Arial" w:hAnsi="Arial" w:cs="Arial"/>
          <w:sz w:val="14"/>
        </w:rPr>
        <w:t>(Sección 28ª), núm. 1098/2020, de 11 de junio de 2020, rec. núm. 2891/2018, ES:APM:2020:9043, Fundamento de Derecho Segundo, penúltimo párrafo y Fundamento de Derecho Tercero, penúltimo y último párrafo; sentencia de la Audiencia Provincial de Murcia (Sección 4ª), núm. 311/2020, de 2 de abril de 2020, rec. núm. 1844/2019, ES:APMU:2020:740, Fundamento de Derecho Tercero, apartado 5; o sentencia de la Audiencia Provincial de Badajoz (Sección 2ª), núm. 49/2020, de 22 de enero de 2020, rec. núm. 442/2019, ES:APBA:2020:80, Fundamento de Derecho Primero.</w:t>
      </w:r>
    </w:p>
  </w:footnote>
  <w:footnote w:id="57">
    <w:p w14:paraId="26D70675" w14:textId="77777777" w:rsidR="004364A0" w:rsidRPr="00D94AA2" w:rsidRDefault="004364A0" w:rsidP="004364A0">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En aquellos casos donde el cliente pagó una provisión de fondos con carácter previo a la formalización de la escritura (práctica habitual), deberá entenderse que el momento del pago efectivo es la fecha de la liquidación de las facturas emitidas contra la provisión de fondos realizada</w:t>
      </w:r>
    </w:p>
  </w:footnote>
  <w:footnote w:id="58">
    <w:p w14:paraId="221F8C39" w14:textId="77777777" w:rsidR="004364A0" w:rsidRPr="00D94AA2" w:rsidRDefault="004364A0" w:rsidP="004364A0">
      <w:pPr>
        <w:pStyle w:val="Textonotapie"/>
        <w:rPr>
          <w:rFonts w:ascii="Arial" w:hAnsi="Arial" w:cs="Arial"/>
          <w:i/>
          <w:iCs/>
          <w:sz w:val="14"/>
        </w:rPr>
      </w:pPr>
      <w:r w:rsidRPr="00D94AA2">
        <w:rPr>
          <w:rStyle w:val="Refdenotaalpie"/>
          <w:rFonts w:cs="Arial"/>
          <w:sz w:val="14"/>
        </w:rPr>
        <w:footnoteRef/>
      </w:r>
      <w:r w:rsidRPr="00D94AA2">
        <w:rPr>
          <w:rFonts w:ascii="Arial" w:hAnsi="Arial" w:cs="Arial"/>
          <w:sz w:val="14"/>
          <w:lang w:val="es-ES_tradnl"/>
        </w:rPr>
        <w:t xml:space="preserve"> Descarta el </w:t>
      </w:r>
      <w:r w:rsidRPr="00D94AA2">
        <w:rPr>
          <w:rFonts w:ascii="Arial" w:hAnsi="Arial" w:cs="Arial"/>
          <w:i/>
          <w:iCs/>
          <w:sz w:val="14"/>
          <w:lang w:val="es-ES_tradnl"/>
        </w:rPr>
        <w:t>dies a quo</w:t>
      </w:r>
      <w:r w:rsidRPr="00D94AA2">
        <w:rPr>
          <w:rFonts w:ascii="Arial" w:hAnsi="Arial" w:cs="Arial"/>
          <w:sz w:val="14"/>
          <w:lang w:val="es-ES_tradnl"/>
        </w:rPr>
        <w:t xml:space="preserve"> en el momento en que se declara la nulidad de la cláusula pues, en tal caso, </w:t>
      </w:r>
      <w:r w:rsidRPr="00D94AA2">
        <w:rPr>
          <w:rFonts w:ascii="Arial" w:hAnsi="Arial" w:cs="Arial"/>
          <w:i/>
          <w:sz w:val="14"/>
        </w:rPr>
        <w:t xml:space="preserve">“si lo que es nulo no produce ningún efecto y es nulo desde el primer momento y para siempre, - de aquí a la eternidad -, resultaría que la restitución podría ejercitarse hasta la eternidad y cinco años más, lo que resulta absurdo”. </w:t>
      </w:r>
      <w:r w:rsidRPr="00D94AA2">
        <w:rPr>
          <w:rFonts w:ascii="Arial" w:hAnsi="Arial" w:cs="Arial"/>
          <w:iCs/>
          <w:sz w:val="14"/>
        </w:rPr>
        <w:t xml:space="preserve">En igual sentido se pronuncia la SAP Barcelona (Secc. 15ª) nº 911/2021, de 13 de mayo de 2021: </w:t>
      </w:r>
      <w:r w:rsidRPr="00D94AA2">
        <w:rPr>
          <w:rFonts w:ascii="Arial" w:hAnsi="Arial" w:cs="Arial"/>
          <w:i/>
          <w:sz w:val="14"/>
        </w:rPr>
        <w:t>“</w:t>
      </w:r>
      <w:r w:rsidRPr="00D94AA2">
        <w:rPr>
          <w:rFonts w:ascii="Arial" w:hAnsi="Arial" w:cs="Arial"/>
          <w:i/>
          <w:iCs/>
          <w:sz w:val="14"/>
        </w:rPr>
        <w:t>Tampoco podemos aceptar que el plazo se compute dese que se declara la nulidad de la cláusula, cuando dicha pretensión no siempre es preciso ejercitarla y cuando ello convertiría también en imprescriptible la acción restitutoria.</w:t>
      </w:r>
      <w:r w:rsidRPr="00D94AA2">
        <w:rPr>
          <w:rFonts w:ascii="Arial" w:hAnsi="Arial" w:cs="Arial"/>
          <w:sz w:val="14"/>
        </w:rPr>
        <w:t>”</w:t>
      </w:r>
    </w:p>
  </w:footnote>
  <w:footnote w:id="59">
    <w:p w14:paraId="2F5338C1" w14:textId="77777777" w:rsidR="004364A0" w:rsidRPr="00177619" w:rsidRDefault="004364A0" w:rsidP="004364A0">
      <w:pPr>
        <w:suppressAutoHyphens/>
        <w:jc w:val="both"/>
        <w:rPr>
          <w:rFonts w:ascii="Arial" w:eastAsia="Calibri" w:hAnsi="Arial" w:cs="Arial"/>
          <w:i/>
          <w:sz w:val="14"/>
          <w:szCs w:val="20"/>
        </w:rPr>
      </w:pPr>
      <w:r w:rsidRPr="00D94AA2">
        <w:rPr>
          <w:rStyle w:val="Refdenotaalpie"/>
          <w:rFonts w:cs="Arial"/>
          <w:sz w:val="14"/>
          <w:szCs w:val="20"/>
        </w:rPr>
        <w:footnoteRef/>
      </w:r>
      <w:r w:rsidRPr="00D94AA2">
        <w:rPr>
          <w:rFonts w:ascii="Arial" w:hAnsi="Arial" w:cs="Arial"/>
          <w:sz w:val="14"/>
          <w:szCs w:val="20"/>
        </w:rPr>
        <w:t xml:space="preserve"> </w:t>
      </w:r>
      <w:r w:rsidRPr="00D94AA2">
        <w:rPr>
          <w:rFonts w:ascii="Arial" w:eastAsia="Calibri" w:hAnsi="Arial" w:cs="Arial"/>
          <w:i/>
          <w:sz w:val="14"/>
          <w:szCs w:val="20"/>
        </w:rPr>
        <w:t xml:space="preserve">“para poder establecer una fecha cierta, que no dependa exclusivamente del adherente al contrato y que no genere inseguridad jurídica, habrá que atender principalmente a la naturaleza de la cláusula susceptible de ser anulada y la determinación del momento en el que la cláusula empezó a desplegar sus efectos. </w:t>
      </w:r>
      <w:r w:rsidRPr="00D94AA2">
        <w:rPr>
          <w:rFonts w:ascii="Arial" w:eastAsia="Calibri" w:hAnsi="Arial" w:cs="Arial"/>
          <w:iCs/>
          <w:sz w:val="14"/>
          <w:szCs w:val="20"/>
        </w:rPr>
        <w:t>(…)</w:t>
      </w:r>
      <w:r w:rsidRPr="00D94AA2">
        <w:rPr>
          <w:rFonts w:ascii="Arial" w:eastAsia="Calibri" w:hAnsi="Arial" w:cs="Arial"/>
          <w:i/>
          <w:sz w:val="14"/>
          <w:szCs w:val="20"/>
        </w:rPr>
        <w:t xml:space="preserve">. </w:t>
      </w:r>
      <w:r w:rsidRPr="00D94AA2">
        <w:rPr>
          <w:rFonts w:ascii="Arial" w:eastAsia="Calibri" w:hAnsi="Arial" w:cs="Arial"/>
          <w:i/>
          <w:sz w:val="14"/>
          <w:szCs w:val="20"/>
          <w:u w:val="single"/>
        </w:rPr>
        <w:t>La cláusula gastos</w:t>
      </w:r>
      <w:r w:rsidRPr="00D94AA2">
        <w:rPr>
          <w:rFonts w:ascii="Arial" w:eastAsia="Calibri" w:hAnsi="Arial" w:cs="Arial"/>
          <w:i/>
          <w:sz w:val="14"/>
          <w:szCs w:val="20"/>
        </w:rPr>
        <w:t xml:space="preserve">, por el contrario, </w:t>
      </w:r>
      <w:r w:rsidRPr="00D94AA2">
        <w:rPr>
          <w:rFonts w:ascii="Arial" w:eastAsia="Calibri" w:hAnsi="Arial" w:cs="Arial"/>
          <w:i/>
          <w:sz w:val="14"/>
          <w:szCs w:val="20"/>
          <w:u w:val="single"/>
        </w:rPr>
        <w:t xml:space="preserve">agota sus efectos desde que estos se abonan, por lo que </w:t>
      </w:r>
      <w:r w:rsidRPr="00D94AA2">
        <w:rPr>
          <w:rFonts w:ascii="Arial" w:eastAsia="Calibri" w:hAnsi="Arial" w:cs="Arial"/>
          <w:b/>
          <w:i/>
          <w:sz w:val="14"/>
          <w:szCs w:val="20"/>
          <w:u w:val="single"/>
        </w:rPr>
        <w:t>parece justificado que el plazo para el ejercicio de posibles acciones de resarcimiento o de devolución se vinculen al momento de efectivo pago</w:t>
      </w:r>
      <w:r w:rsidRPr="00D94AA2">
        <w:rPr>
          <w:rFonts w:ascii="Arial" w:eastAsia="Calibri" w:hAnsi="Arial" w:cs="Arial"/>
          <w:b/>
          <w:i/>
          <w:sz w:val="14"/>
          <w:szCs w:val="20"/>
        </w:rPr>
        <w:t>.</w:t>
      </w:r>
      <w:r w:rsidRPr="00D94AA2">
        <w:rPr>
          <w:rFonts w:ascii="Arial" w:eastAsia="Calibri" w:hAnsi="Arial" w:cs="Arial"/>
          <w:i/>
          <w:sz w:val="14"/>
          <w:szCs w:val="20"/>
        </w:rPr>
        <w:t xml:space="preserve"> A partir de ese momento </w:t>
      </w:r>
      <w:r w:rsidRPr="00D94AA2">
        <w:rPr>
          <w:rFonts w:ascii="Arial" w:eastAsia="Calibri" w:hAnsi="Arial" w:cs="Arial"/>
          <w:b/>
          <w:i/>
          <w:sz w:val="14"/>
          <w:szCs w:val="20"/>
          <w:u w:val="single"/>
        </w:rPr>
        <w:t>el consumidor conoce la repercusión económica de la cláusula y el desequilibrio que le genera, sin que sea preciso que el contrato se desenvuelva y concluya para que el consumidor pueda plantear la acción</w:t>
      </w:r>
      <w:r w:rsidRPr="00D94AA2">
        <w:rPr>
          <w:rFonts w:ascii="Arial" w:eastAsia="Calibri" w:hAnsi="Arial" w:cs="Arial"/>
          <w:i/>
          <w:sz w:val="14"/>
          <w:szCs w:val="20"/>
        </w:rPr>
        <w:t xml:space="preserve"> (artículo 121.23º del Ccat o artículo 1964.2 del CC)”.</w:t>
      </w:r>
    </w:p>
  </w:footnote>
  <w:footnote w:id="60">
    <w:p w14:paraId="26B519FC" w14:textId="77777777" w:rsidR="004364A0" w:rsidRPr="00D94AA2" w:rsidRDefault="004364A0" w:rsidP="004364A0">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rec. núm. 265/2020, ES:APB:2020:7927, Fundamento de Derecho Tercero, apartado 28.</w:t>
      </w:r>
    </w:p>
  </w:footnote>
  <w:footnote w:id="61">
    <w:p w14:paraId="0CB2922C" w14:textId="77777777" w:rsidR="004364A0" w:rsidRPr="00D94AA2" w:rsidRDefault="004364A0" w:rsidP="004364A0">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nº 911/2021, de 13 de mayo 2021 en referencia a la SAP Valencia (Secc. 9ª), de 1 de febrero de 2018 (JUR 2018, 131835).</w:t>
      </w:r>
    </w:p>
  </w:footnote>
  <w:footnote w:id="62">
    <w:p w14:paraId="399E493F" w14:textId="77777777" w:rsidR="004364A0" w:rsidRPr="003D3B51" w:rsidRDefault="004364A0" w:rsidP="004364A0">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63">
    <w:p w14:paraId="086CD69F" w14:textId="77777777" w:rsidR="004364A0" w:rsidRPr="00D94AA2" w:rsidRDefault="004364A0" w:rsidP="004364A0">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3" w:history="1">
        <w:r w:rsidRPr="00D94AA2">
          <w:rPr>
            <w:rStyle w:val="Hipervnculo"/>
            <w:rFonts w:ascii="Arial" w:hAnsi="Arial" w:cs="Arial"/>
            <w:sz w:val="14"/>
            <w:lang w:val="es-ES_tradnl"/>
          </w:rPr>
          <w:t>Anuncio Arriaga Asociados &amp; Iker Casillas - #HagamosloFacil - YouTube</w:t>
        </w:r>
      </w:hyperlink>
    </w:p>
  </w:footnote>
  <w:footnote w:id="64">
    <w:p w14:paraId="52725858" w14:textId="77777777" w:rsidR="004364A0" w:rsidRPr="003D3B51" w:rsidRDefault="004364A0" w:rsidP="004364A0">
      <w:pPr>
        <w:pStyle w:val="Textonotapie"/>
        <w:rPr>
          <w:lang w:val="es-ES_tradnl"/>
        </w:rPr>
      </w:pPr>
      <w:r w:rsidRPr="003D3B51">
        <w:rPr>
          <w:rStyle w:val="Refdenotaalpie"/>
        </w:rPr>
        <w:footnoteRef/>
      </w:r>
      <w:r w:rsidRPr="003D3B51">
        <w:rPr>
          <w:lang w:val="es-ES_tradnl"/>
        </w:rPr>
        <w:t xml:space="preserve"> </w:t>
      </w:r>
      <w:hyperlink r:id="rId4" w:history="1">
        <w:r w:rsidRPr="003D3B51">
          <w:rPr>
            <w:rStyle w:val="Hipervnculo"/>
            <w:lang w:val="es-ES_tradnl"/>
          </w:rPr>
          <w:t>Entrevista de 'Más vale tarde' de La Sexta a ADICAE: gastos hipotecarios y cláusulas suelo - YouTube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786"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5C3DA8"/>
    <w:multiLevelType w:val="hybridMultilevel"/>
    <w:tmpl w:val="CF96644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C6161C"/>
    <w:multiLevelType w:val="hybridMultilevel"/>
    <w:tmpl w:val="88A251BC"/>
    <w:lvl w:ilvl="0" w:tplc="FEDA9222">
      <w:numFmt w:val="bullet"/>
      <w:lvlText w:val="-"/>
      <w:lvlJc w:val="left"/>
      <w:pPr>
        <w:ind w:left="720" w:hanging="360"/>
      </w:pPr>
      <w:rPr>
        <w:rFonts w:ascii="Book Antiqua" w:eastAsia="Calibri" w:hAnsi="Book Antiqua"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15D83F7C"/>
    <w:multiLevelType w:val="hybridMultilevel"/>
    <w:tmpl w:val="FA86A3B8"/>
    <w:lvl w:ilvl="0" w:tplc="1E1A563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8658CB"/>
    <w:multiLevelType w:val="hybridMultilevel"/>
    <w:tmpl w:val="DDCC8224"/>
    <w:lvl w:ilvl="0" w:tplc="11843EE8">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 w15:restartNumberingAfterBreak="0">
    <w:nsid w:val="1CD01EF4"/>
    <w:multiLevelType w:val="hybridMultilevel"/>
    <w:tmpl w:val="51DCEE8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047D26"/>
    <w:multiLevelType w:val="hybridMultilevel"/>
    <w:tmpl w:val="CCD483A4"/>
    <w:lvl w:ilvl="0" w:tplc="A8F6775E">
      <w:start w:val="1"/>
      <w:numFmt w:val="decimal"/>
      <w:pStyle w:val="escribir"/>
      <w:lvlText w:val="%1."/>
      <w:lvlJc w:val="left"/>
      <w:pPr>
        <w:ind w:left="215" w:hanging="360"/>
      </w:pPr>
      <w:rPr>
        <w:rFonts w:hint="default"/>
        <w:b/>
        <w:i w:val="0"/>
        <w:color w:val="4F81BD" w:themeColor="accent1"/>
        <w:u w:color="4F81BD" w:themeColor="accent1"/>
      </w:rPr>
    </w:lvl>
    <w:lvl w:ilvl="1" w:tplc="0C0A0019" w:tentative="1">
      <w:start w:val="1"/>
      <w:numFmt w:val="lowerLetter"/>
      <w:lvlText w:val="%2."/>
      <w:lvlJc w:val="left"/>
      <w:pPr>
        <w:ind w:left="935" w:hanging="360"/>
      </w:pPr>
    </w:lvl>
    <w:lvl w:ilvl="2" w:tplc="0C0A001B" w:tentative="1">
      <w:start w:val="1"/>
      <w:numFmt w:val="lowerRoman"/>
      <w:lvlText w:val="%3."/>
      <w:lvlJc w:val="right"/>
      <w:pPr>
        <w:ind w:left="1655" w:hanging="180"/>
      </w:pPr>
    </w:lvl>
    <w:lvl w:ilvl="3" w:tplc="0C0A000F" w:tentative="1">
      <w:start w:val="1"/>
      <w:numFmt w:val="decimal"/>
      <w:lvlText w:val="%4."/>
      <w:lvlJc w:val="left"/>
      <w:pPr>
        <w:ind w:left="2375" w:hanging="360"/>
      </w:pPr>
    </w:lvl>
    <w:lvl w:ilvl="4" w:tplc="0C0A0019" w:tentative="1">
      <w:start w:val="1"/>
      <w:numFmt w:val="lowerLetter"/>
      <w:lvlText w:val="%5."/>
      <w:lvlJc w:val="left"/>
      <w:pPr>
        <w:ind w:left="3095" w:hanging="360"/>
      </w:pPr>
    </w:lvl>
    <w:lvl w:ilvl="5" w:tplc="0C0A001B" w:tentative="1">
      <w:start w:val="1"/>
      <w:numFmt w:val="lowerRoman"/>
      <w:lvlText w:val="%6."/>
      <w:lvlJc w:val="right"/>
      <w:pPr>
        <w:ind w:left="3815" w:hanging="180"/>
      </w:pPr>
    </w:lvl>
    <w:lvl w:ilvl="6" w:tplc="0C0A000F" w:tentative="1">
      <w:start w:val="1"/>
      <w:numFmt w:val="decimal"/>
      <w:lvlText w:val="%7."/>
      <w:lvlJc w:val="left"/>
      <w:pPr>
        <w:ind w:left="4535" w:hanging="360"/>
      </w:pPr>
    </w:lvl>
    <w:lvl w:ilvl="7" w:tplc="0C0A0019" w:tentative="1">
      <w:start w:val="1"/>
      <w:numFmt w:val="lowerLetter"/>
      <w:lvlText w:val="%8."/>
      <w:lvlJc w:val="left"/>
      <w:pPr>
        <w:ind w:left="5255" w:hanging="360"/>
      </w:pPr>
    </w:lvl>
    <w:lvl w:ilvl="8" w:tplc="0C0A001B" w:tentative="1">
      <w:start w:val="1"/>
      <w:numFmt w:val="lowerRoman"/>
      <w:lvlText w:val="%9."/>
      <w:lvlJc w:val="right"/>
      <w:pPr>
        <w:ind w:left="5975" w:hanging="180"/>
      </w:pPr>
    </w:lvl>
  </w:abstractNum>
  <w:abstractNum w:abstractNumId="7" w15:restartNumberingAfterBreak="0">
    <w:nsid w:val="233D1C66"/>
    <w:multiLevelType w:val="hybridMultilevel"/>
    <w:tmpl w:val="CBC4CBB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021FC9"/>
    <w:multiLevelType w:val="hybridMultilevel"/>
    <w:tmpl w:val="41DE7304"/>
    <w:lvl w:ilvl="0" w:tplc="3A541FB2">
      <w:start w:val="1"/>
      <w:numFmt w:val="lowerLetter"/>
      <w:lvlText w:val="%1)"/>
      <w:lvlJc w:val="left"/>
      <w:pPr>
        <w:ind w:left="720" w:hanging="360"/>
      </w:pPr>
      <w:rPr>
        <w:rFonts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9665B9"/>
    <w:multiLevelType w:val="hybridMultilevel"/>
    <w:tmpl w:val="6CC06826"/>
    <w:lvl w:ilvl="0" w:tplc="0C0A0005">
      <w:start w:val="1"/>
      <w:numFmt w:val="bullet"/>
      <w:lvlText w:val=""/>
      <w:lvlJc w:val="left"/>
      <w:pPr>
        <w:ind w:left="1364" w:hanging="360"/>
      </w:pPr>
      <w:rPr>
        <w:rFonts w:ascii="Wingdings" w:hAnsi="Wingdings" w:hint="default"/>
      </w:rPr>
    </w:lvl>
    <w:lvl w:ilvl="1" w:tplc="0C0A0003" w:tentative="1">
      <w:start w:val="1"/>
      <w:numFmt w:val="bullet"/>
      <w:lvlText w:val="o"/>
      <w:lvlJc w:val="left"/>
      <w:pPr>
        <w:ind w:left="2084" w:hanging="360"/>
      </w:pPr>
      <w:rPr>
        <w:rFonts w:ascii="Courier New" w:hAnsi="Courier New" w:cs="Courier New" w:hint="default"/>
      </w:rPr>
    </w:lvl>
    <w:lvl w:ilvl="2" w:tplc="0C0A0005" w:tentative="1">
      <w:start w:val="1"/>
      <w:numFmt w:val="bullet"/>
      <w:lvlText w:val=""/>
      <w:lvlJc w:val="left"/>
      <w:pPr>
        <w:ind w:left="2804" w:hanging="360"/>
      </w:pPr>
      <w:rPr>
        <w:rFonts w:ascii="Wingdings" w:hAnsi="Wingdings" w:hint="default"/>
      </w:rPr>
    </w:lvl>
    <w:lvl w:ilvl="3" w:tplc="0C0A0001" w:tentative="1">
      <w:start w:val="1"/>
      <w:numFmt w:val="bullet"/>
      <w:lvlText w:val=""/>
      <w:lvlJc w:val="left"/>
      <w:pPr>
        <w:ind w:left="3524" w:hanging="360"/>
      </w:pPr>
      <w:rPr>
        <w:rFonts w:ascii="Symbol" w:hAnsi="Symbol" w:hint="default"/>
      </w:rPr>
    </w:lvl>
    <w:lvl w:ilvl="4" w:tplc="0C0A0003" w:tentative="1">
      <w:start w:val="1"/>
      <w:numFmt w:val="bullet"/>
      <w:lvlText w:val="o"/>
      <w:lvlJc w:val="left"/>
      <w:pPr>
        <w:ind w:left="4244" w:hanging="360"/>
      </w:pPr>
      <w:rPr>
        <w:rFonts w:ascii="Courier New" w:hAnsi="Courier New" w:cs="Courier New" w:hint="default"/>
      </w:rPr>
    </w:lvl>
    <w:lvl w:ilvl="5" w:tplc="0C0A0005" w:tentative="1">
      <w:start w:val="1"/>
      <w:numFmt w:val="bullet"/>
      <w:lvlText w:val=""/>
      <w:lvlJc w:val="left"/>
      <w:pPr>
        <w:ind w:left="4964" w:hanging="360"/>
      </w:pPr>
      <w:rPr>
        <w:rFonts w:ascii="Wingdings" w:hAnsi="Wingdings" w:hint="default"/>
      </w:rPr>
    </w:lvl>
    <w:lvl w:ilvl="6" w:tplc="0C0A0001" w:tentative="1">
      <w:start w:val="1"/>
      <w:numFmt w:val="bullet"/>
      <w:lvlText w:val=""/>
      <w:lvlJc w:val="left"/>
      <w:pPr>
        <w:ind w:left="5684" w:hanging="360"/>
      </w:pPr>
      <w:rPr>
        <w:rFonts w:ascii="Symbol" w:hAnsi="Symbol" w:hint="default"/>
      </w:rPr>
    </w:lvl>
    <w:lvl w:ilvl="7" w:tplc="0C0A0003" w:tentative="1">
      <w:start w:val="1"/>
      <w:numFmt w:val="bullet"/>
      <w:lvlText w:val="o"/>
      <w:lvlJc w:val="left"/>
      <w:pPr>
        <w:ind w:left="6404" w:hanging="360"/>
      </w:pPr>
      <w:rPr>
        <w:rFonts w:ascii="Courier New" w:hAnsi="Courier New" w:cs="Courier New" w:hint="default"/>
      </w:rPr>
    </w:lvl>
    <w:lvl w:ilvl="8" w:tplc="0C0A0005" w:tentative="1">
      <w:start w:val="1"/>
      <w:numFmt w:val="bullet"/>
      <w:lvlText w:val=""/>
      <w:lvlJc w:val="left"/>
      <w:pPr>
        <w:ind w:left="7124" w:hanging="360"/>
      </w:pPr>
      <w:rPr>
        <w:rFonts w:ascii="Wingdings" w:hAnsi="Wingdings" w:hint="default"/>
      </w:rPr>
    </w:lvl>
  </w:abstractNum>
  <w:abstractNum w:abstractNumId="10" w15:restartNumberingAfterBreak="0">
    <w:nsid w:val="2ADA1D67"/>
    <w:multiLevelType w:val="hybridMultilevel"/>
    <w:tmpl w:val="27EC084C"/>
    <w:lvl w:ilvl="0" w:tplc="BD6A3E02">
      <w:start w:val="1"/>
      <w:numFmt w:val="decimal"/>
      <w:lvlText w:val="%1."/>
      <w:lvlJc w:val="left"/>
      <w:pPr>
        <w:ind w:left="720" w:hanging="360"/>
      </w:pPr>
      <w:rPr>
        <w:rFonts w:hint="default"/>
        <w:b w:val="0"/>
        <w:bCs/>
        <w:i w:val="0"/>
      </w:rPr>
    </w:lvl>
    <w:lvl w:ilvl="1" w:tplc="46BAA2E4">
      <w:start w:val="1"/>
      <w:numFmt w:val="lowerRoman"/>
      <w:lvlText w:val="(%2)"/>
      <w:lvlJc w:val="left"/>
      <w:pPr>
        <w:ind w:left="1440" w:hanging="360"/>
      </w:pPr>
      <w:rPr>
        <w:rFonts w:asciiTheme="majorBidi" w:eastAsia="Times New Roman" w:hAnsiTheme="majorBidi" w:cstheme="majorBidi"/>
      </w:rPr>
    </w:lvl>
    <w:lvl w:ilvl="2" w:tplc="3488A6B0">
      <w:numFmt w:val="bullet"/>
      <w:lvlText w:val="-"/>
      <w:lvlJc w:val="left"/>
      <w:pPr>
        <w:ind w:left="2340" w:hanging="360"/>
      </w:pPr>
      <w:rPr>
        <w:rFonts w:ascii="Times New Roman" w:eastAsia="Times New Roman" w:hAnsi="Times New Roman"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B95523"/>
    <w:multiLevelType w:val="hybridMultilevel"/>
    <w:tmpl w:val="CA00E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70170D9"/>
    <w:multiLevelType w:val="hybridMultilevel"/>
    <w:tmpl w:val="701ECB90"/>
    <w:lvl w:ilvl="0" w:tplc="CE50482E">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0055417"/>
    <w:multiLevelType w:val="hybridMultilevel"/>
    <w:tmpl w:val="D81C2A1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6F01916"/>
    <w:multiLevelType w:val="hybridMultilevel"/>
    <w:tmpl w:val="D9C61296"/>
    <w:lvl w:ilvl="0" w:tplc="00FC0C9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5B3203"/>
    <w:multiLevelType w:val="multilevel"/>
    <w:tmpl w:val="6096DEFC"/>
    <w:name w:val="AODoc"/>
    <w:lvl w:ilvl="0">
      <w:start w:val="1"/>
      <w:numFmt w:val="none"/>
      <w:suff w:val="nothing"/>
      <w:lvlText w:val=""/>
      <w:lvlJc w:val="left"/>
      <w:pPr>
        <w:ind w:left="9078" w:firstLine="0"/>
      </w:pPr>
    </w:lvl>
    <w:lvl w:ilvl="1">
      <w:start w:val="1"/>
      <w:numFmt w:val="none"/>
      <w:suff w:val="nothing"/>
      <w:lvlText w:val=""/>
      <w:lvlJc w:val="left"/>
      <w:pPr>
        <w:ind w:left="9798" w:firstLine="0"/>
      </w:pPr>
    </w:lvl>
    <w:lvl w:ilvl="2">
      <w:start w:val="1"/>
      <w:numFmt w:val="none"/>
      <w:suff w:val="nothing"/>
      <w:lvlText w:val=""/>
      <w:lvlJc w:val="left"/>
      <w:pPr>
        <w:ind w:left="10518" w:firstLine="0"/>
      </w:pPr>
    </w:lvl>
    <w:lvl w:ilvl="3">
      <w:start w:val="1"/>
      <w:numFmt w:val="none"/>
      <w:suff w:val="nothing"/>
      <w:lvlText w:val=""/>
      <w:lvlJc w:val="left"/>
      <w:pPr>
        <w:ind w:left="11238" w:firstLine="0"/>
      </w:pPr>
    </w:lvl>
    <w:lvl w:ilvl="4">
      <w:start w:val="1"/>
      <w:numFmt w:val="none"/>
      <w:suff w:val="nothing"/>
      <w:lvlText w:val=""/>
      <w:lvlJc w:val="left"/>
      <w:pPr>
        <w:ind w:left="11958" w:firstLine="0"/>
      </w:pPr>
    </w:lvl>
    <w:lvl w:ilvl="5">
      <w:start w:val="1"/>
      <w:numFmt w:val="none"/>
      <w:suff w:val="nothing"/>
      <w:lvlText w:val=""/>
      <w:lvlJc w:val="left"/>
      <w:pPr>
        <w:ind w:left="12678" w:firstLine="0"/>
      </w:pPr>
    </w:lvl>
    <w:lvl w:ilvl="6">
      <w:start w:val="1"/>
      <w:numFmt w:val="none"/>
      <w:suff w:val="nothing"/>
      <w:lvlText w:val=""/>
      <w:lvlJc w:val="left"/>
      <w:pPr>
        <w:ind w:left="13398" w:firstLine="0"/>
      </w:pPr>
    </w:lvl>
    <w:lvl w:ilvl="7">
      <w:start w:val="1"/>
      <w:numFmt w:val="none"/>
      <w:suff w:val="nothing"/>
      <w:lvlText w:val=""/>
      <w:lvlJc w:val="left"/>
      <w:pPr>
        <w:ind w:left="14118" w:firstLine="0"/>
      </w:pPr>
    </w:lvl>
    <w:lvl w:ilvl="8">
      <w:start w:val="1"/>
      <w:numFmt w:val="none"/>
      <w:suff w:val="nothing"/>
      <w:lvlText w:val=""/>
      <w:lvlJc w:val="left"/>
      <w:pPr>
        <w:ind w:left="14838" w:firstLine="0"/>
      </w:pPr>
    </w:lvl>
  </w:abstractNum>
  <w:abstractNum w:abstractNumId="18" w15:restartNumberingAfterBreak="0">
    <w:nsid w:val="51347219"/>
    <w:multiLevelType w:val="hybridMultilevel"/>
    <w:tmpl w:val="5762DF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86EDF"/>
    <w:multiLevelType w:val="hybridMultilevel"/>
    <w:tmpl w:val="ADA2ACEC"/>
    <w:lvl w:ilvl="0" w:tplc="32204348">
      <w:numFmt w:val="bullet"/>
      <w:lvlText w:val="-"/>
      <w:lvlJc w:val="left"/>
      <w:pPr>
        <w:ind w:left="720" w:hanging="360"/>
      </w:pPr>
      <w:rPr>
        <w:rFonts w:ascii="Bankinter" w:eastAsiaTheme="minorHAnsi" w:hAnsi="Bankinte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4F141A"/>
    <w:multiLevelType w:val="hybridMultilevel"/>
    <w:tmpl w:val="024EBBEC"/>
    <w:lvl w:ilvl="0" w:tplc="B616F65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64B53428"/>
    <w:multiLevelType w:val="multilevel"/>
    <w:tmpl w:val="8618C72E"/>
    <w:numStyleLink w:val="FactTitle"/>
  </w:abstractNum>
  <w:abstractNum w:abstractNumId="22" w15:restartNumberingAfterBreak="0">
    <w:nsid w:val="6CF712E9"/>
    <w:multiLevelType w:val="hybridMultilevel"/>
    <w:tmpl w:val="FBAA6C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DCE3F04"/>
    <w:multiLevelType w:val="hybridMultilevel"/>
    <w:tmpl w:val="B0BE1A92"/>
    <w:lvl w:ilvl="0" w:tplc="C6A084EC">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6E4C1F88"/>
    <w:multiLevelType w:val="hybridMultilevel"/>
    <w:tmpl w:val="7676EF6C"/>
    <w:lvl w:ilvl="0" w:tplc="9228B5B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5" w15:restartNumberingAfterBreak="0">
    <w:nsid w:val="72A85923"/>
    <w:multiLevelType w:val="hybridMultilevel"/>
    <w:tmpl w:val="818419C6"/>
    <w:lvl w:ilvl="0" w:tplc="0C0A000F">
      <w:start w:val="1"/>
      <w:numFmt w:val="decimal"/>
      <w:lvlText w:val="%1."/>
      <w:lvlJc w:val="left"/>
      <w:pPr>
        <w:ind w:left="644" w:hanging="360"/>
      </w:pPr>
      <w:rPr>
        <w:rFonts w:hint="default"/>
        <w:b w:val="0"/>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6" w15:restartNumberingAfterBreak="0">
    <w:nsid w:val="7BC86CBC"/>
    <w:multiLevelType w:val="hybridMultilevel"/>
    <w:tmpl w:val="8DA808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DD7631F"/>
    <w:multiLevelType w:val="hybridMultilevel"/>
    <w:tmpl w:val="CDA0ED4C"/>
    <w:lvl w:ilvl="0" w:tplc="3F702C9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FA06BE7"/>
    <w:multiLevelType w:val="hybridMultilevel"/>
    <w:tmpl w:val="2226741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0202549">
    <w:abstractNumId w:val="8"/>
  </w:num>
  <w:num w:numId="2" w16cid:durableId="1510829139">
    <w:abstractNumId w:val="20"/>
  </w:num>
  <w:num w:numId="3" w16cid:durableId="1756515668">
    <w:abstractNumId w:val="19"/>
  </w:num>
  <w:num w:numId="4" w16cid:durableId="192348551">
    <w:abstractNumId w:val="18"/>
  </w:num>
  <w:num w:numId="5" w16cid:durableId="1345202195">
    <w:abstractNumId w:val="5"/>
  </w:num>
  <w:num w:numId="6" w16cid:durableId="926578434">
    <w:abstractNumId w:val="2"/>
  </w:num>
  <w:num w:numId="7" w16cid:durableId="400754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51241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71204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06393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2207532">
    <w:abstractNumId w:val="6"/>
  </w:num>
  <w:num w:numId="12" w16cid:durableId="1077282986">
    <w:abstractNumId w:val="26"/>
  </w:num>
  <w:num w:numId="13" w16cid:durableId="655375880">
    <w:abstractNumId w:val="1"/>
  </w:num>
  <w:num w:numId="14" w16cid:durableId="8458076">
    <w:abstractNumId w:val="4"/>
  </w:num>
  <w:num w:numId="15" w16cid:durableId="2054189129">
    <w:abstractNumId w:val="25"/>
  </w:num>
  <w:num w:numId="16" w16cid:durableId="210658407">
    <w:abstractNumId w:val="16"/>
  </w:num>
  <w:num w:numId="17" w16cid:durableId="1215047131">
    <w:abstractNumId w:val="3"/>
  </w:num>
  <w:num w:numId="18" w16cid:durableId="1534030213">
    <w:abstractNumId w:val="9"/>
  </w:num>
  <w:num w:numId="19" w16cid:durableId="1619024230">
    <w:abstractNumId w:val="22"/>
  </w:num>
  <w:num w:numId="20" w16cid:durableId="1915166206">
    <w:abstractNumId w:val="15"/>
  </w:num>
  <w:num w:numId="21" w16cid:durableId="1012293467">
    <w:abstractNumId w:val="0"/>
  </w:num>
  <w:num w:numId="22" w16cid:durableId="1894727870">
    <w:abstractNumId w:val="21"/>
  </w:num>
  <w:num w:numId="23" w16cid:durableId="1494835654">
    <w:abstractNumId w:val="13"/>
  </w:num>
  <w:num w:numId="24" w16cid:durableId="1285695676">
    <w:abstractNumId w:val="10"/>
  </w:num>
  <w:num w:numId="25" w16cid:durableId="257103276">
    <w:abstractNumId w:val="12"/>
  </w:num>
  <w:num w:numId="26" w16cid:durableId="44984600">
    <w:abstractNumId w:val="23"/>
  </w:num>
  <w:num w:numId="27" w16cid:durableId="41055672">
    <w:abstractNumId w:val="24"/>
  </w:num>
  <w:num w:numId="28" w16cid:durableId="9840081">
    <w:abstractNumId w:val="14"/>
  </w:num>
  <w:num w:numId="29" w16cid:durableId="398097911">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640"/>
    <w:rsid w:val="0000143F"/>
    <w:rsid w:val="000015E0"/>
    <w:rsid w:val="00003042"/>
    <w:rsid w:val="00003CDC"/>
    <w:rsid w:val="00004B4A"/>
    <w:rsid w:val="000052D1"/>
    <w:rsid w:val="00005E45"/>
    <w:rsid w:val="000065AE"/>
    <w:rsid w:val="0001031F"/>
    <w:rsid w:val="00011876"/>
    <w:rsid w:val="00013E32"/>
    <w:rsid w:val="00013EFB"/>
    <w:rsid w:val="00014898"/>
    <w:rsid w:val="0001567E"/>
    <w:rsid w:val="00015C92"/>
    <w:rsid w:val="0001705B"/>
    <w:rsid w:val="00017CCF"/>
    <w:rsid w:val="000203BE"/>
    <w:rsid w:val="00020422"/>
    <w:rsid w:val="000206D1"/>
    <w:rsid w:val="000210BA"/>
    <w:rsid w:val="00022925"/>
    <w:rsid w:val="00022EF5"/>
    <w:rsid w:val="00022F22"/>
    <w:rsid w:val="00023442"/>
    <w:rsid w:val="00024271"/>
    <w:rsid w:val="00024A4B"/>
    <w:rsid w:val="000255F7"/>
    <w:rsid w:val="0002697F"/>
    <w:rsid w:val="000276D7"/>
    <w:rsid w:val="0003044A"/>
    <w:rsid w:val="0003162E"/>
    <w:rsid w:val="00031B0D"/>
    <w:rsid w:val="00032F83"/>
    <w:rsid w:val="0003430F"/>
    <w:rsid w:val="00035D87"/>
    <w:rsid w:val="00037507"/>
    <w:rsid w:val="00041EF3"/>
    <w:rsid w:val="00043184"/>
    <w:rsid w:val="000435BB"/>
    <w:rsid w:val="00044221"/>
    <w:rsid w:val="00046586"/>
    <w:rsid w:val="00046956"/>
    <w:rsid w:val="00047823"/>
    <w:rsid w:val="00050716"/>
    <w:rsid w:val="00050ED5"/>
    <w:rsid w:val="00051680"/>
    <w:rsid w:val="00051C29"/>
    <w:rsid w:val="00052782"/>
    <w:rsid w:val="000546FE"/>
    <w:rsid w:val="00054ABB"/>
    <w:rsid w:val="00056746"/>
    <w:rsid w:val="000568F2"/>
    <w:rsid w:val="0005788D"/>
    <w:rsid w:val="0006034F"/>
    <w:rsid w:val="00061606"/>
    <w:rsid w:val="00061AB2"/>
    <w:rsid w:val="00061C58"/>
    <w:rsid w:val="000625B6"/>
    <w:rsid w:val="00062EF1"/>
    <w:rsid w:val="000631D5"/>
    <w:rsid w:val="00064F53"/>
    <w:rsid w:val="00064FE7"/>
    <w:rsid w:val="00065714"/>
    <w:rsid w:val="00065C53"/>
    <w:rsid w:val="00067CCB"/>
    <w:rsid w:val="0007082B"/>
    <w:rsid w:val="000709E3"/>
    <w:rsid w:val="000721F4"/>
    <w:rsid w:val="000772B8"/>
    <w:rsid w:val="000777A9"/>
    <w:rsid w:val="00080A3D"/>
    <w:rsid w:val="00081284"/>
    <w:rsid w:val="0008172D"/>
    <w:rsid w:val="00081E48"/>
    <w:rsid w:val="000847FB"/>
    <w:rsid w:val="0008548A"/>
    <w:rsid w:val="00086004"/>
    <w:rsid w:val="000862F1"/>
    <w:rsid w:val="00086846"/>
    <w:rsid w:val="0008732A"/>
    <w:rsid w:val="000877B4"/>
    <w:rsid w:val="000901AE"/>
    <w:rsid w:val="00090292"/>
    <w:rsid w:val="000903B4"/>
    <w:rsid w:val="0009382B"/>
    <w:rsid w:val="0009559D"/>
    <w:rsid w:val="00096C3F"/>
    <w:rsid w:val="000975F4"/>
    <w:rsid w:val="00097675"/>
    <w:rsid w:val="000A0555"/>
    <w:rsid w:val="000A2477"/>
    <w:rsid w:val="000A4D0C"/>
    <w:rsid w:val="000A5A5A"/>
    <w:rsid w:val="000A62E2"/>
    <w:rsid w:val="000A6DB3"/>
    <w:rsid w:val="000A75A3"/>
    <w:rsid w:val="000A79D5"/>
    <w:rsid w:val="000B0071"/>
    <w:rsid w:val="000B0524"/>
    <w:rsid w:val="000B0C38"/>
    <w:rsid w:val="000B0D74"/>
    <w:rsid w:val="000B14E6"/>
    <w:rsid w:val="000B1743"/>
    <w:rsid w:val="000B1828"/>
    <w:rsid w:val="000B2B3C"/>
    <w:rsid w:val="000B30EE"/>
    <w:rsid w:val="000B347C"/>
    <w:rsid w:val="000B3833"/>
    <w:rsid w:val="000B45EE"/>
    <w:rsid w:val="000B4895"/>
    <w:rsid w:val="000B48E1"/>
    <w:rsid w:val="000B49F5"/>
    <w:rsid w:val="000B50E5"/>
    <w:rsid w:val="000B7A12"/>
    <w:rsid w:val="000C04ED"/>
    <w:rsid w:val="000C28F9"/>
    <w:rsid w:val="000C31AD"/>
    <w:rsid w:val="000C4597"/>
    <w:rsid w:val="000C5052"/>
    <w:rsid w:val="000C5737"/>
    <w:rsid w:val="000C7C17"/>
    <w:rsid w:val="000C7FBE"/>
    <w:rsid w:val="000D20EF"/>
    <w:rsid w:val="000D2104"/>
    <w:rsid w:val="000D21D9"/>
    <w:rsid w:val="000D3200"/>
    <w:rsid w:val="000D3350"/>
    <w:rsid w:val="000D39E4"/>
    <w:rsid w:val="000D4D5E"/>
    <w:rsid w:val="000D5852"/>
    <w:rsid w:val="000D6ADB"/>
    <w:rsid w:val="000D7A0F"/>
    <w:rsid w:val="000D7F6B"/>
    <w:rsid w:val="000E3D22"/>
    <w:rsid w:val="000E5801"/>
    <w:rsid w:val="000E6138"/>
    <w:rsid w:val="000E7F0F"/>
    <w:rsid w:val="000F35A8"/>
    <w:rsid w:val="000F3F8E"/>
    <w:rsid w:val="000F462C"/>
    <w:rsid w:val="000F4FA9"/>
    <w:rsid w:val="000F5FE0"/>
    <w:rsid w:val="000F6311"/>
    <w:rsid w:val="000F6416"/>
    <w:rsid w:val="000F66B8"/>
    <w:rsid w:val="000F761C"/>
    <w:rsid w:val="000F765E"/>
    <w:rsid w:val="000F79D9"/>
    <w:rsid w:val="000F7C3B"/>
    <w:rsid w:val="000F7E00"/>
    <w:rsid w:val="0010076B"/>
    <w:rsid w:val="00102BBE"/>
    <w:rsid w:val="00102FBE"/>
    <w:rsid w:val="00103F6E"/>
    <w:rsid w:val="00107F84"/>
    <w:rsid w:val="00111F28"/>
    <w:rsid w:val="00112354"/>
    <w:rsid w:val="00112C87"/>
    <w:rsid w:val="0011336E"/>
    <w:rsid w:val="00113458"/>
    <w:rsid w:val="001144AB"/>
    <w:rsid w:val="00114668"/>
    <w:rsid w:val="001148AC"/>
    <w:rsid w:val="00115147"/>
    <w:rsid w:val="0011576B"/>
    <w:rsid w:val="00115790"/>
    <w:rsid w:val="00120307"/>
    <w:rsid w:val="00120C43"/>
    <w:rsid w:val="001220C0"/>
    <w:rsid w:val="00122E38"/>
    <w:rsid w:val="00122EF0"/>
    <w:rsid w:val="00123798"/>
    <w:rsid w:val="001239CA"/>
    <w:rsid w:val="001258F4"/>
    <w:rsid w:val="00126350"/>
    <w:rsid w:val="00126B0E"/>
    <w:rsid w:val="0012728D"/>
    <w:rsid w:val="00127AF5"/>
    <w:rsid w:val="00130632"/>
    <w:rsid w:val="0013070E"/>
    <w:rsid w:val="0013093E"/>
    <w:rsid w:val="001309F4"/>
    <w:rsid w:val="00130BF5"/>
    <w:rsid w:val="001320F9"/>
    <w:rsid w:val="001325C0"/>
    <w:rsid w:val="001333F2"/>
    <w:rsid w:val="00134409"/>
    <w:rsid w:val="001344FD"/>
    <w:rsid w:val="001359A8"/>
    <w:rsid w:val="001359C8"/>
    <w:rsid w:val="00135F9A"/>
    <w:rsid w:val="001370A2"/>
    <w:rsid w:val="00142BEE"/>
    <w:rsid w:val="00143253"/>
    <w:rsid w:val="001435CD"/>
    <w:rsid w:val="0014433D"/>
    <w:rsid w:val="00144F30"/>
    <w:rsid w:val="001462E8"/>
    <w:rsid w:val="0014744C"/>
    <w:rsid w:val="0014749F"/>
    <w:rsid w:val="00147575"/>
    <w:rsid w:val="00152225"/>
    <w:rsid w:val="00153097"/>
    <w:rsid w:val="00154C36"/>
    <w:rsid w:val="00155B03"/>
    <w:rsid w:val="001561E6"/>
    <w:rsid w:val="0015659A"/>
    <w:rsid w:val="00156CD8"/>
    <w:rsid w:val="00157474"/>
    <w:rsid w:val="00157BB4"/>
    <w:rsid w:val="00157EE8"/>
    <w:rsid w:val="001618DF"/>
    <w:rsid w:val="00161E72"/>
    <w:rsid w:val="00162A2D"/>
    <w:rsid w:val="00163078"/>
    <w:rsid w:val="0016389A"/>
    <w:rsid w:val="0016414C"/>
    <w:rsid w:val="00164DD0"/>
    <w:rsid w:val="00165DA1"/>
    <w:rsid w:val="00166016"/>
    <w:rsid w:val="001674BB"/>
    <w:rsid w:val="0017018E"/>
    <w:rsid w:val="00170C9D"/>
    <w:rsid w:val="00171CA9"/>
    <w:rsid w:val="00173DF0"/>
    <w:rsid w:val="00174008"/>
    <w:rsid w:val="00175449"/>
    <w:rsid w:val="001759FF"/>
    <w:rsid w:val="00175DE4"/>
    <w:rsid w:val="00177619"/>
    <w:rsid w:val="001776B5"/>
    <w:rsid w:val="00177764"/>
    <w:rsid w:val="00180DE1"/>
    <w:rsid w:val="00182ADF"/>
    <w:rsid w:val="00182D14"/>
    <w:rsid w:val="00184C7A"/>
    <w:rsid w:val="00184CA4"/>
    <w:rsid w:val="00187A3D"/>
    <w:rsid w:val="00187B20"/>
    <w:rsid w:val="0019059C"/>
    <w:rsid w:val="00192338"/>
    <w:rsid w:val="00194EEC"/>
    <w:rsid w:val="001959F2"/>
    <w:rsid w:val="00195ED2"/>
    <w:rsid w:val="00197AAB"/>
    <w:rsid w:val="001A0893"/>
    <w:rsid w:val="001A122E"/>
    <w:rsid w:val="001A1923"/>
    <w:rsid w:val="001A2B18"/>
    <w:rsid w:val="001A371D"/>
    <w:rsid w:val="001A4036"/>
    <w:rsid w:val="001A4F3A"/>
    <w:rsid w:val="001A5BEF"/>
    <w:rsid w:val="001A5D67"/>
    <w:rsid w:val="001A62BC"/>
    <w:rsid w:val="001A645E"/>
    <w:rsid w:val="001B1D4A"/>
    <w:rsid w:val="001B2972"/>
    <w:rsid w:val="001B2A17"/>
    <w:rsid w:val="001B31C0"/>
    <w:rsid w:val="001B3859"/>
    <w:rsid w:val="001B392D"/>
    <w:rsid w:val="001B3E45"/>
    <w:rsid w:val="001B404E"/>
    <w:rsid w:val="001B4756"/>
    <w:rsid w:val="001B4EC9"/>
    <w:rsid w:val="001B5FB5"/>
    <w:rsid w:val="001B70A7"/>
    <w:rsid w:val="001C1D4F"/>
    <w:rsid w:val="001C3E9C"/>
    <w:rsid w:val="001C6189"/>
    <w:rsid w:val="001C6C98"/>
    <w:rsid w:val="001C7CCF"/>
    <w:rsid w:val="001D09F4"/>
    <w:rsid w:val="001D150F"/>
    <w:rsid w:val="001D1A93"/>
    <w:rsid w:val="001D2798"/>
    <w:rsid w:val="001D2846"/>
    <w:rsid w:val="001D2FFC"/>
    <w:rsid w:val="001D370B"/>
    <w:rsid w:val="001D4877"/>
    <w:rsid w:val="001D5B97"/>
    <w:rsid w:val="001D7C7A"/>
    <w:rsid w:val="001E0F2C"/>
    <w:rsid w:val="001E11BB"/>
    <w:rsid w:val="001E380F"/>
    <w:rsid w:val="001E38E2"/>
    <w:rsid w:val="001E4EE1"/>
    <w:rsid w:val="001E664C"/>
    <w:rsid w:val="001E6C78"/>
    <w:rsid w:val="001E74C3"/>
    <w:rsid w:val="001E7A0E"/>
    <w:rsid w:val="001F0D37"/>
    <w:rsid w:val="001F2749"/>
    <w:rsid w:val="001F2C8C"/>
    <w:rsid w:val="001F325A"/>
    <w:rsid w:val="001F3C9F"/>
    <w:rsid w:val="001F43D7"/>
    <w:rsid w:val="001F4427"/>
    <w:rsid w:val="001F4FCD"/>
    <w:rsid w:val="001F5D4A"/>
    <w:rsid w:val="001F6569"/>
    <w:rsid w:val="001F671B"/>
    <w:rsid w:val="001F73C8"/>
    <w:rsid w:val="001F782E"/>
    <w:rsid w:val="00200D37"/>
    <w:rsid w:val="00202FC1"/>
    <w:rsid w:val="0020404F"/>
    <w:rsid w:val="0020416B"/>
    <w:rsid w:val="002041A8"/>
    <w:rsid w:val="00204640"/>
    <w:rsid w:val="00206343"/>
    <w:rsid w:val="0021109F"/>
    <w:rsid w:val="0021133B"/>
    <w:rsid w:val="0021137F"/>
    <w:rsid w:val="00211B32"/>
    <w:rsid w:val="00212345"/>
    <w:rsid w:val="00213839"/>
    <w:rsid w:val="0021428A"/>
    <w:rsid w:val="0021479E"/>
    <w:rsid w:val="002156BC"/>
    <w:rsid w:val="00217842"/>
    <w:rsid w:val="00217AC7"/>
    <w:rsid w:val="00217F08"/>
    <w:rsid w:val="00220AA1"/>
    <w:rsid w:val="002213BB"/>
    <w:rsid w:val="00222035"/>
    <w:rsid w:val="002220D5"/>
    <w:rsid w:val="00222997"/>
    <w:rsid w:val="00223068"/>
    <w:rsid w:val="00223508"/>
    <w:rsid w:val="00223EAC"/>
    <w:rsid w:val="002253C1"/>
    <w:rsid w:val="0022615A"/>
    <w:rsid w:val="00226A09"/>
    <w:rsid w:val="00226B05"/>
    <w:rsid w:val="00227BB1"/>
    <w:rsid w:val="0023026E"/>
    <w:rsid w:val="00231EAF"/>
    <w:rsid w:val="0023222E"/>
    <w:rsid w:val="0023229B"/>
    <w:rsid w:val="00233CEB"/>
    <w:rsid w:val="00234BF2"/>
    <w:rsid w:val="00236616"/>
    <w:rsid w:val="00236693"/>
    <w:rsid w:val="00236B5C"/>
    <w:rsid w:val="002375BB"/>
    <w:rsid w:val="0024036B"/>
    <w:rsid w:val="00241C68"/>
    <w:rsid w:val="00241DAC"/>
    <w:rsid w:val="00242088"/>
    <w:rsid w:val="0024294B"/>
    <w:rsid w:val="0024326E"/>
    <w:rsid w:val="002439BE"/>
    <w:rsid w:val="00243FDD"/>
    <w:rsid w:val="002445C0"/>
    <w:rsid w:val="00244F58"/>
    <w:rsid w:val="00245131"/>
    <w:rsid w:val="00245364"/>
    <w:rsid w:val="00245BB3"/>
    <w:rsid w:val="00246067"/>
    <w:rsid w:val="00246206"/>
    <w:rsid w:val="00246B2F"/>
    <w:rsid w:val="00246FA5"/>
    <w:rsid w:val="00247EB8"/>
    <w:rsid w:val="002500BB"/>
    <w:rsid w:val="002501D1"/>
    <w:rsid w:val="00251C61"/>
    <w:rsid w:val="00251F63"/>
    <w:rsid w:val="002522EE"/>
    <w:rsid w:val="00252A1C"/>
    <w:rsid w:val="002561DA"/>
    <w:rsid w:val="00256F8A"/>
    <w:rsid w:val="0025717D"/>
    <w:rsid w:val="00257401"/>
    <w:rsid w:val="00260222"/>
    <w:rsid w:val="00261847"/>
    <w:rsid w:val="00262561"/>
    <w:rsid w:val="00263C9F"/>
    <w:rsid w:val="00264432"/>
    <w:rsid w:val="0026459B"/>
    <w:rsid w:val="002652EA"/>
    <w:rsid w:val="00265BA9"/>
    <w:rsid w:val="00266114"/>
    <w:rsid w:val="00266864"/>
    <w:rsid w:val="00267E44"/>
    <w:rsid w:val="00271218"/>
    <w:rsid w:val="00274F8E"/>
    <w:rsid w:val="0027532B"/>
    <w:rsid w:val="00280C58"/>
    <w:rsid w:val="00281D87"/>
    <w:rsid w:val="00282F91"/>
    <w:rsid w:val="00284309"/>
    <w:rsid w:val="0028496C"/>
    <w:rsid w:val="00284998"/>
    <w:rsid w:val="00284E94"/>
    <w:rsid w:val="002875E5"/>
    <w:rsid w:val="00290BFB"/>
    <w:rsid w:val="00291669"/>
    <w:rsid w:val="002934E4"/>
    <w:rsid w:val="00294B4B"/>
    <w:rsid w:val="002962A1"/>
    <w:rsid w:val="002A059F"/>
    <w:rsid w:val="002A2E79"/>
    <w:rsid w:val="002A3344"/>
    <w:rsid w:val="002A52E7"/>
    <w:rsid w:val="002A53FC"/>
    <w:rsid w:val="002A55FB"/>
    <w:rsid w:val="002A6C28"/>
    <w:rsid w:val="002A712F"/>
    <w:rsid w:val="002A79EC"/>
    <w:rsid w:val="002B0A94"/>
    <w:rsid w:val="002B16AE"/>
    <w:rsid w:val="002B2118"/>
    <w:rsid w:val="002B2E17"/>
    <w:rsid w:val="002B33CA"/>
    <w:rsid w:val="002B36B2"/>
    <w:rsid w:val="002B50C1"/>
    <w:rsid w:val="002B5323"/>
    <w:rsid w:val="002B6550"/>
    <w:rsid w:val="002C17EF"/>
    <w:rsid w:val="002C3920"/>
    <w:rsid w:val="002C40B5"/>
    <w:rsid w:val="002C44B4"/>
    <w:rsid w:val="002C5333"/>
    <w:rsid w:val="002C5932"/>
    <w:rsid w:val="002C5D69"/>
    <w:rsid w:val="002C6049"/>
    <w:rsid w:val="002C77D4"/>
    <w:rsid w:val="002D05EF"/>
    <w:rsid w:val="002D1F1E"/>
    <w:rsid w:val="002D29EE"/>
    <w:rsid w:val="002D32F5"/>
    <w:rsid w:val="002D3685"/>
    <w:rsid w:val="002D402E"/>
    <w:rsid w:val="002D50AD"/>
    <w:rsid w:val="002D5930"/>
    <w:rsid w:val="002D63F5"/>
    <w:rsid w:val="002E0139"/>
    <w:rsid w:val="002E0192"/>
    <w:rsid w:val="002E072E"/>
    <w:rsid w:val="002E0EEB"/>
    <w:rsid w:val="002E1500"/>
    <w:rsid w:val="002E1A37"/>
    <w:rsid w:val="002E2BC4"/>
    <w:rsid w:val="002E4ABD"/>
    <w:rsid w:val="002E5124"/>
    <w:rsid w:val="002E545B"/>
    <w:rsid w:val="002E5C52"/>
    <w:rsid w:val="002E6F50"/>
    <w:rsid w:val="002E748E"/>
    <w:rsid w:val="002F54E2"/>
    <w:rsid w:val="002F6F6C"/>
    <w:rsid w:val="002F763B"/>
    <w:rsid w:val="002F7893"/>
    <w:rsid w:val="00302781"/>
    <w:rsid w:val="00304BB2"/>
    <w:rsid w:val="00304EB5"/>
    <w:rsid w:val="00305AEE"/>
    <w:rsid w:val="00305DAF"/>
    <w:rsid w:val="00307029"/>
    <w:rsid w:val="00307315"/>
    <w:rsid w:val="0030786F"/>
    <w:rsid w:val="0030788F"/>
    <w:rsid w:val="0031360C"/>
    <w:rsid w:val="00313F9E"/>
    <w:rsid w:val="003155B3"/>
    <w:rsid w:val="00317413"/>
    <w:rsid w:val="00320883"/>
    <w:rsid w:val="00321A08"/>
    <w:rsid w:val="00321CB5"/>
    <w:rsid w:val="00321EED"/>
    <w:rsid w:val="00322710"/>
    <w:rsid w:val="00322897"/>
    <w:rsid w:val="00322CF8"/>
    <w:rsid w:val="003236D0"/>
    <w:rsid w:val="003245A4"/>
    <w:rsid w:val="0032645E"/>
    <w:rsid w:val="00326FF2"/>
    <w:rsid w:val="00332A08"/>
    <w:rsid w:val="00333CE6"/>
    <w:rsid w:val="003355B4"/>
    <w:rsid w:val="00335C5E"/>
    <w:rsid w:val="00335F62"/>
    <w:rsid w:val="0033690C"/>
    <w:rsid w:val="00336CB4"/>
    <w:rsid w:val="00337042"/>
    <w:rsid w:val="00337EF7"/>
    <w:rsid w:val="003401A0"/>
    <w:rsid w:val="00340229"/>
    <w:rsid w:val="00340C81"/>
    <w:rsid w:val="00342102"/>
    <w:rsid w:val="003435E8"/>
    <w:rsid w:val="00343603"/>
    <w:rsid w:val="00343BB3"/>
    <w:rsid w:val="00345E1D"/>
    <w:rsid w:val="003476DC"/>
    <w:rsid w:val="0035076B"/>
    <w:rsid w:val="00351F04"/>
    <w:rsid w:val="00351F8A"/>
    <w:rsid w:val="003602EF"/>
    <w:rsid w:val="003605A5"/>
    <w:rsid w:val="00361BB4"/>
    <w:rsid w:val="00361F3B"/>
    <w:rsid w:val="00363918"/>
    <w:rsid w:val="00363D6E"/>
    <w:rsid w:val="00364C1A"/>
    <w:rsid w:val="00364D27"/>
    <w:rsid w:val="00365046"/>
    <w:rsid w:val="00366FE7"/>
    <w:rsid w:val="0036724C"/>
    <w:rsid w:val="00367693"/>
    <w:rsid w:val="00370A84"/>
    <w:rsid w:val="003713AB"/>
    <w:rsid w:val="003727A7"/>
    <w:rsid w:val="0037285A"/>
    <w:rsid w:val="00372A49"/>
    <w:rsid w:val="00373856"/>
    <w:rsid w:val="00373FD8"/>
    <w:rsid w:val="00375D2E"/>
    <w:rsid w:val="00376F58"/>
    <w:rsid w:val="00380107"/>
    <w:rsid w:val="003806ED"/>
    <w:rsid w:val="003809FC"/>
    <w:rsid w:val="00380B48"/>
    <w:rsid w:val="00381D4B"/>
    <w:rsid w:val="003821E8"/>
    <w:rsid w:val="00382453"/>
    <w:rsid w:val="003841C3"/>
    <w:rsid w:val="00385A58"/>
    <w:rsid w:val="00385C47"/>
    <w:rsid w:val="00385D6E"/>
    <w:rsid w:val="003917DB"/>
    <w:rsid w:val="003926D3"/>
    <w:rsid w:val="003927F1"/>
    <w:rsid w:val="00393691"/>
    <w:rsid w:val="003941C4"/>
    <w:rsid w:val="00395086"/>
    <w:rsid w:val="00395506"/>
    <w:rsid w:val="003961D9"/>
    <w:rsid w:val="003965E8"/>
    <w:rsid w:val="003968D5"/>
    <w:rsid w:val="00397B99"/>
    <w:rsid w:val="003A4505"/>
    <w:rsid w:val="003A61D4"/>
    <w:rsid w:val="003A63A4"/>
    <w:rsid w:val="003A6CA5"/>
    <w:rsid w:val="003A6DFF"/>
    <w:rsid w:val="003A784A"/>
    <w:rsid w:val="003B10C8"/>
    <w:rsid w:val="003B32FE"/>
    <w:rsid w:val="003B3A11"/>
    <w:rsid w:val="003B51AF"/>
    <w:rsid w:val="003B6175"/>
    <w:rsid w:val="003B6292"/>
    <w:rsid w:val="003B6531"/>
    <w:rsid w:val="003B6DD6"/>
    <w:rsid w:val="003B70BC"/>
    <w:rsid w:val="003C189C"/>
    <w:rsid w:val="003C1AC1"/>
    <w:rsid w:val="003C3CD9"/>
    <w:rsid w:val="003C3FB0"/>
    <w:rsid w:val="003C54FE"/>
    <w:rsid w:val="003C55E0"/>
    <w:rsid w:val="003C6B1B"/>
    <w:rsid w:val="003C6E9A"/>
    <w:rsid w:val="003C75AE"/>
    <w:rsid w:val="003C7649"/>
    <w:rsid w:val="003C788C"/>
    <w:rsid w:val="003C7C0A"/>
    <w:rsid w:val="003D0AD7"/>
    <w:rsid w:val="003D2187"/>
    <w:rsid w:val="003D2FBF"/>
    <w:rsid w:val="003D55D8"/>
    <w:rsid w:val="003E05C2"/>
    <w:rsid w:val="003E0AED"/>
    <w:rsid w:val="003E1276"/>
    <w:rsid w:val="003E217A"/>
    <w:rsid w:val="003E26CB"/>
    <w:rsid w:val="003E2845"/>
    <w:rsid w:val="003E55BB"/>
    <w:rsid w:val="003E5DDF"/>
    <w:rsid w:val="003E62CE"/>
    <w:rsid w:val="003E6B39"/>
    <w:rsid w:val="003F0489"/>
    <w:rsid w:val="003F0A78"/>
    <w:rsid w:val="003F12E1"/>
    <w:rsid w:val="003F1B5F"/>
    <w:rsid w:val="003F2240"/>
    <w:rsid w:val="003F29F1"/>
    <w:rsid w:val="003F3096"/>
    <w:rsid w:val="003F6053"/>
    <w:rsid w:val="003F7DC9"/>
    <w:rsid w:val="00400408"/>
    <w:rsid w:val="00400431"/>
    <w:rsid w:val="00402005"/>
    <w:rsid w:val="00402333"/>
    <w:rsid w:val="00402D6D"/>
    <w:rsid w:val="00405D3F"/>
    <w:rsid w:val="004063AB"/>
    <w:rsid w:val="004070DB"/>
    <w:rsid w:val="004076B4"/>
    <w:rsid w:val="00410F45"/>
    <w:rsid w:val="00412526"/>
    <w:rsid w:val="004125AF"/>
    <w:rsid w:val="00413702"/>
    <w:rsid w:val="00413A68"/>
    <w:rsid w:val="00414BA1"/>
    <w:rsid w:val="00414D2E"/>
    <w:rsid w:val="00415209"/>
    <w:rsid w:val="004156EC"/>
    <w:rsid w:val="0041570A"/>
    <w:rsid w:val="00415BB6"/>
    <w:rsid w:val="004209FC"/>
    <w:rsid w:val="00420E75"/>
    <w:rsid w:val="00424F51"/>
    <w:rsid w:val="00426592"/>
    <w:rsid w:val="004274C0"/>
    <w:rsid w:val="00427C13"/>
    <w:rsid w:val="00427CC9"/>
    <w:rsid w:val="00430096"/>
    <w:rsid w:val="00433961"/>
    <w:rsid w:val="00433FC1"/>
    <w:rsid w:val="00434FAE"/>
    <w:rsid w:val="0043585B"/>
    <w:rsid w:val="004364A0"/>
    <w:rsid w:val="00437B69"/>
    <w:rsid w:val="00437C5F"/>
    <w:rsid w:val="00441ECA"/>
    <w:rsid w:val="00442244"/>
    <w:rsid w:val="00444FF8"/>
    <w:rsid w:val="00446C93"/>
    <w:rsid w:val="00450DAC"/>
    <w:rsid w:val="00452BD1"/>
    <w:rsid w:val="0045379A"/>
    <w:rsid w:val="00453D69"/>
    <w:rsid w:val="00454BB3"/>
    <w:rsid w:val="00455E2C"/>
    <w:rsid w:val="0045697C"/>
    <w:rsid w:val="00457630"/>
    <w:rsid w:val="00457848"/>
    <w:rsid w:val="0046120E"/>
    <w:rsid w:val="00461CA8"/>
    <w:rsid w:val="004633BC"/>
    <w:rsid w:val="00463454"/>
    <w:rsid w:val="004636DC"/>
    <w:rsid w:val="004640CA"/>
    <w:rsid w:val="00464192"/>
    <w:rsid w:val="00464B51"/>
    <w:rsid w:val="00464F56"/>
    <w:rsid w:val="00465B50"/>
    <w:rsid w:val="00465CE8"/>
    <w:rsid w:val="00465D6F"/>
    <w:rsid w:val="00465F8E"/>
    <w:rsid w:val="004661C4"/>
    <w:rsid w:val="00466B92"/>
    <w:rsid w:val="0047318F"/>
    <w:rsid w:val="004731D6"/>
    <w:rsid w:val="004736CF"/>
    <w:rsid w:val="0047376B"/>
    <w:rsid w:val="00474DEA"/>
    <w:rsid w:val="00475CB7"/>
    <w:rsid w:val="004770E2"/>
    <w:rsid w:val="00477AEB"/>
    <w:rsid w:val="00483C6A"/>
    <w:rsid w:val="00484A5B"/>
    <w:rsid w:val="00485D8B"/>
    <w:rsid w:val="00486752"/>
    <w:rsid w:val="0049274D"/>
    <w:rsid w:val="00492D77"/>
    <w:rsid w:val="00493256"/>
    <w:rsid w:val="004939DB"/>
    <w:rsid w:val="00494131"/>
    <w:rsid w:val="00496919"/>
    <w:rsid w:val="004A055E"/>
    <w:rsid w:val="004A203C"/>
    <w:rsid w:val="004A28E3"/>
    <w:rsid w:val="004A3549"/>
    <w:rsid w:val="004A3811"/>
    <w:rsid w:val="004A41BE"/>
    <w:rsid w:val="004A5961"/>
    <w:rsid w:val="004A5C6E"/>
    <w:rsid w:val="004A6B1E"/>
    <w:rsid w:val="004A7934"/>
    <w:rsid w:val="004B0D22"/>
    <w:rsid w:val="004B1DE1"/>
    <w:rsid w:val="004B20C8"/>
    <w:rsid w:val="004B3BC3"/>
    <w:rsid w:val="004B4D33"/>
    <w:rsid w:val="004B567D"/>
    <w:rsid w:val="004B58E0"/>
    <w:rsid w:val="004B6474"/>
    <w:rsid w:val="004B7858"/>
    <w:rsid w:val="004C220B"/>
    <w:rsid w:val="004C3565"/>
    <w:rsid w:val="004C3E9B"/>
    <w:rsid w:val="004C52F7"/>
    <w:rsid w:val="004C5C68"/>
    <w:rsid w:val="004C71D4"/>
    <w:rsid w:val="004D0A43"/>
    <w:rsid w:val="004D156B"/>
    <w:rsid w:val="004D250A"/>
    <w:rsid w:val="004D4A1E"/>
    <w:rsid w:val="004D4BC1"/>
    <w:rsid w:val="004D66FF"/>
    <w:rsid w:val="004E086B"/>
    <w:rsid w:val="004E0894"/>
    <w:rsid w:val="004E0E84"/>
    <w:rsid w:val="004E3B73"/>
    <w:rsid w:val="004E450E"/>
    <w:rsid w:val="004E4B36"/>
    <w:rsid w:val="004E5015"/>
    <w:rsid w:val="004E6518"/>
    <w:rsid w:val="004E6715"/>
    <w:rsid w:val="004E673F"/>
    <w:rsid w:val="004E76AE"/>
    <w:rsid w:val="004E790C"/>
    <w:rsid w:val="004E7D1F"/>
    <w:rsid w:val="004F5032"/>
    <w:rsid w:val="004F6B19"/>
    <w:rsid w:val="004F6D50"/>
    <w:rsid w:val="00501AB6"/>
    <w:rsid w:val="00505E67"/>
    <w:rsid w:val="005067F6"/>
    <w:rsid w:val="00506A4F"/>
    <w:rsid w:val="00506EB3"/>
    <w:rsid w:val="00507B2B"/>
    <w:rsid w:val="00507E01"/>
    <w:rsid w:val="00511BC0"/>
    <w:rsid w:val="00513493"/>
    <w:rsid w:val="00514D24"/>
    <w:rsid w:val="00516ED7"/>
    <w:rsid w:val="00523BE1"/>
    <w:rsid w:val="0052474F"/>
    <w:rsid w:val="005252E9"/>
    <w:rsid w:val="005253CE"/>
    <w:rsid w:val="0052746F"/>
    <w:rsid w:val="00527955"/>
    <w:rsid w:val="00532463"/>
    <w:rsid w:val="00533705"/>
    <w:rsid w:val="0053438D"/>
    <w:rsid w:val="00534564"/>
    <w:rsid w:val="005345B4"/>
    <w:rsid w:val="00534CC7"/>
    <w:rsid w:val="00536CF9"/>
    <w:rsid w:val="0053744A"/>
    <w:rsid w:val="005375AC"/>
    <w:rsid w:val="00537EEE"/>
    <w:rsid w:val="00540666"/>
    <w:rsid w:val="0054165C"/>
    <w:rsid w:val="005427D6"/>
    <w:rsid w:val="005430C6"/>
    <w:rsid w:val="00544FA4"/>
    <w:rsid w:val="005454B6"/>
    <w:rsid w:val="005460E1"/>
    <w:rsid w:val="00546CE7"/>
    <w:rsid w:val="00547753"/>
    <w:rsid w:val="0055018B"/>
    <w:rsid w:val="005509D7"/>
    <w:rsid w:val="00550A04"/>
    <w:rsid w:val="00550B9E"/>
    <w:rsid w:val="00550BFE"/>
    <w:rsid w:val="005511AB"/>
    <w:rsid w:val="005520BB"/>
    <w:rsid w:val="00552599"/>
    <w:rsid w:val="00552AA0"/>
    <w:rsid w:val="005535EF"/>
    <w:rsid w:val="00554476"/>
    <w:rsid w:val="00554877"/>
    <w:rsid w:val="00560EDB"/>
    <w:rsid w:val="0056109D"/>
    <w:rsid w:val="00562248"/>
    <w:rsid w:val="00562935"/>
    <w:rsid w:val="00562EFC"/>
    <w:rsid w:val="005637C2"/>
    <w:rsid w:val="00564D44"/>
    <w:rsid w:val="00566181"/>
    <w:rsid w:val="005663D2"/>
    <w:rsid w:val="0056653D"/>
    <w:rsid w:val="005703E7"/>
    <w:rsid w:val="0057084A"/>
    <w:rsid w:val="00571296"/>
    <w:rsid w:val="0057193A"/>
    <w:rsid w:val="00571B65"/>
    <w:rsid w:val="00572AFA"/>
    <w:rsid w:val="00572EAF"/>
    <w:rsid w:val="00573184"/>
    <w:rsid w:val="005775D6"/>
    <w:rsid w:val="0058104D"/>
    <w:rsid w:val="005840DF"/>
    <w:rsid w:val="005842CB"/>
    <w:rsid w:val="00585DCE"/>
    <w:rsid w:val="00586316"/>
    <w:rsid w:val="00586397"/>
    <w:rsid w:val="005866CC"/>
    <w:rsid w:val="00587A01"/>
    <w:rsid w:val="00587BE1"/>
    <w:rsid w:val="00590FDD"/>
    <w:rsid w:val="00591667"/>
    <w:rsid w:val="0059240B"/>
    <w:rsid w:val="00592553"/>
    <w:rsid w:val="005930D3"/>
    <w:rsid w:val="005934AA"/>
    <w:rsid w:val="00593506"/>
    <w:rsid w:val="005935C7"/>
    <w:rsid w:val="00594DA9"/>
    <w:rsid w:val="005962F0"/>
    <w:rsid w:val="00596AD0"/>
    <w:rsid w:val="00596DB4"/>
    <w:rsid w:val="005A0C75"/>
    <w:rsid w:val="005A0CCC"/>
    <w:rsid w:val="005A1FCC"/>
    <w:rsid w:val="005A3193"/>
    <w:rsid w:val="005A33E3"/>
    <w:rsid w:val="005A3695"/>
    <w:rsid w:val="005A3A5B"/>
    <w:rsid w:val="005A58E7"/>
    <w:rsid w:val="005B043B"/>
    <w:rsid w:val="005B1D7D"/>
    <w:rsid w:val="005B45D8"/>
    <w:rsid w:val="005B4AB1"/>
    <w:rsid w:val="005B4F39"/>
    <w:rsid w:val="005B63D0"/>
    <w:rsid w:val="005B64B1"/>
    <w:rsid w:val="005C0D79"/>
    <w:rsid w:val="005C1BE9"/>
    <w:rsid w:val="005C2709"/>
    <w:rsid w:val="005C41E4"/>
    <w:rsid w:val="005C5183"/>
    <w:rsid w:val="005C5380"/>
    <w:rsid w:val="005C5AAD"/>
    <w:rsid w:val="005C65F2"/>
    <w:rsid w:val="005C67EF"/>
    <w:rsid w:val="005C7CE3"/>
    <w:rsid w:val="005D01BC"/>
    <w:rsid w:val="005D0A3F"/>
    <w:rsid w:val="005D141B"/>
    <w:rsid w:val="005D1E08"/>
    <w:rsid w:val="005D1F2B"/>
    <w:rsid w:val="005D6F70"/>
    <w:rsid w:val="005D708A"/>
    <w:rsid w:val="005D7431"/>
    <w:rsid w:val="005D7D8E"/>
    <w:rsid w:val="005D7E1B"/>
    <w:rsid w:val="005E0A63"/>
    <w:rsid w:val="005E1A05"/>
    <w:rsid w:val="005E2966"/>
    <w:rsid w:val="005E30EB"/>
    <w:rsid w:val="005E48F0"/>
    <w:rsid w:val="005E7F63"/>
    <w:rsid w:val="005F0C65"/>
    <w:rsid w:val="005F6E14"/>
    <w:rsid w:val="005F704D"/>
    <w:rsid w:val="00600DE7"/>
    <w:rsid w:val="0060393B"/>
    <w:rsid w:val="00605687"/>
    <w:rsid w:val="006064A2"/>
    <w:rsid w:val="00610D28"/>
    <w:rsid w:val="00611417"/>
    <w:rsid w:val="00612776"/>
    <w:rsid w:val="00613B13"/>
    <w:rsid w:val="00617B2C"/>
    <w:rsid w:val="0062201C"/>
    <w:rsid w:val="00622977"/>
    <w:rsid w:val="00623261"/>
    <w:rsid w:val="006244D0"/>
    <w:rsid w:val="00625762"/>
    <w:rsid w:val="00625826"/>
    <w:rsid w:val="00625997"/>
    <w:rsid w:val="006261F0"/>
    <w:rsid w:val="006263E8"/>
    <w:rsid w:val="00626B68"/>
    <w:rsid w:val="00626E60"/>
    <w:rsid w:val="00627AF2"/>
    <w:rsid w:val="00630441"/>
    <w:rsid w:val="006308AE"/>
    <w:rsid w:val="006319AD"/>
    <w:rsid w:val="00632E5B"/>
    <w:rsid w:val="006334DC"/>
    <w:rsid w:val="00634743"/>
    <w:rsid w:val="00635DAC"/>
    <w:rsid w:val="00637D65"/>
    <w:rsid w:val="00640166"/>
    <w:rsid w:val="00640D24"/>
    <w:rsid w:val="00641BCB"/>
    <w:rsid w:val="00642FB4"/>
    <w:rsid w:val="006452D2"/>
    <w:rsid w:val="0064565D"/>
    <w:rsid w:val="00645D9B"/>
    <w:rsid w:val="00646966"/>
    <w:rsid w:val="00646CAD"/>
    <w:rsid w:val="00646D91"/>
    <w:rsid w:val="00647A9E"/>
    <w:rsid w:val="00647C4B"/>
    <w:rsid w:val="0065000A"/>
    <w:rsid w:val="00650451"/>
    <w:rsid w:val="006506EE"/>
    <w:rsid w:val="00653B2F"/>
    <w:rsid w:val="00655D4D"/>
    <w:rsid w:val="00657C70"/>
    <w:rsid w:val="006613B9"/>
    <w:rsid w:val="00661ED6"/>
    <w:rsid w:val="00662169"/>
    <w:rsid w:val="006631F9"/>
    <w:rsid w:val="006643E2"/>
    <w:rsid w:val="00664CF8"/>
    <w:rsid w:val="0066507B"/>
    <w:rsid w:val="00665C2A"/>
    <w:rsid w:val="00666CE6"/>
    <w:rsid w:val="00667487"/>
    <w:rsid w:val="006675C8"/>
    <w:rsid w:val="006701F2"/>
    <w:rsid w:val="0067103B"/>
    <w:rsid w:val="0067134C"/>
    <w:rsid w:val="006722DD"/>
    <w:rsid w:val="006725F5"/>
    <w:rsid w:val="006745F2"/>
    <w:rsid w:val="0067486A"/>
    <w:rsid w:val="00675D5B"/>
    <w:rsid w:val="00676FAC"/>
    <w:rsid w:val="006774F9"/>
    <w:rsid w:val="0067765E"/>
    <w:rsid w:val="00680F7C"/>
    <w:rsid w:val="006812D9"/>
    <w:rsid w:val="00681C5E"/>
    <w:rsid w:val="006823D9"/>
    <w:rsid w:val="006839E9"/>
    <w:rsid w:val="00684D95"/>
    <w:rsid w:val="00685AE6"/>
    <w:rsid w:val="00687CF0"/>
    <w:rsid w:val="006930E1"/>
    <w:rsid w:val="00694AED"/>
    <w:rsid w:val="00694E3F"/>
    <w:rsid w:val="006955CC"/>
    <w:rsid w:val="00695F03"/>
    <w:rsid w:val="00696980"/>
    <w:rsid w:val="00697A3D"/>
    <w:rsid w:val="006A011E"/>
    <w:rsid w:val="006A15F4"/>
    <w:rsid w:val="006A3E51"/>
    <w:rsid w:val="006A426D"/>
    <w:rsid w:val="006A74B7"/>
    <w:rsid w:val="006B1498"/>
    <w:rsid w:val="006B2891"/>
    <w:rsid w:val="006B48C9"/>
    <w:rsid w:val="006B7506"/>
    <w:rsid w:val="006B7BC8"/>
    <w:rsid w:val="006C03CB"/>
    <w:rsid w:val="006C124E"/>
    <w:rsid w:val="006C2422"/>
    <w:rsid w:val="006C4571"/>
    <w:rsid w:val="006C5399"/>
    <w:rsid w:val="006C53B2"/>
    <w:rsid w:val="006C5687"/>
    <w:rsid w:val="006C5FB3"/>
    <w:rsid w:val="006D1002"/>
    <w:rsid w:val="006D2846"/>
    <w:rsid w:val="006D2BA7"/>
    <w:rsid w:val="006D307D"/>
    <w:rsid w:val="006D3565"/>
    <w:rsid w:val="006D4C39"/>
    <w:rsid w:val="006D6721"/>
    <w:rsid w:val="006D6B0C"/>
    <w:rsid w:val="006D6F3C"/>
    <w:rsid w:val="006D79E4"/>
    <w:rsid w:val="006D7C65"/>
    <w:rsid w:val="006D7E02"/>
    <w:rsid w:val="006E00F6"/>
    <w:rsid w:val="006E1E1C"/>
    <w:rsid w:val="006E33AB"/>
    <w:rsid w:val="006E358A"/>
    <w:rsid w:val="006E53B9"/>
    <w:rsid w:val="006E5B95"/>
    <w:rsid w:val="006E5F8D"/>
    <w:rsid w:val="006E64B3"/>
    <w:rsid w:val="006E673F"/>
    <w:rsid w:val="006F0D07"/>
    <w:rsid w:val="006F0F4D"/>
    <w:rsid w:val="006F1137"/>
    <w:rsid w:val="006F257E"/>
    <w:rsid w:val="006F2A7A"/>
    <w:rsid w:val="006F4EE5"/>
    <w:rsid w:val="006F512A"/>
    <w:rsid w:val="006F560D"/>
    <w:rsid w:val="006F603D"/>
    <w:rsid w:val="006F6202"/>
    <w:rsid w:val="006F7690"/>
    <w:rsid w:val="007006C1"/>
    <w:rsid w:val="00701C68"/>
    <w:rsid w:val="00701FBE"/>
    <w:rsid w:val="00703B05"/>
    <w:rsid w:val="00704175"/>
    <w:rsid w:val="00704EF0"/>
    <w:rsid w:val="007051E0"/>
    <w:rsid w:val="007073FA"/>
    <w:rsid w:val="00712C20"/>
    <w:rsid w:val="00715595"/>
    <w:rsid w:val="007155B4"/>
    <w:rsid w:val="00715837"/>
    <w:rsid w:val="00716DD2"/>
    <w:rsid w:val="007207E4"/>
    <w:rsid w:val="00721650"/>
    <w:rsid w:val="007218CF"/>
    <w:rsid w:val="0072201B"/>
    <w:rsid w:val="0072281E"/>
    <w:rsid w:val="00724AA6"/>
    <w:rsid w:val="00726B3A"/>
    <w:rsid w:val="007300E2"/>
    <w:rsid w:val="007304E1"/>
    <w:rsid w:val="00730FE9"/>
    <w:rsid w:val="00731377"/>
    <w:rsid w:val="007323E6"/>
    <w:rsid w:val="00735A29"/>
    <w:rsid w:val="00736438"/>
    <w:rsid w:val="00736869"/>
    <w:rsid w:val="00740D9B"/>
    <w:rsid w:val="0074198A"/>
    <w:rsid w:val="00741C2A"/>
    <w:rsid w:val="00745416"/>
    <w:rsid w:val="0074567B"/>
    <w:rsid w:val="00747865"/>
    <w:rsid w:val="00751959"/>
    <w:rsid w:val="00751FFA"/>
    <w:rsid w:val="007525F5"/>
    <w:rsid w:val="007528B2"/>
    <w:rsid w:val="00753114"/>
    <w:rsid w:val="00753F0F"/>
    <w:rsid w:val="00754373"/>
    <w:rsid w:val="007552B1"/>
    <w:rsid w:val="0075749B"/>
    <w:rsid w:val="00760789"/>
    <w:rsid w:val="00760F23"/>
    <w:rsid w:val="007611FD"/>
    <w:rsid w:val="0076199D"/>
    <w:rsid w:val="007620DE"/>
    <w:rsid w:val="00762675"/>
    <w:rsid w:val="007634C5"/>
    <w:rsid w:val="00764042"/>
    <w:rsid w:val="00764B29"/>
    <w:rsid w:val="00764FFD"/>
    <w:rsid w:val="00765A6F"/>
    <w:rsid w:val="00766346"/>
    <w:rsid w:val="007667AC"/>
    <w:rsid w:val="00767374"/>
    <w:rsid w:val="00770C3D"/>
    <w:rsid w:val="00770DB6"/>
    <w:rsid w:val="00772ABB"/>
    <w:rsid w:val="00773989"/>
    <w:rsid w:val="00774B8D"/>
    <w:rsid w:val="00774B8E"/>
    <w:rsid w:val="00775379"/>
    <w:rsid w:val="00777497"/>
    <w:rsid w:val="00777837"/>
    <w:rsid w:val="00780BA6"/>
    <w:rsid w:val="00780F72"/>
    <w:rsid w:val="00781C9F"/>
    <w:rsid w:val="0078286A"/>
    <w:rsid w:val="00783143"/>
    <w:rsid w:val="0078322A"/>
    <w:rsid w:val="00783822"/>
    <w:rsid w:val="007855B5"/>
    <w:rsid w:val="007865D7"/>
    <w:rsid w:val="007902AC"/>
    <w:rsid w:val="00790AB2"/>
    <w:rsid w:val="00791F65"/>
    <w:rsid w:val="00792AD4"/>
    <w:rsid w:val="00794BA0"/>
    <w:rsid w:val="0079561A"/>
    <w:rsid w:val="00796B0E"/>
    <w:rsid w:val="00797289"/>
    <w:rsid w:val="00797874"/>
    <w:rsid w:val="007A03AD"/>
    <w:rsid w:val="007A0B1E"/>
    <w:rsid w:val="007A1379"/>
    <w:rsid w:val="007A2C95"/>
    <w:rsid w:val="007A3B65"/>
    <w:rsid w:val="007A3BC6"/>
    <w:rsid w:val="007A4F11"/>
    <w:rsid w:val="007A551D"/>
    <w:rsid w:val="007B0CF5"/>
    <w:rsid w:val="007B1079"/>
    <w:rsid w:val="007B149A"/>
    <w:rsid w:val="007B1973"/>
    <w:rsid w:val="007B213B"/>
    <w:rsid w:val="007B2461"/>
    <w:rsid w:val="007B25BC"/>
    <w:rsid w:val="007B3194"/>
    <w:rsid w:val="007B521A"/>
    <w:rsid w:val="007B722B"/>
    <w:rsid w:val="007B7D88"/>
    <w:rsid w:val="007C09C0"/>
    <w:rsid w:val="007C0D5D"/>
    <w:rsid w:val="007C2EF0"/>
    <w:rsid w:val="007C304F"/>
    <w:rsid w:val="007C33B7"/>
    <w:rsid w:val="007C344F"/>
    <w:rsid w:val="007C415C"/>
    <w:rsid w:val="007C6A3E"/>
    <w:rsid w:val="007C7375"/>
    <w:rsid w:val="007C7B5A"/>
    <w:rsid w:val="007D0662"/>
    <w:rsid w:val="007D2C82"/>
    <w:rsid w:val="007D352E"/>
    <w:rsid w:val="007D40E0"/>
    <w:rsid w:val="007D483E"/>
    <w:rsid w:val="007D511C"/>
    <w:rsid w:val="007D6636"/>
    <w:rsid w:val="007D68A8"/>
    <w:rsid w:val="007E38D4"/>
    <w:rsid w:val="007E4CEA"/>
    <w:rsid w:val="007E4E35"/>
    <w:rsid w:val="007E71C4"/>
    <w:rsid w:val="007E7F6D"/>
    <w:rsid w:val="007F0071"/>
    <w:rsid w:val="007F1DB9"/>
    <w:rsid w:val="007F1E46"/>
    <w:rsid w:val="007F228E"/>
    <w:rsid w:val="007F34DD"/>
    <w:rsid w:val="007F3AE0"/>
    <w:rsid w:val="007F3B8A"/>
    <w:rsid w:val="007F63D4"/>
    <w:rsid w:val="007F6D9A"/>
    <w:rsid w:val="007F7A73"/>
    <w:rsid w:val="0080089A"/>
    <w:rsid w:val="00800A87"/>
    <w:rsid w:val="00802409"/>
    <w:rsid w:val="00803A13"/>
    <w:rsid w:val="00805455"/>
    <w:rsid w:val="00805A89"/>
    <w:rsid w:val="00807382"/>
    <w:rsid w:val="008076A7"/>
    <w:rsid w:val="0081022F"/>
    <w:rsid w:val="008120B7"/>
    <w:rsid w:val="00812388"/>
    <w:rsid w:val="00812D21"/>
    <w:rsid w:val="00813DE0"/>
    <w:rsid w:val="00817D1E"/>
    <w:rsid w:val="00817DD4"/>
    <w:rsid w:val="00817E83"/>
    <w:rsid w:val="00821A49"/>
    <w:rsid w:val="00821D56"/>
    <w:rsid w:val="00821D9B"/>
    <w:rsid w:val="00822C06"/>
    <w:rsid w:val="00822C90"/>
    <w:rsid w:val="0082373D"/>
    <w:rsid w:val="008246F3"/>
    <w:rsid w:val="008255D4"/>
    <w:rsid w:val="00825A49"/>
    <w:rsid w:val="0082619D"/>
    <w:rsid w:val="00826750"/>
    <w:rsid w:val="00832DBD"/>
    <w:rsid w:val="00835C27"/>
    <w:rsid w:val="00835FA0"/>
    <w:rsid w:val="00836C87"/>
    <w:rsid w:val="00837516"/>
    <w:rsid w:val="0084168B"/>
    <w:rsid w:val="00841BAA"/>
    <w:rsid w:val="008435B9"/>
    <w:rsid w:val="008435E5"/>
    <w:rsid w:val="00843957"/>
    <w:rsid w:val="00844B34"/>
    <w:rsid w:val="00846E96"/>
    <w:rsid w:val="00847228"/>
    <w:rsid w:val="0085224F"/>
    <w:rsid w:val="00852C61"/>
    <w:rsid w:val="00852D41"/>
    <w:rsid w:val="00853E2C"/>
    <w:rsid w:val="008550D1"/>
    <w:rsid w:val="00855543"/>
    <w:rsid w:val="0085592E"/>
    <w:rsid w:val="00856F4B"/>
    <w:rsid w:val="00857A9D"/>
    <w:rsid w:val="00857CAE"/>
    <w:rsid w:val="008608B8"/>
    <w:rsid w:val="008625CC"/>
    <w:rsid w:val="00865697"/>
    <w:rsid w:val="008666D7"/>
    <w:rsid w:val="00870505"/>
    <w:rsid w:val="0087367C"/>
    <w:rsid w:val="00873744"/>
    <w:rsid w:val="00873981"/>
    <w:rsid w:val="00873C26"/>
    <w:rsid w:val="00874D5B"/>
    <w:rsid w:val="00875990"/>
    <w:rsid w:val="008772BF"/>
    <w:rsid w:val="00880103"/>
    <w:rsid w:val="00880ADC"/>
    <w:rsid w:val="00880CF2"/>
    <w:rsid w:val="00880DD8"/>
    <w:rsid w:val="00881149"/>
    <w:rsid w:val="008811D1"/>
    <w:rsid w:val="00881B80"/>
    <w:rsid w:val="008820F0"/>
    <w:rsid w:val="008831CC"/>
    <w:rsid w:val="0088359D"/>
    <w:rsid w:val="008838CE"/>
    <w:rsid w:val="00883E54"/>
    <w:rsid w:val="00884501"/>
    <w:rsid w:val="0088523A"/>
    <w:rsid w:val="008857C5"/>
    <w:rsid w:val="00886EF4"/>
    <w:rsid w:val="0088759F"/>
    <w:rsid w:val="008910FA"/>
    <w:rsid w:val="008912C2"/>
    <w:rsid w:val="00891E8A"/>
    <w:rsid w:val="008950BB"/>
    <w:rsid w:val="00895B51"/>
    <w:rsid w:val="008A1DC8"/>
    <w:rsid w:val="008A36DA"/>
    <w:rsid w:val="008A3B9A"/>
    <w:rsid w:val="008A5410"/>
    <w:rsid w:val="008A5815"/>
    <w:rsid w:val="008A5EE8"/>
    <w:rsid w:val="008A61A9"/>
    <w:rsid w:val="008A6F5E"/>
    <w:rsid w:val="008B012B"/>
    <w:rsid w:val="008B0674"/>
    <w:rsid w:val="008B07AA"/>
    <w:rsid w:val="008B07BF"/>
    <w:rsid w:val="008B08F5"/>
    <w:rsid w:val="008B1665"/>
    <w:rsid w:val="008B1A6D"/>
    <w:rsid w:val="008B2235"/>
    <w:rsid w:val="008B3E92"/>
    <w:rsid w:val="008B409E"/>
    <w:rsid w:val="008B4B36"/>
    <w:rsid w:val="008B6272"/>
    <w:rsid w:val="008B756D"/>
    <w:rsid w:val="008B7A0D"/>
    <w:rsid w:val="008B7A3B"/>
    <w:rsid w:val="008B7CF4"/>
    <w:rsid w:val="008C00EE"/>
    <w:rsid w:val="008C0EED"/>
    <w:rsid w:val="008C14CD"/>
    <w:rsid w:val="008C524D"/>
    <w:rsid w:val="008C5585"/>
    <w:rsid w:val="008C58C4"/>
    <w:rsid w:val="008C67D2"/>
    <w:rsid w:val="008C7D89"/>
    <w:rsid w:val="008D1D02"/>
    <w:rsid w:val="008D4154"/>
    <w:rsid w:val="008D5184"/>
    <w:rsid w:val="008D5705"/>
    <w:rsid w:val="008D6A0A"/>
    <w:rsid w:val="008D6A4F"/>
    <w:rsid w:val="008D72F9"/>
    <w:rsid w:val="008D79BE"/>
    <w:rsid w:val="008E55ED"/>
    <w:rsid w:val="008E73B9"/>
    <w:rsid w:val="008E7714"/>
    <w:rsid w:val="008F47B0"/>
    <w:rsid w:val="008F5D9B"/>
    <w:rsid w:val="008F5FAF"/>
    <w:rsid w:val="008F6322"/>
    <w:rsid w:val="00901BF9"/>
    <w:rsid w:val="00903349"/>
    <w:rsid w:val="00903937"/>
    <w:rsid w:val="00904593"/>
    <w:rsid w:val="009055BF"/>
    <w:rsid w:val="00906422"/>
    <w:rsid w:val="009066F2"/>
    <w:rsid w:val="00906A76"/>
    <w:rsid w:val="00906CE0"/>
    <w:rsid w:val="009101F6"/>
    <w:rsid w:val="009115F8"/>
    <w:rsid w:val="00913644"/>
    <w:rsid w:val="009138A4"/>
    <w:rsid w:val="0091402F"/>
    <w:rsid w:val="00916218"/>
    <w:rsid w:val="009177F0"/>
    <w:rsid w:val="00920B76"/>
    <w:rsid w:val="00920E5C"/>
    <w:rsid w:val="00921002"/>
    <w:rsid w:val="00921BB0"/>
    <w:rsid w:val="00921F89"/>
    <w:rsid w:val="009223FC"/>
    <w:rsid w:val="00922E2C"/>
    <w:rsid w:val="00923417"/>
    <w:rsid w:val="00923F3E"/>
    <w:rsid w:val="009245FB"/>
    <w:rsid w:val="00924C86"/>
    <w:rsid w:val="00924DF3"/>
    <w:rsid w:val="00926BCD"/>
    <w:rsid w:val="00927253"/>
    <w:rsid w:val="00927FD6"/>
    <w:rsid w:val="0093070A"/>
    <w:rsid w:val="00930E23"/>
    <w:rsid w:val="0093237A"/>
    <w:rsid w:val="00932918"/>
    <w:rsid w:val="00932FD1"/>
    <w:rsid w:val="00933249"/>
    <w:rsid w:val="00933E95"/>
    <w:rsid w:val="00934B98"/>
    <w:rsid w:val="009358A2"/>
    <w:rsid w:val="009358C2"/>
    <w:rsid w:val="0093673D"/>
    <w:rsid w:val="0093787A"/>
    <w:rsid w:val="00937B79"/>
    <w:rsid w:val="00937D9A"/>
    <w:rsid w:val="00940574"/>
    <w:rsid w:val="00940F49"/>
    <w:rsid w:val="0094222E"/>
    <w:rsid w:val="009423A0"/>
    <w:rsid w:val="00943AFB"/>
    <w:rsid w:val="00944199"/>
    <w:rsid w:val="009444E5"/>
    <w:rsid w:val="009446E5"/>
    <w:rsid w:val="00946512"/>
    <w:rsid w:val="0094786E"/>
    <w:rsid w:val="00947D1D"/>
    <w:rsid w:val="0095175B"/>
    <w:rsid w:val="009525CD"/>
    <w:rsid w:val="00953715"/>
    <w:rsid w:val="00953E0B"/>
    <w:rsid w:val="00954D1F"/>
    <w:rsid w:val="00955044"/>
    <w:rsid w:val="00955606"/>
    <w:rsid w:val="00955A20"/>
    <w:rsid w:val="00955E5E"/>
    <w:rsid w:val="009561A7"/>
    <w:rsid w:val="00956438"/>
    <w:rsid w:val="0095789F"/>
    <w:rsid w:val="009603C9"/>
    <w:rsid w:val="009638DE"/>
    <w:rsid w:val="00965598"/>
    <w:rsid w:val="0096671A"/>
    <w:rsid w:val="0096780D"/>
    <w:rsid w:val="00967E66"/>
    <w:rsid w:val="00970BC7"/>
    <w:rsid w:val="00970D6F"/>
    <w:rsid w:val="00972985"/>
    <w:rsid w:val="00974035"/>
    <w:rsid w:val="00974AB5"/>
    <w:rsid w:val="00974D08"/>
    <w:rsid w:val="009754D5"/>
    <w:rsid w:val="00975CD4"/>
    <w:rsid w:val="009763F8"/>
    <w:rsid w:val="00977A79"/>
    <w:rsid w:val="009809C4"/>
    <w:rsid w:val="009824B4"/>
    <w:rsid w:val="00983D99"/>
    <w:rsid w:val="009867C6"/>
    <w:rsid w:val="00986EF5"/>
    <w:rsid w:val="00987F1E"/>
    <w:rsid w:val="0099002E"/>
    <w:rsid w:val="00990A2E"/>
    <w:rsid w:val="00991576"/>
    <w:rsid w:val="009918E6"/>
    <w:rsid w:val="009919B5"/>
    <w:rsid w:val="00991F63"/>
    <w:rsid w:val="009924CD"/>
    <w:rsid w:val="009933FC"/>
    <w:rsid w:val="009936CE"/>
    <w:rsid w:val="0099529C"/>
    <w:rsid w:val="00997335"/>
    <w:rsid w:val="009974CE"/>
    <w:rsid w:val="009A02E8"/>
    <w:rsid w:val="009A0C3D"/>
    <w:rsid w:val="009A1810"/>
    <w:rsid w:val="009A1CB3"/>
    <w:rsid w:val="009A2081"/>
    <w:rsid w:val="009A3234"/>
    <w:rsid w:val="009A32A1"/>
    <w:rsid w:val="009A4BFC"/>
    <w:rsid w:val="009A62D8"/>
    <w:rsid w:val="009A6485"/>
    <w:rsid w:val="009A6DB3"/>
    <w:rsid w:val="009A7CDA"/>
    <w:rsid w:val="009B1A3C"/>
    <w:rsid w:val="009B2303"/>
    <w:rsid w:val="009B2428"/>
    <w:rsid w:val="009B41F1"/>
    <w:rsid w:val="009B434F"/>
    <w:rsid w:val="009B4F52"/>
    <w:rsid w:val="009B5F2F"/>
    <w:rsid w:val="009B5F82"/>
    <w:rsid w:val="009B6BF5"/>
    <w:rsid w:val="009C041B"/>
    <w:rsid w:val="009C4959"/>
    <w:rsid w:val="009C7D51"/>
    <w:rsid w:val="009D0913"/>
    <w:rsid w:val="009D0A9A"/>
    <w:rsid w:val="009D10BA"/>
    <w:rsid w:val="009D216E"/>
    <w:rsid w:val="009D259B"/>
    <w:rsid w:val="009D58F5"/>
    <w:rsid w:val="009D5E8E"/>
    <w:rsid w:val="009D6C0F"/>
    <w:rsid w:val="009D7B4A"/>
    <w:rsid w:val="009D7D2A"/>
    <w:rsid w:val="009E0CDC"/>
    <w:rsid w:val="009E1665"/>
    <w:rsid w:val="009E394A"/>
    <w:rsid w:val="009E6B16"/>
    <w:rsid w:val="009E7045"/>
    <w:rsid w:val="009E789B"/>
    <w:rsid w:val="009F1D1A"/>
    <w:rsid w:val="009F2319"/>
    <w:rsid w:val="009F24ED"/>
    <w:rsid w:val="009F33C7"/>
    <w:rsid w:val="009F348B"/>
    <w:rsid w:val="009F4464"/>
    <w:rsid w:val="009F5135"/>
    <w:rsid w:val="009F5E4F"/>
    <w:rsid w:val="009F6281"/>
    <w:rsid w:val="009F698D"/>
    <w:rsid w:val="009F7079"/>
    <w:rsid w:val="009F72F2"/>
    <w:rsid w:val="009F7B4F"/>
    <w:rsid w:val="00A005B9"/>
    <w:rsid w:val="00A0112C"/>
    <w:rsid w:val="00A02423"/>
    <w:rsid w:val="00A02476"/>
    <w:rsid w:val="00A02947"/>
    <w:rsid w:val="00A033DA"/>
    <w:rsid w:val="00A03FC1"/>
    <w:rsid w:val="00A05BD7"/>
    <w:rsid w:val="00A05DB3"/>
    <w:rsid w:val="00A06BEA"/>
    <w:rsid w:val="00A070A2"/>
    <w:rsid w:val="00A14043"/>
    <w:rsid w:val="00A17675"/>
    <w:rsid w:val="00A17A21"/>
    <w:rsid w:val="00A21063"/>
    <w:rsid w:val="00A2173D"/>
    <w:rsid w:val="00A21B2E"/>
    <w:rsid w:val="00A23AFC"/>
    <w:rsid w:val="00A24A4A"/>
    <w:rsid w:val="00A2529B"/>
    <w:rsid w:val="00A25EBA"/>
    <w:rsid w:val="00A26413"/>
    <w:rsid w:val="00A266F8"/>
    <w:rsid w:val="00A274FD"/>
    <w:rsid w:val="00A30D65"/>
    <w:rsid w:val="00A30F73"/>
    <w:rsid w:val="00A311F7"/>
    <w:rsid w:val="00A312FE"/>
    <w:rsid w:val="00A32BE4"/>
    <w:rsid w:val="00A336FB"/>
    <w:rsid w:val="00A33D80"/>
    <w:rsid w:val="00A34478"/>
    <w:rsid w:val="00A348FB"/>
    <w:rsid w:val="00A34CA3"/>
    <w:rsid w:val="00A37D0D"/>
    <w:rsid w:val="00A37D12"/>
    <w:rsid w:val="00A37FD8"/>
    <w:rsid w:val="00A4153C"/>
    <w:rsid w:val="00A418F5"/>
    <w:rsid w:val="00A41E03"/>
    <w:rsid w:val="00A42019"/>
    <w:rsid w:val="00A4261A"/>
    <w:rsid w:val="00A42C7C"/>
    <w:rsid w:val="00A43E8E"/>
    <w:rsid w:val="00A4486D"/>
    <w:rsid w:val="00A457CB"/>
    <w:rsid w:val="00A4782A"/>
    <w:rsid w:val="00A5015F"/>
    <w:rsid w:val="00A502AB"/>
    <w:rsid w:val="00A52CCC"/>
    <w:rsid w:val="00A537C3"/>
    <w:rsid w:val="00A55088"/>
    <w:rsid w:val="00A566CD"/>
    <w:rsid w:val="00A57F3E"/>
    <w:rsid w:val="00A57F85"/>
    <w:rsid w:val="00A60725"/>
    <w:rsid w:val="00A60C85"/>
    <w:rsid w:val="00A60ED2"/>
    <w:rsid w:val="00A61BAA"/>
    <w:rsid w:val="00A61C6F"/>
    <w:rsid w:val="00A61DAF"/>
    <w:rsid w:val="00A62385"/>
    <w:rsid w:val="00A63AEB"/>
    <w:rsid w:val="00A64C71"/>
    <w:rsid w:val="00A64E2A"/>
    <w:rsid w:val="00A658D6"/>
    <w:rsid w:val="00A65C75"/>
    <w:rsid w:val="00A66133"/>
    <w:rsid w:val="00A66A7C"/>
    <w:rsid w:val="00A66E96"/>
    <w:rsid w:val="00A6786C"/>
    <w:rsid w:val="00A679D7"/>
    <w:rsid w:val="00A67CB1"/>
    <w:rsid w:val="00A701E9"/>
    <w:rsid w:val="00A70A17"/>
    <w:rsid w:val="00A719C9"/>
    <w:rsid w:val="00A71B90"/>
    <w:rsid w:val="00A72221"/>
    <w:rsid w:val="00A72880"/>
    <w:rsid w:val="00A728FA"/>
    <w:rsid w:val="00A73B11"/>
    <w:rsid w:val="00A73CA0"/>
    <w:rsid w:val="00A752D6"/>
    <w:rsid w:val="00A75BD9"/>
    <w:rsid w:val="00A7698A"/>
    <w:rsid w:val="00A76EE7"/>
    <w:rsid w:val="00A81737"/>
    <w:rsid w:val="00A818B9"/>
    <w:rsid w:val="00A834ED"/>
    <w:rsid w:val="00A838C6"/>
    <w:rsid w:val="00A83F26"/>
    <w:rsid w:val="00A8419F"/>
    <w:rsid w:val="00A85592"/>
    <w:rsid w:val="00A8586C"/>
    <w:rsid w:val="00A8672D"/>
    <w:rsid w:val="00A8743D"/>
    <w:rsid w:val="00A90F2D"/>
    <w:rsid w:val="00A92092"/>
    <w:rsid w:val="00A9227E"/>
    <w:rsid w:val="00A93768"/>
    <w:rsid w:val="00A93F2C"/>
    <w:rsid w:val="00A94F19"/>
    <w:rsid w:val="00A964A8"/>
    <w:rsid w:val="00A96C75"/>
    <w:rsid w:val="00A9718B"/>
    <w:rsid w:val="00A972B9"/>
    <w:rsid w:val="00AA16C2"/>
    <w:rsid w:val="00AA5881"/>
    <w:rsid w:val="00AA61FC"/>
    <w:rsid w:val="00AA6BC2"/>
    <w:rsid w:val="00AA7849"/>
    <w:rsid w:val="00AB07F1"/>
    <w:rsid w:val="00AB1F6E"/>
    <w:rsid w:val="00AB2861"/>
    <w:rsid w:val="00AB2ACB"/>
    <w:rsid w:val="00AB3917"/>
    <w:rsid w:val="00AB3F73"/>
    <w:rsid w:val="00AC009A"/>
    <w:rsid w:val="00AC052E"/>
    <w:rsid w:val="00AC1F37"/>
    <w:rsid w:val="00AC2814"/>
    <w:rsid w:val="00AC28AA"/>
    <w:rsid w:val="00AC3B26"/>
    <w:rsid w:val="00AC3DA4"/>
    <w:rsid w:val="00AC3F37"/>
    <w:rsid w:val="00AC406B"/>
    <w:rsid w:val="00AC41E1"/>
    <w:rsid w:val="00AC41E8"/>
    <w:rsid w:val="00AC42C2"/>
    <w:rsid w:val="00AC4C62"/>
    <w:rsid w:val="00AC4D11"/>
    <w:rsid w:val="00AC4FB1"/>
    <w:rsid w:val="00AC640E"/>
    <w:rsid w:val="00AC672C"/>
    <w:rsid w:val="00AC67E7"/>
    <w:rsid w:val="00AC7461"/>
    <w:rsid w:val="00AC75DA"/>
    <w:rsid w:val="00AC7EB2"/>
    <w:rsid w:val="00AD21A9"/>
    <w:rsid w:val="00AD28E0"/>
    <w:rsid w:val="00AD2B3C"/>
    <w:rsid w:val="00AD301C"/>
    <w:rsid w:val="00AD335B"/>
    <w:rsid w:val="00AD388E"/>
    <w:rsid w:val="00AD40CF"/>
    <w:rsid w:val="00AD6244"/>
    <w:rsid w:val="00AD6382"/>
    <w:rsid w:val="00AD6B4E"/>
    <w:rsid w:val="00AD6EC3"/>
    <w:rsid w:val="00AD74F5"/>
    <w:rsid w:val="00AD7BFB"/>
    <w:rsid w:val="00AE16DF"/>
    <w:rsid w:val="00AE3141"/>
    <w:rsid w:val="00AE33BD"/>
    <w:rsid w:val="00AE4FEB"/>
    <w:rsid w:val="00AF239D"/>
    <w:rsid w:val="00AF25E0"/>
    <w:rsid w:val="00AF43FD"/>
    <w:rsid w:val="00AF5451"/>
    <w:rsid w:val="00AF5E03"/>
    <w:rsid w:val="00AF7843"/>
    <w:rsid w:val="00B01CA1"/>
    <w:rsid w:val="00B01E76"/>
    <w:rsid w:val="00B0238E"/>
    <w:rsid w:val="00B02817"/>
    <w:rsid w:val="00B02DFE"/>
    <w:rsid w:val="00B02E32"/>
    <w:rsid w:val="00B05470"/>
    <w:rsid w:val="00B06579"/>
    <w:rsid w:val="00B0736D"/>
    <w:rsid w:val="00B07BC5"/>
    <w:rsid w:val="00B10257"/>
    <w:rsid w:val="00B104BA"/>
    <w:rsid w:val="00B11635"/>
    <w:rsid w:val="00B12604"/>
    <w:rsid w:val="00B128B9"/>
    <w:rsid w:val="00B12D90"/>
    <w:rsid w:val="00B13002"/>
    <w:rsid w:val="00B135AA"/>
    <w:rsid w:val="00B13F53"/>
    <w:rsid w:val="00B149AF"/>
    <w:rsid w:val="00B14AE1"/>
    <w:rsid w:val="00B14C9E"/>
    <w:rsid w:val="00B14E08"/>
    <w:rsid w:val="00B151B9"/>
    <w:rsid w:val="00B155E9"/>
    <w:rsid w:val="00B20657"/>
    <w:rsid w:val="00B211B8"/>
    <w:rsid w:val="00B21B46"/>
    <w:rsid w:val="00B22454"/>
    <w:rsid w:val="00B237E9"/>
    <w:rsid w:val="00B24EDF"/>
    <w:rsid w:val="00B255C7"/>
    <w:rsid w:val="00B25CF3"/>
    <w:rsid w:val="00B26D20"/>
    <w:rsid w:val="00B27846"/>
    <w:rsid w:val="00B27C8B"/>
    <w:rsid w:val="00B27F2B"/>
    <w:rsid w:val="00B321D6"/>
    <w:rsid w:val="00B330FB"/>
    <w:rsid w:val="00B339FF"/>
    <w:rsid w:val="00B346E5"/>
    <w:rsid w:val="00B351E8"/>
    <w:rsid w:val="00B35FE9"/>
    <w:rsid w:val="00B36A11"/>
    <w:rsid w:val="00B36B8C"/>
    <w:rsid w:val="00B407E9"/>
    <w:rsid w:val="00B40EA4"/>
    <w:rsid w:val="00B410A2"/>
    <w:rsid w:val="00B415FD"/>
    <w:rsid w:val="00B41FC5"/>
    <w:rsid w:val="00B443C3"/>
    <w:rsid w:val="00B44561"/>
    <w:rsid w:val="00B44C28"/>
    <w:rsid w:val="00B4573B"/>
    <w:rsid w:val="00B45F93"/>
    <w:rsid w:val="00B501F8"/>
    <w:rsid w:val="00B5086D"/>
    <w:rsid w:val="00B5129B"/>
    <w:rsid w:val="00B5140B"/>
    <w:rsid w:val="00B517F6"/>
    <w:rsid w:val="00B53521"/>
    <w:rsid w:val="00B544C7"/>
    <w:rsid w:val="00B5494E"/>
    <w:rsid w:val="00B56EEE"/>
    <w:rsid w:val="00B602B8"/>
    <w:rsid w:val="00B60657"/>
    <w:rsid w:val="00B61357"/>
    <w:rsid w:val="00B6137F"/>
    <w:rsid w:val="00B61CDC"/>
    <w:rsid w:val="00B61F88"/>
    <w:rsid w:val="00B62801"/>
    <w:rsid w:val="00B62948"/>
    <w:rsid w:val="00B639D5"/>
    <w:rsid w:val="00B63AB3"/>
    <w:rsid w:val="00B646A3"/>
    <w:rsid w:val="00B657F4"/>
    <w:rsid w:val="00B65DB0"/>
    <w:rsid w:val="00B6717F"/>
    <w:rsid w:val="00B67699"/>
    <w:rsid w:val="00B704AC"/>
    <w:rsid w:val="00B70FFA"/>
    <w:rsid w:val="00B725E3"/>
    <w:rsid w:val="00B73F42"/>
    <w:rsid w:val="00B76513"/>
    <w:rsid w:val="00B765D2"/>
    <w:rsid w:val="00B76E51"/>
    <w:rsid w:val="00B775C3"/>
    <w:rsid w:val="00B80130"/>
    <w:rsid w:val="00B8021A"/>
    <w:rsid w:val="00B816F3"/>
    <w:rsid w:val="00B81813"/>
    <w:rsid w:val="00B8377D"/>
    <w:rsid w:val="00B86557"/>
    <w:rsid w:val="00B86A11"/>
    <w:rsid w:val="00B8709C"/>
    <w:rsid w:val="00B87B3D"/>
    <w:rsid w:val="00B87E4C"/>
    <w:rsid w:val="00B87EEF"/>
    <w:rsid w:val="00B87F77"/>
    <w:rsid w:val="00B90B4D"/>
    <w:rsid w:val="00B91834"/>
    <w:rsid w:val="00B91A76"/>
    <w:rsid w:val="00B920F3"/>
    <w:rsid w:val="00B932E0"/>
    <w:rsid w:val="00B93846"/>
    <w:rsid w:val="00B9401E"/>
    <w:rsid w:val="00B94CC8"/>
    <w:rsid w:val="00B94DC1"/>
    <w:rsid w:val="00B95F5F"/>
    <w:rsid w:val="00B9632C"/>
    <w:rsid w:val="00B97058"/>
    <w:rsid w:val="00BA0521"/>
    <w:rsid w:val="00BA0B19"/>
    <w:rsid w:val="00BA2F3C"/>
    <w:rsid w:val="00BA4F82"/>
    <w:rsid w:val="00BA5F44"/>
    <w:rsid w:val="00BA67CD"/>
    <w:rsid w:val="00BA6C4D"/>
    <w:rsid w:val="00BB08D1"/>
    <w:rsid w:val="00BB1953"/>
    <w:rsid w:val="00BB339B"/>
    <w:rsid w:val="00BB3E36"/>
    <w:rsid w:val="00BB4A65"/>
    <w:rsid w:val="00BB544E"/>
    <w:rsid w:val="00BC05C6"/>
    <w:rsid w:val="00BC1750"/>
    <w:rsid w:val="00BC1860"/>
    <w:rsid w:val="00BC2148"/>
    <w:rsid w:val="00BC23D4"/>
    <w:rsid w:val="00BC3A4A"/>
    <w:rsid w:val="00BC4066"/>
    <w:rsid w:val="00BC74E3"/>
    <w:rsid w:val="00BC7A25"/>
    <w:rsid w:val="00BC7C17"/>
    <w:rsid w:val="00BC7FFB"/>
    <w:rsid w:val="00BD09C5"/>
    <w:rsid w:val="00BD2A62"/>
    <w:rsid w:val="00BD2D44"/>
    <w:rsid w:val="00BD2D65"/>
    <w:rsid w:val="00BD337F"/>
    <w:rsid w:val="00BD4275"/>
    <w:rsid w:val="00BD45F9"/>
    <w:rsid w:val="00BD591B"/>
    <w:rsid w:val="00BD70D0"/>
    <w:rsid w:val="00BE10F2"/>
    <w:rsid w:val="00BE28FD"/>
    <w:rsid w:val="00BE2EBF"/>
    <w:rsid w:val="00BE36C3"/>
    <w:rsid w:val="00BE3C6B"/>
    <w:rsid w:val="00BE4201"/>
    <w:rsid w:val="00BE4807"/>
    <w:rsid w:val="00BE4C5F"/>
    <w:rsid w:val="00BE54EA"/>
    <w:rsid w:val="00BE636E"/>
    <w:rsid w:val="00BE6861"/>
    <w:rsid w:val="00BE7421"/>
    <w:rsid w:val="00BE7E05"/>
    <w:rsid w:val="00BF12D5"/>
    <w:rsid w:val="00BF18DD"/>
    <w:rsid w:val="00BF5BDE"/>
    <w:rsid w:val="00BF5E58"/>
    <w:rsid w:val="00BF620A"/>
    <w:rsid w:val="00BF74C1"/>
    <w:rsid w:val="00C00356"/>
    <w:rsid w:val="00C00C90"/>
    <w:rsid w:val="00C016B9"/>
    <w:rsid w:val="00C02286"/>
    <w:rsid w:val="00C02BAF"/>
    <w:rsid w:val="00C03014"/>
    <w:rsid w:val="00C036C8"/>
    <w:rsid w:val="00C048C9"/>
    <w:rsid w:val="00C05A6A"/>
    <w:rsid w:val="00C06B2A"/>
    <w:rsid w:val="00C077B5"/>
    <w:rsid w:val="00C07F43"/>
    <w:rsid w:val="00C1183F"/>
    <w:rsid w:val="00C12441"/>
    <w:rsid w:val="00C12CAC"/>
    <w:rsid w:val="00C14AA8"/>
    <w:rsid w:val="00C1513C"/>
    <w:rsid w:val="00C156A4"/>
    <w:rsid w:val="00C169FE"/>
    <w:rsid w:val="00C17157"/>
    <w:rsid w:val="00C17EAB"/>
    <w:rsid w:val="00C17F5E"/>
    <w:rsid w:val="00C20207"/>
    <w:rsid w:val="00C21B1C"/>
    <w:rsid w:val="00C2221E"/>
    <w:rsid w:val="00C2258A"/>
    <w:rsid w:val="00C228F2"/>
    <w:rsid w:val="00C24097"/>
    <w:rsid w:val="00C24CE0"/>
    <w:rsid w:val="00C304B8"/>
    <w:rsid w:val="00C3104C"/>
    <w:rsid w:val="00C33A92"/>
    <w:rsid w:val="00C3580E"/>
    <w:rsid w:val="00C35C98"/>
    <w:rsid w:val="00C37880"/>
    <w:rsid w:val="00C400B8"/>
    <w:rsid w:val="00C40772"/>
    <w:rsid w:val="00C41321"/>
    <w:rsid w:val="00C41EA0"/>
    <w:rsid w:val="00C428FD"/>
    <w:rsid w:val="00C42F05"/>
    <w:rsid w:val="00C430BC"/>
    <w:rsid w:val="00C432D1"/>
    <w:rsid w:val="00C45B5A"/>
    <w:rsid w:val="00C4607B"/>
    <w:rsid w:val="00C468FD"/>
    <w:rsid w:val="00C46921"/>
    <w:rsid w:val="00C46A00"/>
    <w:rsid w:val="00C46B1C"/>
    <w:rsid w:val="00C47698"/>
    <w:rsid w:val="00C47759"/>
    <w:rsid w:val="00C47D8A"/>
    <w:rsid w:val="00C52029"/>
    <w:rsid w:val="00C52C61"/>
    <w:rsid w:val="00C534FA"/>
    <w:rsid w:val="00C55380"/>
    <w:rsid w:val="00C56E92"/>
    <w:rsid w:val="00C5710D"/>
    <w:rsid w:val="00C57DB9"/>
    <w:rsid w:val="00C61C46"/>
    <w:rsid w:val="00C61D64"/>
    <w:rsid w:val="00C6201B"/>
    <w:rsid w:val="00C62E26"/>
    <w:rsid w:val="00C6303B"/>
    <w:rsid w:val="00C63730"/>
    <w:rsid w:val="00C640FC"/>
    <w:rsid w:val="00C64B3B"/>
    <w:rsid w:val="00C65474"/>
    <w:rsid w:val="00C655A1"/>
    <w:rsid w:val="00C6728B"/>
    <w:rsid w:val="00C67D78"/>
    <w:rsid w:val="00C71273"/>
    <w:rsid w:val="00C728A1"/>
    <w:rsid w:val="00C72BD9"/>
    <w:rsid w:val="00C735E6"/>
    <w:rsid w:val="00C73609"/>
    <w:rsid w:val="00C75132"/>
    <w:rsid w:val="00C75FBE"/>
    <w:rsid w:val="00C76545"/>
    <w:rsid w:val="00C774CF"/>
    <w:rsid w:val="00C805A6"/>
    <w:rsid w:val="00C818A2"/>
    <w:rsid w:val="00C81B2F"/>
    <w:rsid w:val="00C820A3"/>
    <w:rsid w:val="00C840FF"/>
    <w:rsid w:val="00C84251"/>
    <w:rsid w:val="00C845F4"/>
    <w:rsid w:val="00C85AC4"/>
    <w:rsid w:val="00C900E7"/>
    <w:rsid w:val="00C9084D"/>
    <w:rsid w:val="00C91280"/>
    <w:rsid w:val="00C918F6"/>
    <w:rsid w:val="00C91FF2"/>
    <w:rsid w:val="00C9336B"/>
    <w:rsid w:val="00C93833"/>
    <w:rsid w:val="00C9476E"/>
    <w:rsid w:val="00C9668C"/>
    <w:rsid w:val="00C97020"/>
    <w:rsid w:val="00C97B40"/>
    <w:rsid w:val="00CA154E"/>
    <w:rsid w:val="00CA2347"/>
    <w:rsid w:val="00CA4C28"/>
    <w:rsid w:val="00CA53AA"/>
    <w:rsid w:val="00CA5AC9"/>
    <w:rsid w:val="00CA60C7"/>
    <w:rsid w:val="00CB0EFD"/>
    <w:rsid w:val="00CB1C8B"/>
    <w:rsid w:val="00CB21E5"/>
    <w:rsid w:val="00CB2235"/>
    <w:rsid w:val="00CB24AC"/>
    <w:rsid w:val="00CB3151"/>
    <w:rsid w:val="00CB4B18"/>
    <w:rsid w:val="00CC1177"/>
    <w:rsid w:val="00CC2562"/>
    <w:rsid w:val="00CC25AD"/>
    <w:rsid w:val="00CC3AA1"/>
    <w:rsid w:val="00CC5210"/>
    <w:rsid w:val="00CC58BF"/>
    <w:rsid w:val="00CC5962"/>
    <w:rsid w:val="00CC60A0"/>
    <w:rsid w:val="00CC68E5"/>
    <w:rsid w:val="00CC696F"/>
    <w:rsid w:val="00CC6BDD"/>
    <w:rsid w:val="00CC79F1"/>
    <w:rsid w:val="00CD00A7"/>
    <w:rsid w:val="00CD1CC2"/>
    <w:rsid w:val="00CD2585"/>
    <w:rsid w:val="00CD35DA"/>
    <w:rsid w:val="00CD40B7"/>
    <w:rsid w:val="00CD43D8"/>
    <w:rsid w:val="00CD483F"/>
    <w:rsid w:val="00CD649F"/>
    <w:rsid w:val="00CD7BCB"/>
    <w:rsid w:val="00CE0C03"/>
    <w:rsid w:val="00CE1978"/>
    <w:rsid w:val="00CE380C"/>
    <w:rsid w:val="00CE6ECF"/>
    <w:rsid w:val="00CE7706"/>
    <w:rsid w:val="00CF00B0"/>
    <w:rsid w:val="00CF0B97"/>
    <w:rsid w:val="00CF18E8"/>
    <w:rsid w:val="00CF2BA0"/>
    <w:rsid w:val="00CF2BC1"/>
    <w:rsid w:val="00CF4ED2"/>
    <w:rsid w:val="00D0007E"/>
    <w:rsid w:val="00D028E3"/>
    <w:rsid w:val="00D02BC6"/>
    <w:rsid w:val="00D0366E"/>
    <w:rsid w:val="00D04024"/>
    <w:rsid w:val="00D04AE2"/>
    <w:rsid w:val="00D05B65"/>
    <w:rsid w:val="00D05F89"/>
    <w:rsid w:val="00D06EC6"/>
    <w:rsid w:val="00D06F66"/>
    <w:rsid w:val="00D10103"/>
    <w:rsid w:val="00D11A06"/>
    <w:rsid w:val="00D12FB3"/>
    <w:rsid w:val="00D1514D"/>
    <w:rsid w:val="00D15718"/>
    <w:rsid w:val="00D1617F"/>
    <w:rsid w:val="00D161E6"/>
    <w:rsid w:val="00D17103"/>
    <w:rsid w:val="00D17630"/>
    <w:rsid w:val="00D179C3"/>
    <w:rsid w:val="00D17E23"/>
    <w:rsid w:val="00D20AAE"/>
    <w:rsid w:val="00D20DDB"/>
    <w:rsid w:val="00D22933"/>
    <w:rsid w:val="00D230F8"/>
    <w:rsid w:val="00D23402"/>
    <w:rsid w:val="00D23ABC"/>
    <w:rsid w:val="00D2503B"/>
    <w:rsid w:val="00D2688A"/>
    <w:rsid w:val="00D30391"/>
    <w:rsid w:val="00D30EDA"/>
    <w:rsid w:val="00D311FC"/>
    <w:rsid w:val="00D31634"/>
    <w:rsid w:val="00D316EA"/>
    <w:rsid w:val="00D317A2"/>
    <w:rsid w:val="00D32E2D"/>
    <w:rsid w:val="00D355A9"/>
    <w:rsid w:val="00D3698C"/>
    <w:rsid w:val="00D37D12"/>
    <w:rsid w:val="00D40B25"/>
    <w:rsid w:val="00D41F6D"/>
    <w:rsid w:val="00D42377"/>
    <w:rsid w:val="00D463DF"/>
    <w:rsid w:val="00D46BC3"/>
    <w:rsid w:val="00D4793D"/>
    <w:rsid w:val="00D47EE6"/>
    <w:rsid w:val="00D502F8"/>
    <w:rsid w:val="00D51990"/>
    <w:rsid w:val="00D54B68"/>
    <w:rsid w:val="00D56417"/>
    <w:rsid w:val="00D56C6C"/>
    <w:rsid w:val="00D57057"/>
    <w:rsid w:val="00D610AC"/>
    <w:rsid w:val="00D644D3"/>
    <w:rsid w:val="00D66D4A"/>
    <w:rsid w:val="00D701E2"/>
    <w:rsid w:val="00D705EB"/>
    <w:rsid w:val="00D708B4"/>
    <w:rsid w:val="00D75DB3"/>
    <w:rsid w:val="00D75DBC"/>
    <w:rsid w:val="00D76CD6"/>
    <w:rsid w:val="00D76F66"/>
    <w:rsid w:val="00D7761A"/>
    <w:rsid w:val="00D77B3E"/>
    <w:rsid w:val="00D77CDA"/>
    <w:rsid w:val="00D77DAA"/>
    <w:rsid w:val="00D8070B"/>
    <w:rsid w:val="00D81094"/>
    <w:rsid w:val="00D812BB"/>
    <w:rsid w:val="00D813CF"/>
    <w:rsid w:val="00D818ED"/>
    <w:rsid w:val="00D8211C"/>
    <w:rsid w:val="00D82320"/>
    <w:rsid w:val="00D824CC"/>
    <w:rsid w:val="00D831EE"/>
    <w:rsid w:val="00D83AF0"/>
    <w:rsid w:val="00D85BB6"/>
    <w:rsid w:val="00D87807"/>
    <w:rsid w:val="00D87B92"/>
    <w:rsid w:val="00D93199"/>
    <w:rsid w:val="00D94F20"/>
    <w:rsid w:val="00D95CD9"/>
    <w:rsid w:val="00D96657"/>
    <w:rsid w:val="00DA0699"/>
    <w:rsid w:val="00DA1004"/>
    <w:rsid w:val="00DA1F58"/>
    <w:rsid w:val="00DA49B4"/>
    <w:rsid w:val="00DA4ACB"/>
    <w:rsid w:val="00DA646F"/>
    <w:rsid w:val="00DA6859"/>
    <w:rsid w:val="00DA71F2"/>
    <w:rsid w:val="00DA72F3"/>
    <w:rsid w:val="00DB00D8"/>
    <w:rsid w:val="00DB0426"/>
    <w:rsid w:val="00DB2936"/>
    <w:rsid w:val="00DB38B7"/>
    <w:rsid w:val="00DB426A"/>
    <w:rsid w:val="00DB5275"/>
    <w:rsid w:val="00DB55B3"/>
    <w:rsid w:val="00DB6005"/>
    <w:rsid w:val="00DB65C6"/>
    <w:rsid w:val="00DB7111"/>
    <w:rsid w:val="00DB7763"/>
    <w:rsid w:val="00DB7A82"/>
    <w:rsid w:val="00DC2F0D"/>
    <w:rsid w:val="00DC37EC"/>
    <w:rsid w:val="00DC4D03"/>
    <w:rsid w:val="00DC5DC8"/>
    <w:rsid w:val="00DC75A9"/>
    <w:rsid w:val="00DC7858"/>
    <w:rsid w:val="00DC7EE9"/>
    <w:rsid w:val="00DD2125"/>
    <w:rsid w:val="00DD4DEC"/>
    <w:rsid w:val="00DD5076"/>
    <w:rsid w:val="00DD66F9"/>
    <w:rsid w:val="00DD7AFE"/>
    <w:rsid w:val="00DD7DC8"/>
    <w:rsid w:val="00DE0FC2"/>
    <w:rsid w:val="00DE1D9C"/>
    <w:rsid w:val="00DE20D2"/>
    <w:rsid w:val="00DE2D2A"/>
    <w:rsid w:val="00DE353A"/>
    <w:rsid w:val="00DE4CDD"/>
    <w:rsid w:val="00DE5E1E"/>
    <w:rsid w:val="00DE6471"/>
    <w:rsid w:val="00DE6EDF"/>
    <w:rsid w:val="00DE7199"/>
    <w:rsid w:val="00DF0568"/>
    <w:rsid w:val="00DF0896"/>
    <w:rsid w:val="00DF090C"/>
    <w:rsid w:val="00DF1268"/>
    <w:rsid w:val="00DF3078"/>
    <w:rsid w:val="00DF3C7D"/>
    <w:rsid w:val="00DF3D5F"/>
    <w:rsid w:val="00DF4C4A"/>
    <w:rsid w:val="00DF5F46"/>
    <w:rsid w:val="00DF6724"/>
    <w:rsid w:val="00DF7285"/>
    <w:rsid w:val="00E0045E"/>
    <w:rsid w:val="00E00C89"/>
    <w:rsid w:val="00E014A6"/>
    <w:rsid w:val="00E0158D"/>
    <w:rsid w:val="00E01ABC"/>
    <w:rsid w:val="00E02E71"/>
    <w:rsid w:val="00E0343D"/>
    <w:rsid w:val="00E0455B"/>
    <w:rsid w:val="00E05188"/>
    <w:rsid w:val="00E052F0"/>
    <w:rsid w:val="00E06110"/>
    <w:rsid w:val="00E12F01"/>
    <w:rsid w:val="00E1328B"/>
    <w:rsid w:val="00E1366A"/>
    <w:rsid w:val="00E15FE3"/>
    <w:rsid w:val="00E17248"/>
    <w:rsid w:val="00E175D1"/>
    <w:rsid w:val="00E17679"/>
    <w:rsid w:val="00E17CC9"/>
    <w:rsid w:val="00E207ED"/>
    <w:rsid w:val="00E2133B"/>
    <w:rsid w:val="00E21653"/>
    <w:rsid w:val="00E21EC4"/>
    <w:rsid w:val="00E21F25"/>
    <w:rsid w:val="00E230CF"/>
    <w:rsid w:val="00E24292"/>
    <w:rsid w:val="00E24479"/>
    <w:rsid w:val="00E24860"/>
    <w:rsid w:val="00E255D1"/>
    <w:rsid w:val="00E260EA"/>
    <w:rsid w:val="00E2679C"/>
    <w:rsid w:val="00E27C5F"/>
    <w:rsid w:val="00E31794"/>
    <w:rsid w:val="00E31D8E"/>
    <w:rsid w:val="00E32267"/>
    <w:rsid w:val="00E3253A"/>
    <w:rsid w:val="00E331C1"/>
    <w:rsid w:val="00E33486"/>
    <w:rsid w:val="00E4147F"/>
    <w:rsid w:val="00E41D32"/>
    <w:rsid w:val="00E4258C"/>
    <w:rsid w:val="00E46747"/>
    <w:rsid w:val="00E5121D"/>
    <w:rsid w:val="00E513A6"/>
    <w:rsid w:val="00E51C98"/>
    <w:rsid w:val="00E52D70"/>
    <w:rsid w:val="00E54E5D"/>
    <w:rsid w:val="00E55D23"/>
    <w:rsid w:val="00E56E1C"/>
    <w:rsid w:val="00E6002B"/>
    <w:rsid w:val="00E618EC"/>
    <w:rsid w:val="00E62404"/>
    <w:rsid w:val="00E62C64"/>
    <w:rsid w:val="00E63916"/>
    <w:rsid w:val="00E653ED"/>
    <w:rsid w:val="00E66EC5"/>
    <w:rsid w:val="00E72641"/>
    <w:rsid w:val="00E73527"/>
    <w:rsid w:val="00E73917"/>
    <w:rsid w:val="00E73DEE"/>
    <w:rsid w:val="00E74B7E"/>
    <w:rsid w:val="00E74E6E"/>
    <w:rsid w:val="00E77963"/>
    <w:rsid w:val="00E80402"/>
    <w:rsid w:val="00E81959"/>
    <w:rsid w:val="00E82153"/>
    <w:rsid w:val="00E8363A"/>
    <w:rsid w:val="00E83A5D"/>
    <w:rsid w:val="00E83F80"/>
    <w:rsid w:val="00E840D5"/>
    <w:rsid w:val="00E84A62"/>
    <w:rsid w:val="00E84A96"/>
    <w:rsid w:val="00E8558A"/>
    <w:rsid w:val="00E871FA"/>
    <w:rsid w:val="00E91449"/>
    <w:rsid w:val="00E915B2"/>
    <w:rsid w:val="00E91734"/>
    <w:rsid w:val="00E91C06"/>
    <w:rsid w:val="00E9256C"/>
    <w:rsid w:val="00E939FB"/>
    <w:rsid w:val="00E9426A"/>
    <w:rsid w:val="00E95030"/>
    <w:rsid w:val="00E962AD"/>
    <w:rsid w:val="00E96C81"/>
    <w:rsid w:val="00EA21E0"/>
    <w:rsid w:val="00EA4FFA"/>
    <w:rsid w:val="00EA51E6"/>
    <w:rsid w:val="00EA6A82"/>
    <w:rsid w:val="00EA726E"/>
    <w:rsid w:val="00EA78F6"/>
    <w:rsid w:val="00EB0241"/>
    <w:rsid w:val="00EB05A5"/>
    <w:rsid w:val="00EB2AB1"/>
    <w:rsid w:val="00EB2BA5"/>
    <w:rsid w:val="00EB5720"/>
    <w:rsid w:val="00EB6BBB"/>
    <w:rsid w:val="00EB6C72"/>
    <w:rsid w:val="00EB7183"/>
    <w:rsid w:val="00EB738C"/>
    <w:rsid w:val="00EB74DE"/>
    <w:rsid w:val="00EC1DC2"/>
    <w:rsid w:val="00EC26D2"/>
    <w:rsid w:val="00EC36A3"/>
    <w:rsid w:val="00EC4B08"/>
    <w:rsid w:val="00EC7615"/>
    <w:rsid w:val="00EC79AE"/>
    <w:rsid w:val="00ED0E35"/>
    <w:rsid w:val="00ED13BB"/>
    <w:rsid w:val="00ED231D"/>
    <w:rsid w:val="00ED2EB6"/>
    <w:rsid w:val="00ED370D"/>
    <w:rsid w:val="00ED469E"/>
    <w:rsid w:val="00ED5479"/>
    <w:rsid w:val="00ED5F9C"/>
    <w:rsid w:val="00ED68BD"/>
    <w:rsid w:val="00ED7648"/>
    <w:rsid w:val="00EE1F31"/>
    <w:rsid w:val="00EE24F6"/>
    <w:rsid w:val="00EE27F0"/>
    <w:rsid w:val="00EE31CD"/>
    <w:rsid w:val="00EE3770"/>
    <w:rsid w:val="00EE401C"/>
    <w:rsid w:val="00EE4B05"/>
    <w:rsid w:val="00EE54FB"/>
    <w:rsid w:val="00EE6EAC"/>
    <w:rsid w:val="00EE788C"/>
    <w:rsid w:val="00EF26D3"/>
    <w:rsid w:val="00EF2B58"/>
    <w:rsid w:val="00EF3F4A"/>
    <w:rsid w:val="00EF4A42"/>
    <w:rsid w:val="00EF4EC9"/>
    <w:rsid w:val="00EF65D4"/>
    <w:rsid w:val="00EF7C8E"/>
    <w:rsid w:val="00F00F0B"/>
    <w:rsid w:val="00F019E4"/>
    <w:rsid w:val="00F01D14"/>
    <w:rsid w:val="00F02673"/>
    <w:rsid w:val="00F02A58"/>
    <w:rsid w:val="00F04469"/>
    <w:rsid w:val="00F06949"/>
    <w:rsid w:val="00F06ECB"/>
    <w:rsid w:val="00F0769E"/>
    <w:rsid w:val="00F07D3C"/>
    <w:rsid w:val="00F1108C"/>
    <w:rsid w:val="00F12268"/>
    <w:rsid w:val="00F1305D"/>
    <w:rsid w:val="00F1308C"/>
    <w:rsid w:val="00F135A8"/>
    <w:rsid w:val="00F15DA3"/>
    <w:rsid w:val="00F16EB1"/>
    <w:rsid w:val="00F1775C"/>
    <w:rsid w:val="00F17953"/>
    <w:rsid w:val="00F205C9"/>
    <w:rsid w:val="00F21836"/>
    <w:rsid w:val="00F24A60"/>
    <w:rsid w:val="00F256AB"/>
    <w:rsid w:val="00F259E3"/>
    <w:rsid w:val="00F32A73"/>
    <w:rsid w:val="00F32F90"/>
    <w:rsid w:val="00F3426E"/>
    <w:rsid w:val="00F3488E"/>
    <w:rsid w:val="00F36334"/>
    <w:rsid w:val="00F374BE"/>
    <w:rsid w:val="00F3793A"/>
    <w:rsid w:val="00F40229"/>
    <w:rsid w:val="00F40F04"/>
    <w:rsid w:val="00F41141"/>
    <w:rsid w:val="00F41502"/>
    <w:rsid w:val="00F42441"/>
    <w:rsid w:val="00F458EC"/>
    <w:rsid w:val="00F479F5"/>
    <w:rsid w:val="00F507E7"/>
    <w:rsid w:val="00F51896"/>
    <w:rsid w:val="00F52FBF"/>
    <w:rsid w:val="00F54EAC"/>
    <w:rsid w:val="00F55461"/>
    <w:rsid w:val="00F55555"/>
    <w:rsid w:val="00F5579E"/>
    <w:rsid w:val="00F56667"/>
    <w:rsid w:val="00F56707"/>
    <w:rsid w:val="00F573CB"/>
    <w:rsid w:val="00F63229"/>
    <w:rsid w:val="00F646AF"/>
    <w:rsid w:val="00F66DEE"/>
    <w:rsid w:val="00F726DC"/>
    <w:rsid w:val="00F72C86"/>
    <w:rsid w:val="00F73169"/>
    <w:rsid w:val="00F7363B"/>
    <w:rsid w:val="00F73CAF"/>
    <w:rsid w:val="00F740C0"/>
    <w:rsid w:val="00F74CA9"/>
    <w:rsid w:val="00F7719A"/>
    <w:rsid w:val="00F77333"/>
    <w:rsid w:val="00F77AA6"/>
    <w:rsid w:val="00F824B9"/>
    <w:rsid w:val="00F826EF"/>
    <w:rsid w:val="00F82810"/>
    <w:rsid w:val="00F82D3E"/>
    <w:rsid w:val="00F8330B"/>
    <w:rsid w:val="00F862A7"/>
    <w:rsid w:val="00F86E29"/>
    <w:rsid w:val="00F91A9B"/>
    <w:rsid w:val="00F924A5"/>
    <w:rsid w:val="00F93D0D"/>
    <w:rsid w:val="00F94418"/>
    <w:rsid w:val="00F948AC"/>
    <w:rsid w:val="00F94A6A"/>
    <w:rsid w:val="00F95CFC"/>
    <w:rsid w:val="00F96B70"/>
    <w:rsid w:val="00F97FE0"/>
    <w:rsid w:val="00FA016F"/>
    <w:rsid w:val="00FA2595"/>
    <w:rsid w:val="00FA27F9"/>
    <w:rsid w:val="00FA42DD"/>
    <w:rsid w:val="00FA52F4"/>
    <w:rsid w:val="00FA6134"/>
    <w:rsid w:val="00FA7373"/>
    <w:rsid w:val="00FB123D"/>
    <w:rsid w:val="00FB2138"/>
    <w:rsid w:val="00FB23E8"/>
    <w:rsid w:val="00FB264C"/>
    <w:rsid w:val="00FB29FD"/>
    <w:rsid w:val="00FB365C"/>
    <w:rsid w:val="00FB3876"/>
    <w:rsid w:val="00FB3AD0"/>
    <w:rsid w:val="00FB56FF"/>
    <w:rsid w:val="00FB69D4"/>
    <w:rsid w:val="00FB7AA2"/>
    <w:rsid w:val="00FC0905"/>
    <w:rsid w:val="00FC097C"/>
    <w:rsid w:val="00FC0A77"/>
    <w:rsid w:val="00FC13E7"/>
    <w:rsid w:val="00FC1E68"/>
    <w:rsid w:val="00FC2206"/>
    <w:rsid w:val="00FC2F45"/>
    <w:rsid w:val="00FC3423"/>
    <w:rsid w:val="00FC3A2A"/>
    <w:rsid w:val="00FC5632"/>
    <w:rsid w:val="00FC5F72"/>
    <w:rsid w:val="00FC6CD2"/>
    <w:rsid w:val="00FC6EC9"/>
    <w:rsid w:val="00FC7AC9"/>
    <w:rsid w:val="00FC7C53"/>
    <w:rsid w:val="00FD0CE1"/>
    <w:rsid w:val="00FE19DE"/>
    <w:rsid w:val="00FE1AE6"/>
    <w:rsid w:val="00FE33A6"/>
    <w:rsid w:val="00FE38CC"/>
    <w:rsid w:val="00FE4394"/>
    <w:rsid w:val="00FE52E5"/>
    <w:rsid w:val="00FE6FCF"/>
    <w:rsid w:val="00FE7914"/>
    <w:rsid w:val="00FE7AC6"/>
    <w:rsid w:val="00FF18D4"/>
    <w:rsid w:val="00FF2401"/>
    <w:rsid w:val="00FF2E9F"/>
    <w:rsid w:val="00FF2FB7"/>
    <w:rsid w:val="00FF4391"/>
    <w:rsid w:val="00FF461D"/>
    <w:rsid w:val="00FF62E0"/>
    <w:rsid w:val="00FF6F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B613"/>
  <w15:docId w15:val="{99CB1203-E3CB-400C-9802-D89C0F0D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8AE"/>
  </w:style>
  <w:style w:type="paragraph" w:styleId="Ttulo1">
    <w:name w:val="heading 1"/>
    <w:basedOn w:val="Normal"/>
    <w:next w:val="Normal"/>
    <w:link w:val="Ttulo1Car"/>
    <w:uiPriority w:val="9"/>
    <w:qFormat/>
    <w:rsid w:val="002046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D68B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4E501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AB3F7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4640"/>
    <w:rPr>
      <w:rFonts w:asciiTheme="majorHAnsi" w:eastAsiaTheme="majorEastAsia" w:hAnsiTheme="majorHAnsi" w:cstheme="majorBidi"/>
      <w:b/>
      <w:bCs/>
      <w:color w:val="365F91" w:themeColor="accent1" w:themeShade="BF"/>
      <w:sz w:val="28"/>
      <w:szCs w:val="28"/>
    </w:rPr>
  </w:style>
  <w:style w:type="paragraph" w:styleId="Piedepgina">
    <w:name w:val="footer"/>
    <w:basedOn w:val="Normal"/>
    <w:link w:val="PiedepginaCar"/>
    <w:uiPriority w:val="99"/>
    <w:unhideWhenUsed/>
    <w:rsid w:val="002046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4640"/>
  </w:style>
  <w:style w:type="paragraph" w:customStyle="1" w:styleId="Estilo">
    <w:name w:val="Estilo"/>
    <w:rsid w:val="00204640"/>
    <w:pPr>
      <w:widowControl w:val="0"/>
      <w:autoSpaceDE w:val="0"/>
      <w:autoSpaceDN w:val="0"/>
      <w:adjustRightInd w:val="0"/>
      <w:spacing w:after="0" w:line="240" w:lineRule="auto"/>
    </w:pPr>
    <w:rPr>
      <w:rFonts w:ascii="Arial" w:eastAsia="Times New Roman" w:hAnsi="Arial" w:cs="Arial"/>
      <w:sz w:val="24"/>
      <w:szCs w:val="24"/>
      <w:lang w:eastAsia="es-ES"/>
    </w:rPr>
  </w:style>
  <w:style w:type="paragraph" w:styleId="Prrafodelista">
    <w:name w:val="List Paragraph"/>
    <w:aliases w:val="GCC. Instructa numeración general"/>
    <w:basedOn w:val="Normal"/>
    <w:link w:val="PrrafodelistaCar"/>
    <w:uiPriority w:val="34"/>
    <w:qFormat/>
    <w:rsid w:val="00204640"/>
    <w:pPr>
      <w:ind w:left="720"/>
      <w:contextualSpacing/>
    </w:pPr>
  </w:style>
  <w:style w:type="character" w:styleId="Hipervnculo">
    <w:name w:val="Hyperlink"/>
    <w:basedOn w:val="Fuentedeprrafopredeter"/>
    <w:uiPriority w:val="99"/>
    <w:unhideWhenUsed/>
    <w:rsid w:val="00204640"/>
    <w:rPr>
      <w:color w:val="0000FF"/>
      <w:u w:val="single"/>
    </w:rPr>
  </w:style>
  <w:style w:type="character" w:customStyle="1" w:styleId="apple-converted-space">
    <w:name w:val="apple-converted-space"/>
    <w:basedOn w:val="Fuentedeprrafopredeter"/>
    <w:rsid w:val="00204640"/>
  </w:style>
  <w:style w:type="paragraph" w:styleId="NormalWeb">
    <w:name w:val="Normal (Web)"/>
    <w:basedOn w:val="Normal"/>
    <w:uiPriority w:val="99"/>
    <w:unhideWhenUsed/>
    <w:rsid w:val="0020464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04640"/>
    <w:rPr>
      <w:b/>
      <w:bCs/>
    </w:rPr>
  </w:style>
  <w:style w:type="paragraph" w:customStyle="1" w:styleId="a">
    <w:name w:val="a"/>
    <w:basedOn w:val="Normal"/>
    <w:rsid w:val="002046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rsid w:val="00204640"/>
    <w:pPr>
      <w:spacing w:after="0" w:line="240" w:lineRule="auto"/>
      <w:ind w:left="1080"/>
      <w:jc w:val="both"/>
    </w:pPr>
    <w:rPr>
      <w:rFonts w:ascii="Times New Roman" w:eastAsia="Times New Roman" w:hAnsi="Times New Roman" w:cs="Times New Roman"/>
      <w:sz w:val="24"/>
      <w:szCs w:val="24"/>
      <w:lang w:eastAsia="es-ES"/>
    </w:rPr>
  </w:style>
  <w:style w:type="character" w:customStyle="1" w:styleId="Sangra3detindependienteCar">
    <w:name w:val="Sangría 3 de t. independiente Car"/>
    <w:basedOn w:val="Fuentedeprrafopredeter"/>
    <w:link w:val="Sangra3detindependiente"/>
    <w:rsid w:val="00204640"/>
    <w:rPr>
      <w:rFonts w:ascii="Times New Roman" w:eastAsia="Times New Roman" w:hAnsi="Times New Roman" w:cs="Times New Roman"/>
      <w:sz w:val="24"/>
      <w:szCs w:val="24"/>
      <w:lang w:eastAsia="es-ES"/>
    </w:rPr>
  </w:style>
  <w:style w:type="table" w:styleId="Tablaconcuadrcula">
    <w:name w:val="Table Grid"/>
    <w:basedOn w:val="Tablanormal"/>
    <w:uiPriority w:val="59"/>
    <w:rsid w:val="002046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20464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04640"/>
    <w:rPr>
      <w:rFonts w:ascii="Tahoma" w:hAnsi="Tahoma" w:cs="Tahoma"/>
      <w:sz w:val="16"/>
      <w:szCs w:val="16"/>
    </w:rPr>
  </w:style>
  <w:style w:type="paragraph" w:customStyle="1" w:styleId="AODocTxt">
    <w:name w:val="AODocTxt"/>
    <w:basedOn w:val="Normal"/>
    <w:link w:val="AODocTxtChar"/>
    <w:rsid w:val="00264432"/>
    <w:pPr>
      <w:suppressAutoHyphens/>
      <w:autoSpaceDN w:val="0"/>
      <w:spacing w:before="240" w:after="0" w:line="260" w:lineRule="atLeast"/>
      <w:jc w:val="both"/>
      <w:textAlignment w:val="baseline"/>
      <w:outlineLvl w:val="0"/>
    </w:pPr>
    <w:rPr>
      <w:rFonts w:ascii="Times New Roman" w:eastAsia="SimSun" w:hAnsi="Times New Roman" w:cs="Times New Roman"/>
      <w:kern w:val="3"/>
      <w:lang w:val="en-GB" w:bidi="hi-IN"/>
    </w:rPr>
  </w:style>
  <w:style w:type="paragraph" w:customStyle="1" w:styleId="Default">
    <w:name w:val="Default"/>
    <w:qFormat/>
    <w:rsid w:val="00D05F89"/>
    <w:pPr>
      <w:autoSpaceDE w:val="0"/>
      <w:autoSpaceDN w:val="0"/>
      <w:adjustRightInd w:val="0"/>
      <w:spacing w:after="0" w:line="240" w:lineRule="auto"/>
    </w:pPr>
    <w:rPr>
      <w:rFonts w:ascii="Calibri" w:hAnsi="Calibri" w:cs="Calibri"/>
      <w:color w:val="000000"/>
      <w:sz w:val="24"/>
      <w:szCs w:val="24"/>
    </w:rPr>
  </w:style>
  <w:style w:type="paragraph" w:customStyle="1" w:styleId="articulo1">
    <w:name w:val="articulo1"/>
    <w:basedOn w:val="Normal"/>
    <w:rsid w:val="00E80402"/>
    <w:pPr>
      <w:spacing w:before="360" w:after="180" w:line="240" w:lineRule="auto"/>
      <w:jc w:val="both"/>
    </w:pPr>
    <w:rPr>
      <w:rFonts w:ascii="Times New Roman" w:eastAsia="Times New Roman" w:hAnsi="Times New Roman" w:cs="Times New Roman"/>
      <w:b/>
      <w:bCs/>
      <w:sz w:val="24"/>
      <w:szCs w:val="24"/>
      <w:lang w:eastAsia="es-ES"/>
    </w:rPr>
  </w:style>
  <w:style w:type="paragraph" w:customStyle="1" w:styleId="parrafo21">
    <w:name w:val="parrafo_21"/>
    <w:basedOn w:val="Normal"/>
    <w:rsid w:val="00E80402"/>
    <w:pPr>
      <w:spacing w:before="360" w:after="180" w:line="240" w:lineRule="auto"/>
      <w:ind w:firstLine="360"/>
      <w:jc w:val="both"/>
    </w:pPr>
    <w:rPr>
      <w:rFonts w:ascii="Times New Roman" w:eastAsia="Times New Roman" w:hAnsi="Times New Roman" w:cs="Times New Roman"/>
      <w:sz w:val="24"/>
      <w:szCs w:val="24"/>
      <w:lang w:eastAsia="es-ES"/>
    </w:rPr>
  </w:style>
  <w:style w:type="paragraph" w:customStyle="1" w:styleId="parrafo1">
    <w:name w:val="parrafo1"/>
    <w:basedOn w:val="Normal"/>
    <w:rsid w:val="0011336E"/>
    <w:pPr>
      <w:spacing w:before="180" w:after="180" w:line="240" w:lineRule="auto"/>
      <w:ind w:firstLine="360"/>
      <w:jc w:val="both"/>
    </w:pPr>
    <w:rPr>
      <w:rFonts w:ascii="Times New Roman" w:eastAsia="Times New Roman" w:hAnsi="Times New Roman" w:cs="Times New Roman"/>
      <w:sz w:val="24"/>
      <w:szCs w:val="24"/>
      <w:lang w:eastAsia="es-ES"/>
    </w:rPr>
  </w:style>
  <w:style w:type="paragraph" w:customStyle="1" w:styleId="seccion1">
    <w:name w:val="seccion1"/>
    <w:basedOn w:val="Normal"/>
    <w:rsid w:val="0011336E"/>
    <w:pPr>
      <w:spacing w:before="480" w:after="240" w:line="240" w:lineRule="auto"/>
      <w:ind w:left="960" w:right="960"/>
      <w:jc w:val="center"/>
    </w:pPr>
    <w:rPr>
      <w:rFonts w:ascii="Times New Roman" w:eastAsia="Times New Roman" w:hAnsi="Times New Roman" w:cs="Times New Roman"/>
      <w:b/>
      <w:bCs/>
      <w:i/>
      <w:iCs/>
      <w:sz w:val="24"/>
      <w:szCs w:val="24"/>
      <w:lang w:eastAsia="es-ES"/>
    </w:rPr>
  </w:style>
  <w:style w:type="paragraph" w:customStyle="1" w:styleId="centrocursiva1">
    <w:name w:val="centro_cursiva1"/>
    <w:basedOn w:val="Normal"/>
    <w:rsid w:val="00EB2AB1"/>
    <w:pPr>
      <w:spacing w:before="300" w:after="240" w:line="240" w:lineRule="auto"/>
      <w:jc w:val="center"/>
    </w:pPr>
    <w:rPr>
      <w:rFonts w:ascii="Times New Roman" w:eastAsia="Times New Roman" w:hAnsi="Times New Roman" w:cs="Times New Roman"/>
      <w:i/>
      <w:iCs/>
      <w:sz w:val="24"/>
      <w:szCs w:val="24"/>
      <w:lang w:eastAsia="es-ES"/>
    </w:rPr>
  </w:style>
  <w:style w:type="paragraph" w:customStyle="1" w:styleId="centronegrita1">
    <w:name w:val="centro_negrita1"/>
    <w:basedOn w:val="Normal"/>
    <w:rsid w:val="00EB2AB1"/>
    <w:pPr>
      <w:spacing w:before="300" w:after="240" w:line="240" w:lineRule="auto"/>
      <w:jc w:val="center"/>
    </w:pPr>
    <w:rPr>
      <w:rFonts w:ascii="Times New Roman" w:eastAsia="Times New Roman" w:hAnsi="Times New Roman" w:cs="Times New Roman"/>
      <w:b/>
      <w:bCs/>
      <w:sz w:val="24"/>
      <w:szCs w:val="24"/>
      <w:lang w:eastAsia="es-ES"/>
    </w:rPr>
  </w:style>
  <w:style w:type="paragraph" w:customStyle="1" w:styleId="anexonum1">
    <w:name w:val="anexo_num1"/>
    <w:basedOn w:val="Normal"/>
    <w:rsid w:val="00EB2AB1"/>
    <w:pPr>
      <w:spacing w:before="720" w:after="0" w:line="240" w:lineRule="auto"/>
      <w:ind w:left="960" w:right="960"/>
      <w:jc w:val="center"/>
    </w:pPr>
    <w:rPr>
      <w:rFonts w:ascii="Times New Roman" w:eastAsia="Times New Roman" w:hAnsi="Times New Roman" w:cs="Times New Roman"/>
      <w:b/>
      <w:bCs/>
      <w:sz w:val="24"/>
      <w:szCs w:val="24"/>
      <w:lang w:eastAsia="es-ES"/>
    </w:rPr>
  </w:style>
  <w:style w:type="paragraph" w:customStyle="1" w:styleId="anexotit1">
    <w:name w:val="anexo_tit1"/>
    <w:basedOn w:val="Normal"/>
    <w:rsid w:val="00EB2AB1"/>
    <w:pPr>
      <w:spacing w:before="180" w:after="360" w:line="240" w:lineRule="auto"/>
      <w:ind w:left="960" w:right="960"/>
      <w:jc w:val="center"/>
    </w:pPr>
    <w:rPr>
      <w:rFonts w:ascii="Times New Roman" w:eastAsia="Times New Roman" w:hAnsi="Times New Roman" w:cs="Times New Roman"/>
      <w:b/>
      <w:bCs/>
      <w:sz w:val="24"/>
      <w:szCs w:val="24"/>
      <w:lang w:eastAsia="es-ES"/>
    </w:rPr>
  </w:style>
  <w:style w:type="character" w:styleId="nfasis">
    <w:name w:val="Emphasis"/>
    <w:basedOn w:val="Fuentedeprrafopredeter"/>
    <w:uiPriority w:val="20"/>
    <w:qFormat/>
    <w:rsid w:val="00B704AC"/>
    <w:rPr>
      <w:i/>
      <w:iCs/>
    </w:rPr>
  </w:style>
  <w:style w:type="character" w:customStyle="1" w:styleId="normalningunaningunacursiva">
    <w:name w:val="normal ninguna ningunacursiva"/>
    <w:basedOn w:val="Fuentedeprrafopredeter"/>
    <w:rsid w:val="003A6CA5"/>
  </w:style>
  <w:style w:type="paragraph" w:customStyle="1" w:styleId="simpleizquierdanone">
    <w:name w:val="simple izquierda none"/>
    <w:basedOn w:val="Normal"/>
    <w:rsid w:val="003A6CA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searchterm">
    <w:name w:val="searchterm"/>
    <w:basedOn w:val="Fuentedeprrafopredeter"/>
    <w:rsid w:val="003A6CA5"/>
  </w:style>
  <w:style w:type="paragraph" w:styleId="Textoindependiente">
    <w:name w:val="Body Text"/>
    <w:basedOn w:val="Normal"/>
    <w:link w:val="TextoindependienteCar"/>
    <w:uiPriority w:val="99"/>
    <w:unhideWhenUsed/>
    <w:rsid w:val="00D77DAA"/>
    <w:pPr>
      <w:spacing w:after="120"/>
    </w:pPr>
    <w:rPr>
      <w:rFonts w:ascii="Arial" w:eastAsia="Calibri" w:hAnsi="Arial" w:cs="Arial"/>
    </w:rPr>
  </w:style>
  <w:style w:type="character" w:customStyle="1" w:styleId="TextoindependienteCar">
    <w:name w:val="Texto independiente Car"/>
    <w:basedOn w:val="Fuentedeprrafopredeter"/>
    <w:link w:val="Textoindependiente"/>
    <w:uiPriority w:val="99"/>
    <w:rsid w:val="00D77DAA"/>
    <w:rPr>
      <w:rFonts w:ascii="Arial" w:eastAsia="Calibri" w:hAnsi="Arial" w:cs="Arial"/>
    </w:rPr>
  </w:style>
  <w:style w:type="character" w:styleId="Refdecomentario">
    <w:name w:val="annotation reference"/>
    <w:basedOn w:val="Fuentedeprrafopredeter"/>
    <w:uiPriority w:val="99"/>
    <w:semiHidden/>
    <w:unhideWhenUsed/>
    <w:rsid w:val="00E9256C"/>
    <w:rPr>
      <w:sz w:val="16"/>
      <w:szCs w:val="16"/>
    </w:rPr>
  </w:style>
  <w:style w:type="paragraph" w:styleId="Textocomentario">
    <w:name w:val="annotation text"/>
    <w:basedOn w:val="Normal"/>
    <w:link w:val="TextocomentarioCar"/>
    <w:uiPriority w:val="99"/>
    <w:unhideWhenUsed/>
    <w:rsid w:val="00E9256C"/>
    <w:pPr>
      <w:spacing w:line="240" w:lineRule="auto"/>
    </w:pPr>
    <w:rPr>
      <w:sz w:val="20"/>
      <w:szCs w:val="20"/>
    </w:rPr>
  </w:style>
  <w:style w:type="character" w:customStyle="1" w:styleId="TextocomentarioCar">
    <w:name w:val="Texto comentario Car"/>
    <w:basedOn w:val="Fuentedeprrafopredeter"/>
    <w:link w:val="Textocomentario"/>
    <w:uiPriority w:val="99"/>
    <w:rsid w:val="00E9256C"/>
    <w:rPr>
      <w:sz w:val="20"/>
      <w:szCs w:val="20"/>
    </w:rPr>
  </w:style>
  <w:style w:type="paragraph" w:styleId="Asuntodelcomentario">
    <w:name w:val="annotation subject"/>
    <w:basedOn w:val="Textocomentario"/>
    <w:next w:val="Textocomentario"/>
    <w:link w:val="AsuntodelcomentarioCar"/>
    <w:uiPriority w:val="99"/>
    <w:semiHidden/>
    <w:unhideWhenUsed/>
    <w:rsid w:val="00E9256C"/>
    <w:rPr>
      <w:b/>
      <w:bCs/>
    </w:rPr>
  </w:style>
  <w:style w:type="character" w:customStyle="1" w:styleId="AsuntodelcomentarioCar">
    <w:name w:val="Asunto del comentario Car"/>
    <w:basedOn w:val="TextocomentarioCar"/>
    <w:link w:val="Asuntodelcomentario"/>
    <w:uiPriority w:val="99"/>
    <w:semiHidden/>
    <w:rsid w:val="00E9256C"/>
    <w:rPr>
      <w:b/>
      <w:bCs/>
      <w:sz w:val="20"/>
      <w:szCs w:val="20"/>
    </w:rPr>
  </w:style>
  <w:style w:type="paragraph" w:customStyle="1" w:styleId="AODocTxtL1">
    <w:name w:val="AODocTxtL1"/>
    <w:basedOn w:val="AODocTxt"/>
    <w:rsid w:val="00645D9B"/>
    <w:pPr>
      <w:tabs>
        <w:tab w:val="num" w:pos="360"/>
      </w:tabs>
      <w:suppressAutoHyphens w:val="0"/>
      <w:autoSpaceDN/>
      <w:ind w:left="1440" w:hanging="360"/>
      <w:textAlignment w:val="auto"/>
      <w:outlineLvl w:val="9"/>
    </w:pPr>
    <w:rPr>
      <w:kern w:val="0"/>
      <w:lang w:val="es-ES_tradnl" w:bidi="ar-SA"/>
    </w:rPr>
  </w:style>
  <w:style w:type="paragraph" w:customStyle="1" w:styleId="AODocTxtL2">
    <w:name w:val="AODocTxtL2"/>
    <w:basedOn w:val="AODocTxt"/>
    <w:rsid w:val="00645D9B"/>
    <w:pPr>
      <w:tabs>
        <w:tab w:val="num" w:pos="360"/>
      </w:tabs>
      <w:suppressAutoHyphens w:val="0"/>
      <w:autoSpaceDN/>
      <w:ind w:left="2160" w:hanging="180"/>
      <w:textAlignment w:val="auto"/>
      <w:outlineLvl w:val="9"/>
    </w:pPr>
    <w:rPr>
      <w:kern w:val="0"/>
      <w:lang w:val="es-ES_tradnl" w:bidi="ar-SA"/>
    </w:rPr>
  </w:style>
  <w:style w:type="paragraph" w:customStyle="1" w:styleId="AODocTxtL3">
    <w:name w:val="AODocTxtL3"/>
    <w:basedOn w:val="AODocTxt"/>
    <w:rsid w:val="00645D9B"/>
    <w:pPr>
      <w:tabs>
        <w:tab w:val="num" w:pos="360"/>
      </w:tabs>
      <w:suppressAutoHyphens w:val="0"/>
      <w:autoSpaceDN/>
      <w:ind w:left="2880" w:hanging="360"/>
      <w:textAlignment w:val="auto"/>
      <w:outlineLvl w:val="9"/>
    </w:pPr>
    <w:rPr>
      <w:kern w:val="0"/>
      <w:lang w:val="es-ES_tradnl" w:bidi="ar-SA"/>
    </w:rPr>
  </w:style>
  <w:style w:type="paragraph" w:customStyle="1" w:styleId="AODocTxtL4">
    <w:name w:val="AODocTxtL4"/>
    <w:basedOn w:val="AODocTxt"/>
    <w:rsid w:val="00645D9B"/>
    <w:pPr>
      <w:tabs>
        <w:tab w:val="num" w:pos="360"/>
      </w:tabs>
      <w:suppressAutoHyphens w:val="0"/>
      <w:autoSpaceDN/>
      <w:ind w:left="3600" w:hanging="360"/>
      <w:textAlignment w:val="auto"/>
      <w:outlineLvl w:val="9"/>
    </w:pPr>
    <w:rPr>
      <w:kern w:val="0"/>
      <w:lang w:val="es-ES_tradnl" w:bidi="ar-SA"/>
    </w:rPr>
  </w:style>
  <w:style w:type="paragraph" w:customStyle="1" w:styleId="AODocTxtL5">
    <w:name w:val="AODocTxtL5"/>
    <w:basedOn w:val="AODocTxt"/>
    <w:rsid w:val="00645D9B"/>
    <w:pPr>
      <w:tabs>
        <w:tab w:val="num" w:pos="360"/>
      </w:tabs>
      <w:suppressAutoHyphens w:val="0"/>
      <w:autoSpaceDN/>
      <w:ind w:left="4320" w:hanging="180"/>
      <w:textAlignment w:val="auto"/>
      <w:outlineLvl w:val="9"/>
    </w:pPr>
    <w:rPr>
      <w:kern w:val="0"/>
      <w:lang w:val="es-ES_tradnl" w:bidi="ar-SA"/>
    </w:rPr>
  </w:style>
  <w:style w:type="paragraph" w:customStyle="1" w:styleId="AODocTxtL6">
    <w:name w:val="AODocTxtL6"/>
    <w:basedOn w:val="AODocTxt"/>
    <w:rsid w:val="00645D9B"/>
    <w:pPr>
      <w:tabs>
        <w:tab w:val="num" w:pos="360"/>
      </w:tabs>
      <w:suppressAutoHyphens w:val="0"/>
      <w:autoSpaceDN/>
      <w:ind w:left="5040" w:hanging="360"/>
      <w:textAlignment w:val="auto"/>
      <w:outlineLvl w:val="9"/>
    </w:pPr>
    <w:rPr>
      <w:kern w:val="0"/>
      <w:lang w:val="es-ES_tradnl" w:bidi="ar-SA"/>
    </w:rPr>
  </w:style>
  <w:style w:type="paragraph" w:customStyle="1" w:styleId="AODocTxtL7">
    <w:name w:val="AODocTxtL7"/>
    <w:basedOn w:val="AODocTxt"/>
    <w:rsid w:val="00645D9B"/>
    <w:pPr>
      <w:tabs>
        <w:tab w:val="num" w:pos="360"/>
      </w:tabs>
      <w:suppressAutoHyphens w:val="0"/>
      <w:autoSpaceDN/>
      <w:ind w:left="5760" w:hanging="360"/>
      <w:textAlignment w:val="auto"/>
      <w:outlineLvl w:val="9"/>
    </w:pPr>
    <w:rPr>
      <w:kern w:val="0"/>
      <w:lang w:val="es-ES_tradnl" w:bidi="ar-SA"/>
    </w:rPr>
  </w:style>
  <w:style w:type="paragraph" w:customStyle="1" w:styleId="AODocTxtL8">
    <w:name w:val="AODocTxtL8"/>
    <w:basedOn w:val="AODocTxt"/>
    <w:rsid w:val="00645D9B"/>
    <w:pPr>
      <w:tabs>
        <w:tab w:val="num" w:pos="360"/>
      </w:tabs>
      <w:suppressAutoHyphens w:val="0"/>
      <w:autoSpaceDN/>
      <w:ind w:left="6480" w:hanging="180"/>
      <w:textAlignment w:val="auto"/>
      <w:outlineLvl w:val="9"/>
    </w:pPr>
    <w:rPr>
      <w:kern w:val="0"/>
      <w:lang w:val="es-ES_tradnl" w:bidi="ar-SA"/>
    </w:rPr>
  </w:style>
  <w:style w:type="character" w:customStyle="1" w:styleId="AODocTxtChar">
    <w:name w:val="AODocTxt Char"/>
    <w:basedOn w:val="Fuentedeprrafopredeter"/>
    <w:link w:val="AODocTxt"/>
    <w:rsid w:val="00645D9B"/>
    <w:rPr>
      <w:rFonts w:ascii="Times New Roman" w:eastAsia="SimSun" w:hAnsi="Times New Roman" w:cs="Times New Roman"/>
      <w:kern w:val="3"/>
      <w:lang w:val="en-GB" w:bidi="hi-IN"/>
    </w:rPr>
  </w:style>
  <w:style w:type="character" w:customStyle="1" w:styleId="negrita">
    <w:name w:val="negrita"/>
    <w:basedOn w:val="Fuentedeprrafopredeter"/>
    <w:rsid w:val="00EB0241"/>
  </w:style>
  <w:style w:type="character" w:customStyle="1" w:styleId="linktodoc">
    <w:name w:val="linktodoc"/>
    <w:basedOn w:val="Fuentedeprrafopredeter"/>
    <w:qFormat/>
    <w:rsid w:val="008B2235"/>
  </w:style>
  <w:style w:type="paragraph" w:customStyle="1" w:styleId="simple">
    <w:name w:val="simple"/>
    <w:basedOn w:val="Normal"/>
    <w:rsid w:val="00C1715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ighlight">
    <w:name w:val="highlight"/>
    <w:basedOn w:val="Fuentedeprrafopredeter"/>
    <w:rsid w:val="00C17157"/>
  </w:style>
  <w:style w:type="paragraph" w:styleId="Sinespaciado">
    <w:name w:val="No Spacing"/>
    <w:link w:val="SinespaciadoCar"/>
    <w:qFormat/>
    <w:rsid w:val="00E95030"/>
    <w:pPr>
      <w:spacing w:after="0" w:line="240" w:lineRule="auto"/>
    </w:pPr>
  </w:style>
  <w:style w:type="character" w:customStyle="1" w:styleId="PrrafodelistaCar">
    <w:name w:val="Párrafo de lista Car"/>
    <w:aliases w:val="GCC. Instructa numeración general Car"/>
    <w:link w:val="Prrafodelista"/>
    <w:uiPriority w:val="34"/>
    <w:locked/>
    <w:rsid w:val="003821E8"/>
  </w:style>
  <w:style w:type="character" w:customStyle="1" w:styleId="Ttulo3Car">
    <w:name w:val="Título 3 Car"/>
    <w:basedOn w:val="Fuentedeprrafopredeter"/>
    <w:link w:val="Ttulo3"/>
    <w:uiPriority w:val="9"/>
    <w:rsid w:val="004E5015"/>
    <w:rPr>
      <w:rFonts w:ascii="Times New Roman" w:eastAsia="Times New Roman" w:hAnsi="Times New Roman" w:cs="Times New Roman"/>
      <w:b/>
      <w:bCs/>
      <w:sz w:val="27"/>
      <w:szCs w:val="27"/>
      <w:lang w:eastAsia="es-ES"/>
    </w:rPr>
  </w:style>
  <w:style w:type="paragraph" w:customStyle="1" w:styleId="GCCPrrafonormalnumerado">
    <w:name w:val="GCC Párrafo normal numerado"/>
    <w:basedOn w:val="Normal"/>
    <w:link w:val="GCCPrrafonormalnumeradoChar"/>
    <w:autoRedefine/>
    <w:qFormat/>
    <w:rsid w:val="00CE6ECF"/>
    <w:pPr>
      <w:suppressAutoHyphens/>
      <w:spacing w:before="240" w:after="240"/>
      <w:ind w:left="567"/>
      <w:jc w:val="both"/>
    </w:pPr>
    <w:rPr>
      <w:rFonts w:ascii="Bankinter" w:eastAsia="Calibri" w:hAnsi="Bankinter" w:cs="Times New Roman"/>
      <w:i/>
      <w:iCs/>
      <w:color w:val="000000"/>
      <w:lang w:val="es-ES_tradnl"/>
    </w:rPr>
  </w:style>
  <w:style w:type="character" w:customStyle="1" w:styleId="GCCPrrafonormalnumeradoChar">
    <w:name w:val="GCC Párrafo normal numerado Char"/>
    <w:basedOn w:val="Fuentedeprrafopredeter"/>
    <w:link w:val="GCCPrrafonormalnumerado"/>
    <w:rsid w:val="00CE6ECF"/>
    <w:rPr>
      <w:rFonts w:ascii="Bankinter" w:eastAsia="Calibri" w:hAnsi="Bankinter" w:cs="Times New Roman"/>
      <w:i/>
      <w:iCs/>
      <w:color w:val="000000"/>
      <w:lang w:val="es-ES_tradnl"/>
    </w:rPr>
  </w:style>
  <w:style w:type="paragraph" w:styleId="Encabezado">
    <w:name w:val="header"/>
    <w:basedOn w:val="Normal"/>
    <w:link w:val="EncabezadoCar"/>
    <w:uiPriority w:val="99"/>
    <w:unhideWhenUsed/>
    <w:rsid w:val="000015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15E0"/>
  </w:style>
  <w:style w:type="paragraph" w:styleId="Sangradetextonormal">
    <w:name w:val="Body Text Indent"/>
    <w:basedOn w:val="Normal"/>
    <w:link w:val="SangradetextonormalCar"/>
    <w:uiPriority w:val="99"/>
    <w:semiHidden/>
    <w:unhideWhenUsed/>
    <w:rsid w:val="001E7A0E"/>
    <w:pPr>
      <w:spacing w:after="120"/>
      <w:ind w:left="283"/>
    </w:pPr>
  </w:style>
  <w:style w:type="character" w:customStyle="1" w:styleId="SangradetextonormalCar">
    <w:name w:val="Sangría de texto normal Car"/>
    <w:basedOn w:val="Fuentedeprrafopredeter"/>
    <w:link w:val="Sangradetextonormal"/>
    <w:uiPriority w:val="99"/>
    <w:semiHidden/>
    <w:rsid w:val="001E7A0E"/>
  </w:style>
  <w:style w:type="paragraph" w:customStyle="1" w:styleId="Sinespaciado1">
    <w:name w:val="Sin espaciado1"/>
    <w:rsid w:val="00605687"/>
    <w:pPr>
      <w:suppressAutoHyphens/>
      <w:spacing w:after="0" w:line="240" w:lineRule="auto"/>
    </w:pPr>
    <w:rPr>
      <w:rFonts w:ascii="Calibri" w:eastAsia="Calibri" w:hAnsi="Calibri" w:cs="DejaVu Sans"/>
    </w:rPr>
  </w:style>
  <w:style w:type="paragraph" w:customStyle="1" w:styleId="cuadro">
    <w:name w:val="cuadro"/>
    <w:basedOn w:val="Prrafodelista"/>
    <w:link w:val="cuadroCar"/>
    <w:qFormat/>
    <w:rsid w:val="005C5183"/>
    <w:pPr>
      <w:pBdr>
        <w:top w:val="single" w:sz="4" w:space="1" w:color="auto"/>
        <w:left w:val="single" w:sz="4" w:space="4" w:color="auto"/>
        <w:bottom w:val="single" w:sz="4" w:space="1" w:color="auto"/>
        <w:right w:val="single" w:sz="4" w:space="4" w:color="auto"/>
      </w:pBdr>
      <w:spacing w:after="120" w:line="360" w:lineRule="auto"/>
      <w:ind w:left="851"/>
      <w:jc w:val="both"/>
    </w:pPr>
    <w:rPr>
      <w:rFonts w:ascii="Times New Roman" w:eastAsia="Calibri" w:hAnsi="Times New Roman" w:cs="Times New Roman"/>
      <w:i/>
      <w:color w:val="0070C0"/>
    </w:rPr>
  </w:style>
  <w:style w:type="character" w:customStyle="1" w:styleId="cuadroCar">
    <w:name w:val="cuadro Car"/>
    <w:basedOn w:val="PrrafodelistaCar"/>
    <w:link w:val="cuadro"/>
    <w:rsid w:val="005C5183"/>
    <w:rPr>
      <w:rFonts w:ascii="Times New Roman" w:eastAsia="Calibri" w:hAnsi="Times New Roman" w:cs="Times New Roman"/>
      <w:i/>
      <w:color w:val="0070C0"/>
    </w:rPr>
  </w:style>
  <w:style w:type="paragraph" w:customStyle="1" w:styleId="Estilo2">
    <w:name w:val="Estilo2"/>
    <w:basedOn w:val="Normal"/>
    <w:link w:val="Estilo2Car"/>
    <w:qFormat/>
    <w:rsid w:val="005C5183"/>
    <w:pPr>
      <w:spacing w:before="360" w:after="240" w:line="290" w:lineRule="auto"/>
      <w:ind w:left="9129" w:hanging="360"/>
      <w:jc w:val="both"/>
    </w:pPr>
    <w:rPr>
      <w:rFonts w:ascii="Times New Roman" w:eastAsia="MS Mincho" w:hAnsi="Times New Roman" w:cs="Times New Roman"/>
      <w:lang w:val="es-ES_tradnl" w:eastAsia="es-ES_tradnl"/>
    </w:rPr>
  </w:style>
  <w:style w:type="character" w:customStyle="1" w:styleId="Estilo2Car">
    <w:name w:val="Estilo2 Car"/>
    <w:basedOn w:val="Fuentedeprrafopredeter"/>
    <w:link w:val="Estilo2"/>
    <w:rsid w:val="005C5183"/>
    <w:rPr>
      <w:rFonts w:ascii="Times New Roman" w:eastAsia="MS Mincho" w:hAnsi="Times New Roman" w:cs="Times New Roman"/>
      <w:lang w:val="es-ES_tradnl" w:eastAsia="es-ES_tradnl"/>
    </w:rPr>
  </w:style>
  <w:style w:type="paragraph" w:customStyle="1" w:styleId="escribir">
    <w:name w:val="escribir"/>
    <w:basedOn w:val="Estilo2"/>
    <w:link w:val="escribirCar"/>
    <w:qFormat/>
    <w:rsid w:val="005C5183"/>
    <w:pPr>
      <w:numPr>
        <w:numId w:val="11"/>
      </w:numPr>
      <w:spacing w:before="0" w:after="0" w:line="360" w:lineRule="auto"/>
    </w:pPr>
  </w:style>
  <w:style w:type="character" w:customStyle="1" w:styleId="SinespaciadoCar">
    <w:name w:val="Sin espaciado Car"/>
    <w:basedOn w:val="Fuentedeprrafopredeter"/>
    <w:link w:val="Sinespaciado"/>
    <w:rsid w:val="005C5183"/>
  </w:style>
  <w:style w:type="paragraph" w:customStyle="1" w:styleId="Estilo1">
    <w:name w:val="Estilo1"/>
    <w:basedOn w:val="Prrafodelista"/>
    <w:link w:val="Estilo1Car"/>
    <w:qFormat/>
    <w:rsid w:val="005C5183"/>
    <w:pPr>
      <w:pBdr>
        <w:top w:val="single" w:sz="4" w:space="1" w:color="auto"/>
        <w:left w:val="single" w:sz="4" w:space="4" w:color="auto"/>
        <w:bottom w:val="single" w:sz="4" w:space="1" w:color="auto"/>
        <w:right w:val="single" w:sz="4" w:space="4" w:color="auto"/>
      </w:pBdr>
      <w:spacing w:after="120" w:line="360" w:lineRule="auto"/>
      <w:ind w:left="851"/>
      <w:jc w:val="both"/>
    </w:pPr>
    <w:rPr>
      <w:rFonts w:ascii="Times New Roman" w:eastAsia="Calibri" w:hAnsi="Times New Roman" w:cs="Times New Roman"/>
      <w:i/>
      <w:color w:val="0070C0"/>
    </w:rPr>
  </w:style>
  <w:style w:type="character" w:customStyle="1" w:styleId="escribirCar">
    <w:name w:val="escribir Car"/>
    <w:basedOn w:val="Estilo2Car"/>
    <w:link w:val="escribir"/>
    <w:rsid w:val="005C5183"/>
    <w:rPr>
      <w:rFonts w:ascii="Times New Roman" w:eastAsia="MS Mincho" w:hAnsi="Times New Roman" w:cs="Times New Roman"/>
      <w:lang w:val="es-ES_tradnl" w:eastAsia="es-ES_tradnl"/>
    </w:rPr>
  </w:style>
  <w:style w:type="character" w:customStyle="1" w:styleId="Estilo1Car">
    <w:name w:val="Estilo1 Car"/>
    <w:basedOn w:val="PrrafodelistaCar"/>
    <w:link w:val="Estilo1"/>
    <w:rsid w:val="005C5183"/>
    <w:rPr>
      <w:rFonts w:ascii="Times New Roman" w:eastAsia="Calibri" w:hAnsi="Times New Roman" w:cs="Times New Roman"/>
      <w:i/>
      <w:color w:val="0070C0"/>
    </w:rPr>
  </w:style>
  <w:style w:type="paragraph" w:customStyle="1" w:styleId="TTULOS">
    <w:name w:val="TÍTULOS"/>
    <w:basedOn w:val="Sinespaciado"/>
    <w:link w:val="TTULOSCar"/>
    <w:qFormat/>
    <w:rsid w:val="001F4427"/>
    <w:pPr>
      <w:spacing w:line="360" w:lineRule="auto"/>
      <w:jc w:val="both"/>
    </w:pPr>
    <w:rPr>
      <w:rFonts w:ascii="Times New Roman" w:eastAsia="Courier New" w:hAnsi="Times New Roman" w:cs="Times New Roman"/>
      <w:b/>
      <w:color w:val="4F81BD" w:themeColor="accent1"/>
      <w:spacing w:val="-9"/>
      <w:u w:val="single"/>
    </w:rPr>
  </w:style>
  <w:style w:type="character" w:customStyle="1" w:styleId="TTULOSCar">
    <w:name w:val="TÍTULOS Car"/>
    <w:basedOn w:val="SinespaciadoCar"/>
    <w:link w:val="TTULOS"/>
    <w:rsid w:val="001F4427"/>
    <w:rPr>
      <w:rFonts w:ascii="Times New Roman" w:eastAsia="Courier New" w:hAnsi="Times New Roman" w:cs="Times New Roman"/>
      <w:b/>
      <w:color w:val="4F81BD" w:themeColor="accent1"/>
      <w:spacing w:val="-9"/>
      <w:u w:val="single"/>
    </w:rPr>
  </w:style>
  <w:style w:type="paragraph" w:customStyle="1" w:styleId="TTULOMACRO">
    <w:name w:val="TÍTULO MACRO"/>
    <w:basedOn w:val="TTULOS"/>
    <w:link w:val="TTULOMACROCar"/>
    <w:qFormat/>
    <w:rsid w:val="00142BEE"/>
    <w:pPr>
      <w:jc w:val="center"/>
    </w:pPr>
    <w:rPr>
      <w:rFonts w:ascii="Arial" w:eastAsia="Bankinter" w:hAnsi="Arial" w:cs="Arial"/>
      <w:color w:val="auto"/>
      <w:sz w:val="20"/>
      <w:szCs w:val="20"/>
    </w:rPr>
  </w:style>
  <w:style w:type="paragraph" w:styleId="Subttulo">
    <w:name w:val="Subtitle"/>
    <w:basedOn w:val="Normal"/>
    <w:next w:val="Normal"/>
    <w:link w:val="SubttuloCar"/>
    <w:uiPriority w:val="11"/>
    <w:qFormat/>
    <w:rsid w:val="00CD649F"/>
    <w:pPr>
      <w:numPr>
        <w:ilvl w:val="1"/>
      </w:numPr>
      <w:spacing w:after="160"/>
    </w:pPr>
    <w:rPr>
      <w:rFonts w:eastAsiaTheme="minorEastAsia"/>
      <w:color w:val="5A5A5A" w:themeColor="text1" w:themeTint="A5"/>
      <w:spacing w:val="15"/>
    </w:rPr>
  </w:style>
  <w:style w:type="character" w:customStyle="1" w:styleId="TTULOMACROCar">
    <w:name w:val="TÍTULO MACRO Car"/>
    <w:basedOn w:val="Fuentedeprrafopredeter"/>
    <w:link w:val="TTULOMACRO"/>
    <w:rsid w:val="00142BEE"/>
    <w:rPr>
      <w:rFonts w:ascii="Arial" w:eastAsia="Bankinter" w:hAnsi="Arial" w:cs="Arial"/>
      <w:b/>
      <w:spacing w:val="-9"/>
      <w:sz w:val="20"/>
      <w:szCs w:val="20"/>
      <w:u w:val="single"/>
    </w:rPr>
  </w:style>
  <w:style w:type="character" w:customStyle="1" w:styleId="SubttuloCar">
    <w:name w:val="Subtítulo Car"/>
    <w:basedOn w:val="Fuentedeprrafopredeter"/>
    <w:link w:val="Subttulo"/>
    <w:uiPriority w:val="11"/>
    <w:rsid w:val="00CD649F"/>
    <w:rPr>
      <w:rFonts w:eastAsiaTheme="minorEastAsia"/>
      <w:color w:val="5A5A5A" w:themeColor="text1" w:themeTint="A5"/>
      <w:spacing w:val="15"/>
    </w:rPr>
  </w:style>
  <w:style w:type="paragraph" w:styleId="TtuloTDC">
    <w:name w:val="TOC Heading"/>
    <w:basedOn w:val="Ttulo1"/>
    <w:next w:val="Normal"/>
    <w:uiPriority w:val="39"/>
    <w:unhideWhenUsed/>
    <w:qFormat/>
    <w:rsid w:val="00DF3C7D"/>
    <w:pPr>
      <w:spacing w:before="240" w:line="259" w:lineRule="auto"/>
      <w:outlineLvl w:val="9"/>
    </w:pPr>
    <w:rPr>
      <w:b w:val="0"/>
      <w:bCs w:val="0"/>
      <w:sz w:val="32"/>
      <w:szCs w:val="32"/>
      <w:lang w:eastAsia="es-ES"/>
    </w:rPr>
  </w:style>
  <w:style w:type="paragraph" w:styleId="TDC3">
    <w:name w:val="toc 3"/>
    <w:basedOn w:val="Normal"/>
    <w:next w:val="Normal"/>
    <w:autoRedefine/>
    <w:uiPriority w:val="39"/>
    <w:unhideWhenUsed/>
    <w:rsid w:val="00DF3C7D"/>
    <w:pPr>
      <w:spacing w:after="100"/>
      <w:ind w:left="440"/>
    </w:pPr>
  </w:style>
  <w:style w:type="character" w:styleId="Hipervnculovisitado">
    <w:name w:val="FollowedHyperlink"/>
    <w:basedOn w:val="Fuentedeprrafopredeter"/>
    <w:uiPriority w:val="99"/>
    <w:semiHidden/>
    <w:unhideWhenUsed/>
    <w:rsid w:val="00DF3C7D"/>
    <w:rPr>
      <w:color w:val="800080" w:themeColor="followedHyperlink"/>
      <w:u w:val="single"/>
    </w:rPr>
  </w:style>
  <w:style w:type="character" w:customStyle="1" w:styleId="Ttulo4Car">
    <w:name w:val="Título 4 Car"/>
    <w:basedOn w:val="Fuentedeprrafopredeter"/>
    <w:link w:val="Ttulo4"/>
    <w:uiPriority w:val="9"/>
    <w:rsid w:val="00AB3F73"/>
    <w:rPr>
      <w:rFonts w:asciiTheme="majorHAnsi" w:eastAsiaTheme="majorEastAsia" w:hAnsiTheme="majorHAnsi" w:cstheme="majorBidi"/>
      <w:i/>
      <w:iCs/>
      <w:color w:val="365F91" w:themeColor="accent1" w:themeShade="BF"/>
    </w:rPr>
  </w:style>
  <w:style w:type="paragraph" w:styleId="TDC2">
    <w:name w:val="toc 2"/>
    <w:basedOn w:val="Normal"/>
    <w:next w:val="Normal"/>
    <w:autoRedefine/>
    <w:uiPriority w:val="39"/>
    <w:unhideWhenUsed/>
    <w:rsid w:val="00BD45F9"/>
    <w:pPr>
      <w:spacing w:after="100" w:line="259" w:lineRule="auto"/>
      <w:ind w:left="220"/>
    </w:pPr>
    <w:rPr>
      <w:rFonts w:eastAsiaTheme="minorEastAsia" w:cs="Times New Roman"/>
      <w:lang w:eastAsia="es-ES"/>
    </w:rPr>
  </w:style>
  <w:style w:type="paragraph" w:styleId="TDC1">
    <w:name w:val="toc 1"/>
    <w:basedOn w:val="Normal"/>
    <w:next w:val="Normal"/>
    <w:autoRedefine/>
    <w:uiPriority w:val="39"/>
    <w:unhideWhenUsed/>
    <w:rsid w:val="00BD45F9"/>
    <w:pPr>
      <w:spacing w:after="100" w:line="259" w:lineRule="auto"/>
    </w:pPr>
    <w:rPr>
      <w:rFonts w:eastAsiaTheme="minorEastAsia" w:cs="Times New Roman"/>
      <w:lang w:eastAsia="es-ES"/>
    </w:rPr>
  </w:style>
  <w:style w:type="character" w:customStyle="1" w:styleId="Ttulo2Car">
    <w:name w:val="Título 2 Car"/>
    <w:basedOn w:val="Fuentedeprrafopredeter"/>
    <w:link w:val="Ttulo2"/>
    <w:uiPriority w:val="9"/>
    <w:rsid w:val="00ED68BD"/>
    <w:rPr>
      <w:rFonts w:asciiTheme="majorHAnsi" w:eastAsiaTheme="majorEastAsia" w:hAnsiTheme="majorHAnsi" w:cstheme="majorBidi"/>
      <w:color w:val="365F91" w:themeColor="accent1" w:themeShade="BF"/>
      <w:sz w:val="26"/>
      <w:szCs w:val="26"/>
    </w:rPr>
  </w:style>
  <w:style w:type="character" w:styleId="Refdenotaalpie">
    <w:name w:val="footnote reference"/>
    <w:aliases w:val="fr,Footnote ReferenceW,Style 13,Ref. de nota al pie1"/>
    <w:basedOn w:val="Fuentedeprrafopredeter"/>
    <w:uiPriority w:val="99"/>
    <w:rsid w:val="008F5FAF"/>
    <w:rPr>
      <w:rFonts w:ascii="Arial" w:hAnsi="Arial"/>
      <w:kern w:val="2"/>
      <w:vertAlign w:val="superscript"/>
    </w:rPr>
  </w:style>
  <w:style w:type="paragraph" w:styleId="Textonotapie">
    <w:name w:val="footnote text"/>
    <w:aliases w:val="Texto nota pie Car2,Texto nota pie Car Car1,Texto nota pie Car1 Car Car,Texto nota pie Car Car Car Car,Texto nota pie Car1 Car1,Texto nota pie Car Car Car1,Footnote Text Char Car,Footnote Text Char Char,Footnote Text Char2 Char Char,fn,ft"/>
    <w:basedOn w:val="Normal"/>
    <w:link w:val="TextonotapieCar"/>
    <w:uiPriority w:val="99"/>
    <w:qFormat/>
    <w:rsid w:val="008F5FAF"/>
    <w:pPr>
      <w:keepLines/>
      <w:tabs>
        <w:tab w:val="left" w:pos="227"/>
      </w:tabs>
      <w:spacing w:after="60" w:line="200" w:lineRule="atLeast"/>
      <w:ind w:left="227" w:hanging="227"/>
      <w:jc w:val="both"/>
    </w:pPr>
    <w:rPr>
      <w:rFonts w:ascii="Lucida Sans Unicode" w:eastAsia="Times New Roman" w:hAnsi="Lucida Sans Unicode" w:cs="Times New Roman"/>
      <w:kern w:val="20"/>
      <w:sz w:val="16"/>
      <w:szCs w:val="20"/>
    </w:rPr>
  </w:style>
  <w:style w:type="character" w:customStyle="1" w:styleId="TextonotapieCar">
    <w:name w:val="Texto nota pie Car"/>
    <w:aliases w:val="Texto nota pie Car2 Car,Texto nota pie Car Car1 Car,Texto nota pie Car1 Car Car Car,Texto nota pie Car Car Car Car Car,Texto nota pie Car1 Car1 Car,Texto nota pie Car Car Car1 Car,Footnote Text Char Car Car,Footnote Text Char Char Car"/>
    <w:basedOn w:val="Fuentedeprrafopredeter"/>
    <w:link w:val="Textonotapie"/>
    <w:uiPriority w:val="99"/>
    <w:rsid w:val="008F5FAF"/>
    <w:rPr>
      <w:rFonts w:ascii="Lucida Sans Unicode" w:eastAsia="Times New Roman" w:hAnsi="Lucida Sans Unicode" w:cs="Times New Roman"/>
      <w:kern w:val="20"/>
      <w:sz w:val="16"/>
      <w:szCs w:val="20"/>
    </w:rPr>
  </w:style>
  <w:style w:type="paragraph" w:customStyle="1" w:styleId="FactTitleL1">
    <w:name w:val="Fact Title L1"/>
    <w:basedOn w:val="Normal"/>
    <w:next w:val="Normal"/>
    <w:rsid w:val="008F5FAF"/>
    <w:pPr>
      <w:numPr>
        <w:numId w:val="22"/>
      </w:numPr>
      <w:spacing w:before="720" w:after="360" w:line="240" w:lineRule="auto"/>
      <w:jc w:val="both"/>
    </w:pPr>
    <w:rPr>
      <w:rFonts w:ascii="Lucida Sans Unicode" w:eastAsia="Times New Roman" w:hAnsi="Lucida Sans Unicode" w:cs="Arial"/>
      <w:b/>
      <w:smallCaps/>
      <w:color w:val="002A7E"/>
      <w:sz w:val="24"/>
      <w:szCs w:val="24"/>
    </w:rPr>
  </w:style>
  <w:style w:type="paragraph" w:customStyle="1" w:styleId="ParagraphNumbering">
    <w:name w:val="Paragraph Numbering"/>
    <w:basedOn w:val="Normal"/>
    <w:link w:val="ParagraphNumberingChar"/>
    <w:rsid w:val="008F5FAF"/>
    <w:pPr>
      <w:numPr>
        <w:numId w:val="21"/>
      </w:numPr>
      <w:spacing w:before="360" w:after="240" w:line="290" w:lineRule="auto"/>
      <w:jc w:val="both"/>
    </w:pPr>
    <w:rPr>
      <w:rFonts w:ascii="Times New Roman" w:hAnsi="Times New Roman" w:cs="Times New Roman"/>
      <w:sz w:val="24"/>
      <w:szCs w:val="24"/>
      <w:lang w:val="es-ES_tradnl" w:eastAsia="es-ES_tradnl"/>
    </w:rPr>
  </w:style>
  <w:style w:type="paragraph" w:customStyle="1" w:styleId="FactTitleL2">
    <w:name w:val="Fact Title L2"/>
    <w:basedOn w:val="Normal"/>
    <w:next w:val="Normal"/>
    <w:rsid w:val="008F5FAF"/>
    <w:pPr>
      <w:numPr>
        <w:ilvl w:val="1"/>
        <w:numId w:val="22"/>
      </w:numPr>
      <w:spacing w:before="480" w:after="360" w:line="240" w:lineRule="auto"/>
      <w:jc w:val="both"/>
    </w:pPr>
    <w:rPr>
      <w:rFonts w:ascii="Lucida Sans Unicode" w:eastAsia="Times New Roman" w:hAnsi="Lucida Sans Unicode" w:cs="Arial"/>
      <w:b/>
      <w:smallCaps/>
      <w:color w:val="002A7E"/>
      <w:szCs w:val="24"/>
    </w:rPr>
  </w:style>
  <w:style w:type="numbering" w:customStyle="1" w:styleId="FactTitle">
    <w:name w:val="FactTitle"/>
    <w:uiPriority w:val="99"/>
    <w:rsid w:val="008F5FAF"/>
    <w:pPr>
      <w:numPr>
        <w:numId w:val="20"/>
      </w:numPr>
    </w:pPr>
  </w:style>
  <w:style w:type="character" w:customStyle="1" w:styleId="ParagraphNumberingChar">
    <w:name w:val="Paragraph Numbering Char"/>
    <w:link w:val="ParagraphNumbering"/>
    <w:rsid w:val="008F5FAF"/>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8F5FAF"/>
    <w:pPr>
      <w:framePr w:w="8789" w:wrap="around" w:vAnchor="text" w:hAnchor="text" w:y="1"/>
      <w:pBdr>
        <w:top w:val="single" w:sz="4" w:space="3" w:color="auto"/>
        <w:left w:val="single" w:sz="4" w:space="6" w:color="auto"/>
        <w:bottom w:val="single" w:sz="4" w:space="3" w:color="auto"/>
        <w:right w:val="single" w:sz="4" w:space="6" w:color="auto"/>
      </w:pBdr>
      <w:spacing w:after="0" w:line="290" w:lineRule="auto"/>
      <w:ind w:left="567" w:right="567"/>
      <w:jc w:val="both"/>
    </w:pPr>
    <w:rPr>
      <w:rFonts w:ascii="Lucida Sans Unicode" w:eastAsia="Times New Roman" w:hAnsi="Lucida Sans Unicode" w:cs="Times New Roman"/>
      <w:color w:val="960000"/>
      <w:sz w:val="18"/>
      <w:szCs w:val="24"/>
    </w:rPr>
  </w:style>
  <w:style w:type="character" w:customStyle="1" w:styleId="nt">
    <w:name w:val="nt"/>
    <w:basedOn w:val="Fuentedeprrafopredeter"/>
    <w:rsid w:val="007B3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3850">
      <w:bodyDiv w:val="1"/>
      <w:marLeft w:val="0"/>
      <w:marRight w:val="0"/>
      <w:marTop w:val="0"/>
      <w:marBottom w:val="0"/>
      <w:divBdr>
        <w:top w:val="none" w:sz="0" w:space="0" w:color="auto"/>
        <w:left w:val="none" w:sz="0" w:space="0" w:color="auto"/>
        <w:bottom w:val="none" w:sz="0" w:space="0" w:color="auto"/>
        <w:right w:val="none" w:sz="0" w:space="0" w:color="auto"/>
      </w:divBdr>
    </w:div>
    <w:div w:id="14039294">
      <w:bodyDiv w:val="1"/>
      <w:marLeft w:val="0"/>
      <w:marRight w:val="0"/>
      <w:marTop w:val="0"/>
      <w:marBottom w:val="0"/>
      <w:divBdr>
        <w:top w:val="none" w:sz="0" w:space="0" w:color="auto"/>
        <w:left w:val="none" w:sz="0" w:space="0" w:color="auto"/>
        <w:bottom w:val="none" w:sz="0" w:space="0" w:color="auto"/>
        <w:right w:val="none" w:sz="0" w:space="0" w:color="auto"/>
      </w:divBdr>
    </w:div>
    <w:div w:id="108814507">
      <w:bodyDiv w:val="1"/>
      <w:marLeft w:val="0"/>
      <w:marRight w:val="0"/>
      <w:marTop w:val="0"/>
      <w:marBottom w:val="0"/>
      <w:divBdr>
        <w:top w:val="none" w:sz="0" w:space="0" w:color="auto"/>
        <w:left w:val="none" w:sz="0" w:space="0" w:color="auto"/>
        <w:bottom w:val="none" w:sz="0" w:space="0" w:color="auto"/>
        <w:right w:val="none" w:sz="0" w:space="0" w:color="auto"/>
      </w:divBdr>
    </w:div>
    <w:div w:id="135344713">
      <w:bodyDiv w:val="1"/>
      <w:marLeft w:val="0"/>
      <w:marRight w:val="0"/>
      <w:marTop w:val="0"/>
      <w:marBottom w:val="0"/>
      <w:divBdr>
        <w:top w:val="none" w:sz="0" w:space="0" w:color="auto"/>
        <w:left w:val="none" w:sz="0" w:space="0" w:color="auto"/>
        <w:bottom w:val="none" w:sz="0" w:space="0" w:color="auto"/>
        <w:right w:val="none" w:sz="0" w:space="0" w:color="auto"/>
      </w:divBdr>
    </w:div>
    <w:div w:id="162167915">
      <w:bodyDiv w:val="1"/>
      <w:marLeft w:val="0"/>
      <w:marRight w:val="0"/>
      <w:marTop w:val="0"/>
      <w:marBottom w:val="0"/>
      <w:divBdr>
        <w:top w:val="none" w:sz="0" w:space="0" w:color="auto"/>
        <w:left w:val="none" w:sz="0" w:space="0" w:color="auto"/>
        <w:bottom w:val="none" w:sz="0" w:space="0" w:color="auto"/>
        <w:right w:val="none" w:sz="0" w:space="0" w:color="auto"/>
      </w:divBdr>
    </w:div>
    <w:div w:id="167333141">
      <w:bodyDiv w:val="1"/>
      <w:marLeft w:val="0"/>
      <w:marRight w:val="0"/>
      <w:marTop w:val="0"/>
      <w:marBottom w:val="0"/>
      <w:divBdr>
        <w:top w:val="none" w:sz="0" w:space="0" w:color="auto"/>
        <w:left w:val="none" w:sz="0" w:space="0" w:color="auto"/>
        <w:bottom w:val="none" w:sz="0" w:space="0" w:color="auto"/>
        <w:right w:val="none" w:sz="0" w:space="0" w:color="auto"/>
      </w:divBdr>
    </w:div>
    <w:div w:id="168180934">
      <w:bodyDiv w:val="1"/>
      <w:marLeft w:val="0"/>
      <w:marRight w:val="0"/>
      <w:marTop w:val="0"/>
      <w:marBottom w:val="0"/>
      <w:divBdr>
        <w:top w:val="none" w:sz="0" w:space="0" w:color="auto"/>
        <w:left w:val="none" w:sz="0" w:space="0" w:color="auto"/>
        <w:bottom w:val="none" w:sz="0" w:space="0" w:color="auto"/>
        <w:right w:val="none" w:sz="0" w:space="0" w:color="auto"/>
      </w:divBdr>
    </w:div>
    <w:div w:id="187790739">
      <w:bodyDiv w:val="1"/>
      <w:marLeft w:val="0"/>
      <w:marRight w:val="0"/>
      <w:marTop w:val="0"/>
      <w:marBottom w:val="0"/>
      <w:divBdr>
        <w:top w:val="none" w:sz="0" w:space="0" w:color="auto"/>
        <w:left w:val="none" w:sz="0" w:space="0" w:color="auto"/>
        <w:bottom w:val="none" w:sz="0" w:space="0" w:color="auto"/>
        <w:right w:val="none" w:sz="0" w:space="0" w:color="auto"/>
      </w:divBdr>
      <w:divsChild>
        <w:div w:id="2076393617">
          <w:marLeft w:val="0"/>
          <w:marRight w:val="0"/>
          <w:marTop w:val="0"/>
          <w:marBottom w:val="0"/>
          <w:divBdr>
            <w:top w:val="none" w:sz="0" w:space="0" w:color="auto"/>
            <w:left w:val="none" w:sz="0" w:space="0" w:color="auto"/>
            <w:bottom w:val="none" w:sz="0" w:space="0" w:color="auto"/>
            <w:right w:val="none" w:sz="0" w:space="0" w:color="auto"/>
          </w:divBdr>
          <w:divsChild>
            <w:div w:id="1407218906">
              <w:marLeft w:val="0"/>
              <w:marRight w:val="0"/>
              <w:marTop w:val="0"/>
              <w:marBottom w:val="0"/>
              <w:divBdr>
                <w:top w:val="none" w:sz="0" w:space="0" w:color="auto"/>
                <w:left w:val="none" w:sz="0" w:space="0" w:color="auto"/>
                <w:bottom w:val="none" w:sz="0" w:space="0" w:color="auto"/>
                <w:right w:val="none" w:sz="0" w:space="0" w:color="auto"/>
              </w:divBdr>
              <w:divsChild>
                <w:div w:id="1236017487">
                  <w:marLeft w:val="0"/>
                  <w:marRight w:val="0"/>
                  <w:marTop w:val="0"/>
                  <w:marBottom w:val="0"/>
                  <w:divBdr>
                    <w:top w:val="none" w:sz="0" w:space="0" w:color="auto"/>
                    <w:left w:val="none" w:sz="0" w:space="0" w:color="auto"/>
                    <w:bottom w:val="none" w:sz="0" w:space="0" w:color="auto"/>
                    <w:right w:val="none" w:sz="0" w:space="0" w:color="auto"/>
                  </w:divBdr>
                  <w:divsChild>
                    <w:div w:id="861743359">
                      <w:marLeft w:val="0"/>
                      <w:marRight w:val="0"/>
                      <w:marTop w:val="0"/>
                      <w:marBottom w:val="0"/>
                      <w:divBdr>
                        <w:top w:val="none" w:sz="0" w:space="0" w:color="auto"/>
                        <w:left w:val="none" w:sz="0" w:space="0" w:color="auto"/>
                        <w:bottom w:val="none" w:sz="0" w:space="0" w:color="auto"/>
                        <w:right w:val="none" w:sz="0" w:space="0" w:color="auto"/>
                      </w:divBdr>
                      <w:divsChild>
                        <w:div w:id="1897084746">
                          <w:marLeft w:val="0"/>
                          <w:marRight w:val="0"/>
                          <w:marTop w:val="0"/>
                          <w:marBottom w:val="0"/>
                          <w:divBdr>
                            <w:top w:val="none" w:sz="0" w:space="0" w:color="auto"/>
                            <w:left w:val="none" w:sz="0" w:space="0" w:color="auto"/>
                            <w:bottom w:val="none" w:sz="0" w:space="0" w:color="auto"/>
                            <w:right w:val="none" w:sz="0" w:space="0" w:color="auto"/>
                          </w:divBdr>
                          <w:divsChild>
                            <w:div w:id="325062373">
                              <w:marLeft w:val="0"/>
                              <w:marRight w:val="0"/>
                              <w:marTop w:val="0"/>
                              <w:marBottom w:val="0"/>
                              <w:divBdr>
                                <w:top w:val="none" w:sz="0" w:space="0" w:color="auto"/>
                                <w:left w:val="none" w:sz="0" w:space="0" w:color="auto"/>
                                <w:bottom w:val="none" w:sz="0" w:space="0" w:color="auto"/>
                                <w:right w:val="none" w:sz="0" w:space="0" w:color="auto"/>
                              </w:divBdr>
                              <w:divsChild>
                                <w:div w:id="1608082212">
                                  <w:marLeft w:val="0"/>
                                  <w:marRight w:val="0"/>
                                  <w:marTop w:val="0"/>
                                  <w:marBottom w:val="0"/>
                                  <w:divBdr>
                                    <w:top w:val="none" w:sz="0" w:space="0" w:color="auto"/>
                                    <w:left w:val="none" w:sz="0" w:space="0" w:color="auto"/>
                                    <w:bottom w:val="none" w:sz="0" w:space="0" w:color="auto"/>
                                    <w:right w:val="none" w:sz="0" w:space="0" w:color="auto"/>
                                  </w:divBdr>
                                  <w:divsChild>
                                    <w:div w:id="5336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35800">
      <w:bodyDiv w:val="1"/>
      <w:marLeft w:val="0"/>
      <w:marRight w:val="0"/>
      <w:marTop w:val="0"/>
      <w:marBottom w:val="0"/>
      <w:divBdr>
        <w:top w:val="none" w:sz="0" w:space="0" w:color="auto"/>
        <w:left w:val="none" w:sz="0" w:space="0" w:color="auto"/>
        <w:bottom w:val="none" w:sz="0" w:space="0" w:color="auto"/>
        <w:right w:val="none" w:sz="0" w:space="0" w:color="auto"/>
      </w:divBdr>
      <w:divsChild>
        <w:div w:id="1930037976">
          <w:marLeft w:val="0"/>
          <w:marRight w:val="0"/>
          <w:marTop w:val="0"/>
          <w:marBottom w:val="0"/>
          <w:divBdr>
            <w:top w:val="none" w:sz="0" w:space="0" w:color="auto"/>
            <w:left w:val="none" w:sz="0" w:space="0" w:color="auto"/>
            <w:bottom w:val="none" w:sz="0" w:space="0" w:color="auto"/>
            <w:right w:val="none" w:sz="0" w:space="0" w:color="auto"/>
          </w:divBdr>
          <w:divsChild>
            <w:div w:id="1390030140">
              <w:marLeft w:val="0"/>
              <w:marRight w:val="0"/>
              <w:marTop w:val="0"/>
              <w:marBottom w:val="0"/>
              <w:divBdr>
                <w:top w:val="none" w:sz="0" w:space="0" w:color="auto"/>
                <w:left w:val="none" w:sz="0" w:space="0" w:color="auto"/>
                <w:bottom w:val="none" w:sz="0" w:space="0" w:color="auto"/>
                <w:right w:val="none" w:sz="0" w:space="0" w:color="auto"/>
              </w:divBdr>
              <w:divsChild>
                <w:div w:id="2069110208">
                  <w:marLeft w:val="0"/>
                  <w:marRight w:val="0"/>
                  <w:marTop w:val="0"/>
                  <w:marBottom w:val="0"/>
                  <w:divBdr>
                    <w:top w:val="none" w:sz="0" w:space="0" w:color="auto"/>
                    <w:left w:val="none" w:sz="0" w:space="0" w:color="auto"/>
                    <w:bottom w:val="none" w:sz="0" w:space="0" w:color="auto"/>
                    <w:right w:val="none" w:sz="0" w:space="0" w:color="auto"/>
                  </w:divBdr>
                  <w:divsChild>
                    <w:div w:id="227032608">
                      <w:marLeft w:val="0"/>
                      <w:marRight w:val="0"/>
                      <w:marTop w:val="0"/>
                      <w:marBottom w:val="0"/>
                      <w:divBdr>
                        <w:top w:val="none" w:sz="0" w:space="0" w:color="auto"/>
                        <w:left w:val="none" w:sz="0" w:space="0" w:color="auto"/>
                        <w:bottom w:val="none" w:sz="0" w:space="0" w:color="auto"/>
                        <w:right w:val="none" w:sz="0" w:space="0" w:color="auto"/>
                      </w:divBdr>
                      <w:divsChild>
                        <w:div w:id="965432947">
                          <w:marLeft w:val="0"/>
                          <w:marRight w:val="0"/>
                          <w:marTop w:val="0"/>
                          <w:marBottom w:val="0"/>
                          <w:divBdr>
                            <w:top w:val="none" w:sz="0" w:space="0" w:color="auto"/>
                            <w:left w:val="none" w:sz="0" w:space="0" w:color="auto"/>
                            <w:bottom w:val="none" w:sz="0" w:space="0" w:color="auto"/>
                            <w:right w:val="none" w:sz="0" w:space="0" w:color="auto"/>
                          </w:divBdr>
                          <w:divsChild>
                            <w:div w:id="875969685">
                              <w:marLeft w:val="0"/>
                              <w:marRight w:val="0"/>
                              <w:marTop w:val="0"/>
                              <w:marBottom w:val="0"/>
                              <w:divBdr>
                                <w:top w:val="none" w:sz="0" w:space="0" w:color="auto"/>
                                <w:left w:val="none" w:sz="0" w:space="0" w:color="auto"/>
                                <w:bottom w:val="none" w:sz="0" w:space="0" w:color="auto"/>
                                <w:right w:val="none" w:sz="0" w:space="0" w:color="auto"/>
                              </w:divBdr>
                              <w:divsChild>
                                <w:div w:id="1348094849">
                                  <w:marLeft w:val="0"/>
                                  <w:marRight w:val="0"/>
                                  <w:marTop w:val="0"/>
                                  <w:marBottom w:val="0"/>
                                  <w:divBdr>
                                    <w:top w:val="none" w:sz="0" w:space="0" w:color="auto"/>
                                    <w:left w:val="none" w:sz="0" w:space="0" w:color="auto"/>
                                    <w:bottom w:val="none" w:sz="0" w:space="0" w:color="auto"/>
                                    <w:right w:val="none" w:sz="0" w:space="0" w:color="auto"/>
                                  </w:divBdr>
                                  <w:divsChild>
                                    <w:div w:id="757143249">
                                      <w:marLeft w:val="0"/>
                                      <w:marRight w:val="0"/>
                                      <w:marTop w:val="0"/>
                                      <w:marBottom w:val="0"/>
                                      <w:divBdr>
                                        <w:top w:val="none" w:sz="0" w:space="0" w:color="auto"/>
                                        <w:left w:val="none" w:sz="0" w:space="0" w:color="auto"/>
                                        <w:bottom w:val="none" w:sz="0" w:space="0" w:color="auto"/>
                                        <w:right w:val="none" w:sz="0" w:space="0" w:color="auto"/>
                                      </w:divBdr>
                                      <w:divsChild>
                                        <w:div w:id="956175619">
                                          <w:marLeft w:val="0"/>
                                          <w:marRight w:val="0"/>
                                          <w:marTop w:val="0"/>
                                          <w:marBottom w:val="0"/>
                                          <w:divBdr>
                                            <w:top w:val="none" w:sz="0" w:space="0" w:color="auto"/>
                                            <w:left w:val="none" w:sz="0" w:space="0" w:color="auto"/>
                                            <w:bottom w:val="none" w:sz="0" w:space="0" w:color="auto"/>
                                            <w:right w:val="none" w:sz="0" w:space="0" w:color="auto"/>
                                          </w:divBdr>
                                          <w:divsChild>
                                            <w:div w:id="216746801">
                                              <w:marLeft w:val="0"/>
                                              <w:marRight w:val="0"/>
                                              <w:marTop w:val="600"/>
                                              <w:marBottom w:val="0"/>
                                              <w:divBdr>
                                                <w:top w:val="single" w:sz="6" w:space="0" w:color="DDDDDD"/>
                                                <w:left w:val="none" w:sz="0" w:space="0" w:color="auto"/>
                                                <w:bottom w:val="none" w:sz="0" w:space="0" w:color="auto"/>
                                                <w:right w:val="none" w:sz="0" w:space="0" w:color="auto"/>
                                              </w:divBdr>
                                              <w:divsChild>
                                                <w:div w:id="1133793730">
                                                  <w:marLeft w:val="0"/>
                                                  <w:marRight w:val="0"/>
                                                  <w:marTop w:val="0"/>
                                                  <w:marBottom w:val="0"/>
                                                  <w:divBdr>
                                                    <w:top w:val="none" w:sz="0" w:space="0" w:color="auto"/>
                                                    <w:left w:val="none" w:sz="0" w:space="0" w:color="auto"/>
                                                    <w:bottom w:val="none" w:sz="0" w:space="0" w:color="auto"/>
                                                    <w:right w:val="none" w:sz="0" w:space="0" w:color="auto"/>
                                                  </w:divBdr>
                                                  <w:divsChild>
                                                    <w:div w:id="7096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359098">
      <w:bodyDiv w:val="1"/>
      <w:marLeft w:val="0"/>
      <w:marRight w:val="0"/>
      <w:marTop w:val="0"/>
      <w:marBottom w:val="0"/>
      <w:divBdr>
        <w:top w:val="none" w:sz="0" w:space="0" w:color="auto"/>
        <w:left w:val="none" w:sz="0" w:space="0" w:color="auto"/>
        <w:bottom w:val="none" w:sz="0" w:space="0" w:color="auto"/>
        <w:right w:val="none" w:sz="0" w:space="0" w:color="auto"/>
      </w:divBdr>
    </w:div>
    <w:div w:id="244068674">
      <w:bodyDiv w:val="1"/>
      <w:marLeft w:val="0"/>
      <w:marRight w:val="0"/>
      <w:marTop w:val="0"/>
      <w:marBottom w:val="0"/>
      <w:divBdr>
        <w:top w:val="none" w:sz="0" w:space="0" w:color="auto"/>
        <w:left w:val="none" w:sz="0" w:space="0" w:color="auto"/>
        <w:bottom w:val="none" w:sz="0" w:space="0" w:color="auto"/>
        <w:right w:val="none" w:sz="0" w:space="0" w:color="auto"/>
      </w:divBdr>
    </w:div>
    <w:div w:id="321078991">
      <w:bodyDiv w:val="1"/>
      <w:marLeft w:val="0"/>
      <w:marRight w:val="0"/>
      <w:marTop w:val="0"/>
      <w:marBottom w:val="0"/>
      <w:divBdr>
        <w:top w:val="none" w:sz="0" w:space="0" w:color="auto"/>
        <w:left w:val="none" w:sz="0" w:space="0" w:color="auto"/>
        <w:bottom w:val="none" w:sz="0" w:space="0" w:color="auto"/>
        <w:right w:val="none" w:sz="0" w:space="0" w:color="auto"/>
      </w:divBdr>
    </w:div>
    <w:div w:id="369458893">
      <w:bodyDiv w:val="1"/>
      <w:marLeft w:val="0"/>
      <w:marRight w:val="0"/>
      <w:marTop w:val="0"/>
      <w:marBottom w:val="0"/>
      <w:divBdr>
        <w:top w:val="none" w:sz="0" w:space="0" w:color="auto"/>
        <w:left w:val="none" w:sz="0" w:space="0" w:color="auto"/>
        <w:bottom w:val="none" w:sz="0" w:space="0" w:color="auto"/>
        <w:right w:val="none" w:sz="0" w:space="0" w:color="auto"/>
      </w:divBdr>
    </w:div>
    <w:div w:id="381641748">
      <w:bodyDiv w:val="1"/>
      <w:marLeft w:val="0"/>
      <w:marRight w:val="0"/>
      <w:marTop w:val="0"/>
      <w:marBottom w:val="0"/>
      <w:divBdr>
        <w:top w:val="none" w:sz="0" w:space="0" w:color="auto"/>
        <w:left w:val="none" w:sz="0" w:space="0" w:color="auto"/>
        <w:bottom w:val="none" w:sz="0" w:space="0" w:color="auto"/>
        <w:right w:val="none" w:sz="0" w:space="0" w:color="auto"/>
      </w:divBdr>
    </w:div>
    <w:div w:id="398749170">
      <w:bodyDiv w:val="1"/>
      <w:marLeft w:val="0"/>
      <w:marRight w:val="0"/>
      <w:marTop w:val="0"/>
      <w:marBottom w:val="0"/>
      <w:divBdr>
        <w:top w:val="none" w:sz="0" w:space="0" w:color="auto"/>
        <w:left w:val="none" w:sz="0" w:space="0" w:color="auto"/>
        <w:bottom w:val="none" w:sz="0" w:space="0" w:color="auto"/>
        <w:right w:val="none" w:sz="0" w:space="0" w:color="auto"/>
      </w:divBdr>
      <w:divsChild>
        <w:div w:id="1355500003">
          <w:marLeft w:val="0"/>
          <w:marRight w:val="0"/>
          <w:marTop w:val="0"/>
          <w:marBottom w:val="0"/>
          <w:divBdr>
            <w:top w:val="none" w:sz="0" w:space="0" w:color="auto"/>
            <w:left w:val="none" w:sz="0" w:space="0" w:color="auto"/>
            <w:bottom w:val="none" w:sz="0" w:space="0" w:color="auto"/>
            <w:right w:val="none" w:sz="0" w:space="0" w:color="auto"/>
          </w:divBdr>
          <w:divsChild>
            <w:div w:id="1320236148">
              <w:marLeft w:val="0"/>
              <w:marRight w:val="0"/>
              <w:marTop w:val="0"/>
              <w:marBottom w:val="0"/>
              <w:divBdr>
                <w:top w:val="none" w:sz="0" w:space="0" w:color="auto"/>
                <w:left w:val="none" w:sz="0" w:space="0" w:color="auto"/>
                <w:bottom w:val="none" w:sz="0" w:space="0" w:color="auto"/>
                <w:right w:val="none" w:sz="0" w:space="0" w:color="auto"/>
              </w:divBdr>
              <w:divsChild>
                <w:div w:id="1577594108">
                  <w:marLeft w:val="0"/>
                  <w:marRight w:val="0"/>
                  <w:marTop w:val="0"/>
                  <w:marBottom w:val="0"/>
                  <w:divBdr>
                    <w:top w:val="none" w:sz="0" w:space="0" w:color="auto"/>
                    <w:left w:val="none" w:sz="0" w:space="0" w:color="auto"/>
                    <w:bottom w:val="none" w:sz="0" w:space="0" w:color="auto"/>
                    <w:right w:val="none" w:sz="0" w:space="0" w:color="auto"/>
                  </w:divBdr>
                  <w:divsChild>
                    <w:div w:id="1410149888">
                      <w:marLeft w:val="0"/>
                      <w:marRight w:val="0"/>
                      <w:marTop w:val="0"/>
                      <w:marBottom w:val="0"/>
                      <w:divBdr>
                        <w:top w:val="none" w:sz="0" w:space="0" w:color="auto"/>
                        <w:left w:val="none" w:sz="0" w:space="0" w:color="auto"/>
                        <w:bottom w:val="none" w:sz="0" w:space="0" w:color="auto"/>
                        <w:right w:val="none" w:sz="0" w:space="0" w:color="auto"/>
                      </w:divBdr>
                      <w:divsChild>
                        <w:div w:id="1973054227">
                          <w:marLeft w:val="0"/>
                          <w:marRight w:val="0"/>
                          <w:marTop w:val="0"/>
                          <w:marBottom w:val="0"/>
                          <w:divBdr>
                            <w:top w:val="none" w:sz="0" w:space="0" w:color="auto"/>
                            <w:left w:val="none" w:sz="0" w:space="0" w:color="auto"/>
                            <w:bottom w:val="none" w:sz="0" w:space="0" w:color="auto"/>
                            <w:right w:val="none" w:sz="0" w:space="0" w:color="auto"/>
                          </w:divBdr>
                          <w:divsChild>
                            <w:div w:id="1768307826">
                              <w:marLeft w:val="0"/>
                              <w:marRight w:val="0"/>
                              <w:marTop w:val="0"/>
                              <w:marBottom w:val="0"/>
                              <w:divBdr>
                                <w:top w:val="none" w:sz="0" w:space="0" w:color="auto"/>
                                <w:left w:val="none" w:sz="0" w:space="0" w:color="auto"/>
                                <w:bottom w:val="none" w:sz="0" w:space="0" w:color="auto"/>
                                <w:right w:val="none" w:sz="0" w:space="0" w:color="auto"/>
                              </w:divBdr>
                              <w:divsChild>
                                <w:div w:id="281890501">
                                  <w:marLeft w:val="0"/>
                                  <w:marRight w:val="0"/>
                                  <w:marTop w:val="0"/>
                                  <w:marBottom w:val="0"/>
                                  <w:divBdr>
                                    <w:top w:val="none" w:sz="0" w:space="0" w:color="auto"/>
                                    <w:left w:val="none" w:sz="0" w:space="0" w:color="auto"/>
                                    <w:bottom w:val="none" w:sz="0" w:space="0" w:color="auto"/>
                                    <w:right w:val="none" w:sz="0" w:space="0" w:color="auto"/>
                                  </w:divBdr>
                                  <w:divsChild>
                                    <w:div w:id="1842962816">
                                      <w:marLeft w:val="0"/>
                                      <w:marRight w:val="0"/>
                                      <w:marTop w:val="0"/>
                                      <w:marBottom w:val="0"/>
                                      <w:divBdr>
                                        <w:top w:val="none" w:sz="0" w:space="0" w:color="auto"/>
                                        <w:left w:val="none" w:sz="0" w:space="0" w:color="auto"/>
                                        <w:bottom w:val="none" w:sz="0" w:space="0" w:color="auto"/>
                                        <w:right w:val="none" w:sz="0" w:space="0" w:color="auto"/>
                                      </w:divBdr>
                                      <w:divsChild>
                                        <w:div w:id="398135884">
                                          <w:marLeft w:val="0"/>
                                          <w:marRight w:val="0"/>
                                          <w:marTop w:val="0"/>
                                          <w:marBottom w:val="0"/>
                                          <w:divBdr>
                                            <w:top w:val="none" w:sz="0" w:space="0" w:color="auto"/>
                                            <w:left w:val="none" w:sz="0" w:space="0" w:color="auto"/>
                                            <w:bottom w:val="none" w:sz="0" w:space="0" w:color="auto"/>
                                            <w:right w:val="none" w:sz="0" w:space="0" w:color="auto"/>
                                          </w:divBdr>
                                          <w:divsChild>
                                            <w:div w:id="1924022227">
                                              <w:marLeft w:val="0"/>
                                              <w:marRight w:val="0"/>
                                              <w:marTop w:val="600"/>
                                              <w:marBottom w:val="0"/>
                                              <w:divBdr>
                                                <w:top w:val="single" w:sz="6" w:space="0" w:color="DDDDDD"/>
                                                <w:left w:val="none" w:sz="0" w:space="0" w:color="auto"/>
                                                <w:bottom w:val="none" w:sz="0" w:space="0" w:color="auto"/>
                                                <w:right w:val="none" w:sz="0" w:space="0" w:color="auto"/>
                                              </w:divBdr>
                                              <w:divsChild>
                                                <w:div w:id="2817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740095">
      <w:bodyDiv w:val="1"/>
      <w:marLeft w:val="0"/>
      <w:marRight w:val="0"/>
      <w:marTop w:val="0"/>
      <w:marBottom w:val="0"/>
      <w:divBdr>
        <w:top w:val="none" w:sz="0" w:space="0" w:color="auto"/>
        <w:left w:val="none" w:sz="0" w:space="0" w:color="auto"/>
        <w:bottom w:val="none" w:sz="0" w:space="0" w:color="auto"/>
        <w:right w:val="none" w:sz="0" w:space="0" w:color="auto"/>
      </w:divBdr>
    </w:div>
    <w:div w:id="596669827">
      <w:bodyDiv w:val="1"/>
      <w:marLeft w:val="0"/>
      <w:marRight w:val="0"/>
      <w:marTop w:val="0"/>
      <w:marBottom w:val="0"/>
      <w:divBdr>
        <w:top w:val="none" w:sz="0" w:space="0" w:color="auto"/>
        <w:left w:val="none" w:sz="0" w:space="0" w:color="auto"/>
        <w:bottom w:val="none" w:sz="0" w:space="0" w:color="auto"/>
        <w:right w:val="none" w:sz="0" w:space="0" w:color="auto"/>
      </w:divBdr>
      <w:divsChild>
        <w:div w:id="130943738">
          <w:marLeft w:val="0"/>
          <w:marRight w:val="0"/>
          <w:marTop w:val="0"/>
          <w:marBottom w:val="0"/>
          <w:divBdr>
            <w:top w:val="none" w:sz="0" w:space="0" w:color="auto"/>
            <w:left w:val="none" w:sz="0" w:space="0" w:color="auto"/>
            <w:bottom w:val="none" w:sz="0" w:space="0" w:color="auto"/>
            <w:right w:val="none" w:sz="0" w:space="0" w:color="auto"/>
          </w:divBdr>
          <w:divsChild>
            <w:div w:id="1190073415">
              <w:marLeft w:val="0"/>
              <w:marRight w:val="0"/>
              <w:marTop w:val="0"/>
              <w:marBottom w:val="0"/>
              <w:divBdr>
                <w:top w:val="none" w:sz="0" w:space="0" w:color="auto"/>
                <w:left w:val="none" w:sz="0" w:space="0" w:color="auto"/>
                <w:bottom w:val="none" w:sz="0" w:space="0" w:color="auto"/>
                <w:right w:val="none" w:sz="0" w:space="0" w:color="auto"/>
              </w:divBdr>
              <w:divsChild>
                <w:div w:id="2058702665">
                  <w:marLeft w:val="0"/>
                  <w:marRight w:val="0"/>
                  <w:marTop w:val="0"/>
                  <w:marBottom w:val="0"/>
                  <w:divBdr>
                    <w:top w:val="none" w:sz="0" w:space="0" w:color="auto"/>
                    <w:left w:val="none" w:sz="0" w:space="0" w:color="auto"/>
                    <w:bottom w:val="none" w:sz="0" w:space="0" w:color="auto"/>
                    <w:right w:val="none" w:sz="0" w:space="0" w:color="auto"/>
                  </w:divBdr>
                  <w:divsChild>
                    <w:div w:id="1974824814">
                      <w:marLeft w:val="0"/>
                      <w:marRight w:val="0"/>
                      <w:marTop w:val="0"/>
                      <w:marBottom w:val="0"/>
                      <w:divBdr>
                        <w:top w:val="none" w:sz="0" w:space="0" w:color="auto"/>
                        <w:left w:val="none" w:sz="0" w:space="0" w:color="auto"/>
                        <w:bottom w:val="none" w:sz="0" w:space="0" w:color="auto"/>
                        <w:right w:val="none" w:sz="0" w:space="0" w:color="auto"/>
                      </w:divBdr>
                      <w:divsChild>
                        <w:div w:id="1420517609">
                          <w:marLeft w:val="0"/>
                          <w:marRight w:val="0"/>
                          <w:marTop w:val="0"/>
                          <w:marBottom w:val="0"/>
                          <w:divBdr>
                            <w:top w:val="none" w:sz="0" w:space="0" w:color="auto"/>
                            <w:left w:val="none" w:sz="0" w:space="0" w:color="auto"/>
                            <w:bottom w:val="none" w:sz="0" w:space="0" w:color="auto"/>
                            <w:right w:val="none" w:sz="0" w:space="0" w:color="auto"/>
                          </w:divBdr>
                          <w:divsChild>
                            <w:div w:id="1016149675">
                              <w:marLeft w:val="0"/>
                              <w:marRight w:val="0"/>
                              <w:marTop w:val="0"/>
                              <w:marBottom w:val="0"/>
                              <w:divBdr>
                                <w:top w:val="none" w:sz="0" w:space="0" w:color="auto"/>
                                <w:left w:val="none" w:sz="0" w:space="0" w:color="auto"/>
                                <w:bottom w:val="none" w:sz="0" w:space="0" w:color="auto"/>
                                <w:right w:val="none" w:sz="0" w:space="0" w:color="auto"/>
                              </w:divBdr>
                              <w:divsChild>
                                <w:div w:id="2125882286">
                                  <w:marLeft w:val="0"/>
                                  <w:marRight w:val="0"/>
                                  <w:marTop w:val="0"/>
                                  <w:marBottom w:val="0"/>
                                  <w:divBdr>
                                    <w:top w:val="none" w:sz="0" w:space="0" w:color="auto"/>
                                    <w:left w:val="none" w:sz="0" w:space="0" w:color="auto"/>
                                    <w:bottom w:val="none" w:sz="0" w:space="0" w:color="auto"/>
                                    <w:right w:val="none" w:sz="0" w:space="0" w:color="auto"/>
                                  </w:divBdr>
                                  <w:divsChild>
                                    <w:div w:id="318001841">
                                      <w:marLeft w:val="0"/>
                                      <w:marRight w:val="0"/>
                                      <w:marTop w:val="0"/>
                                      <w:marBottom w:val="0"/>
                                      <w:divBdr>
                                        <w:top w:val="none" w:sz="0" w:space="0" w:color="auto"/>
                                        <w:left w:val="none" w:sz="0" w:space="0" w:color="auto"/>
                                        <w:bottom w:val="none" w:sz="0" w:space="0" w:color="auto"/>
                                        <w:right w:val="none" w:sz="0" w:space="0" w:color="auto"/>
                                      </w:divBdr>
                                      <w:divsChild>
                                        <w:div w:id="1724912895">
                                          <w:marLeft w:val="0"/>
                                          <w:marRight w:val="0"/>
                                          <w:marTop w:val="0"/>
                                          <w:marBottom w:val="0"/>
                                          <w:divBdr>
                                            <w:top w:val="none" w:sz="0" w:space="0" w:color="auto"/>
                                            <w:left w:val="none" w:sz="0" w:space="0" w:color="auto"/>
                                            <w:bottom w:val="none" w:sz="0" w:space="0" w:color="auto"/>
                                            <w:right w:val="none" w:sz="0" w:space="0" w:color="auto"/>
                                          </w:divBdr>
                                          <w:divsChild>
                                            <w:div w:id="2127693423">
                                              <w:marLeft w:val="0"/>
                                              <w:marRight w:val="0"/>
                                              <w:marTop w:val="600"/>
                                              <w:marBottom w:val="0"/>
                                              <w:divBdr>
                                                <w:top w:val="single" w:sz="6" w:space="0" w:color="DDDDDD"/>
                                                <w:left w:val="none" w:sz="0" w:space="0" w:color="auto"/>
                                                <w:bottom w:val="none" w:sz="0" w:space="0" w:color="auto"/>
                                                <w:right w:val="none" w:sz="0" w:space="0" w:color="auto"/>
                                              </w:divBdr>
                                              <w:divsChild>
                                                <w:div w:id="1005861532">
                                                  <w:marLeft w:val="0"/>
                                                  <w:marRight w:val="0"/>
                                                  <w:marTop w:val="0"/>
                                                  <w:marBottom w:val="0"/>
                                                  <w:divBdr>
                                                    <w:top w:val="none" w:sz="0" w:space="0" w:color="auto"/>
                                                    <w:left w:val="none" w:sz="0" w:space="0" w:color="auto"/>
                                                    <w:bottom w:val="none" w:sz="0" w:space="0" w:color="auto"/>
                                                    <w:right w:val="none" w:sz="0" w:space="0" w:color="auto"/>
                                                  </w:divBdr>
                                                  <w:divsChild>
                                                    <w:div w:id="12408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948716">
      <w:bodyDiv w:val="1"/>
      <w:marLeft w:val="0"/>
      <w:marRight w:val="0"/>
      <w:marTop w:val="0"/>
      <w:marBottom w:val="0"/>
      <w:divBdr>
        <w:top w:val="none" w:sz="0" w:space="0" w:color="auto"/>
        <w:left w:val="none" w:sz="0" w:space="0" w:color="auto"/>
        <w:bottom w:val="none" w:sz="0" w:space="0" w:color="auto"/>
        <w:right w:val="none" w:sz="0" w:space="0" w:color="auto"/>
      </w:divBdr>
    </w:div>
    <w:div w:id="637031316">
      <w:bodyDiv w:val="1"/>
      <w:marLeft w:val="0"/>
      <w:marRight w:val="0"/>
      <w:marTop w:val="0"/>
      <w:marBottom w:val="0"/>
      <w:divBdr>
        <w:top w:val="none" w:sz="0" w:space="0" w:color="auto"/>
        <w:left w:val="none" w:sz="0" w:space="0" w:color="auto"/>
        <w:bottom w:val="none" w:sz="0" w:space="0" w:color="auto"/>
        <w:right w:val="none" w:sz="0" w:space="0" w:color="auto"/>
      </w:divBdr>
      <w:divsChild>
        <w:div w:id="1339389834">
          <w:marLeft w:val="0"/>
          <w:marRight w:val="0"/>
          <w:marTop w:val="0"/>
          <w:marBottom w:val="0"/>
          <w:divBdr>
            <w:top w:val="none" w:sz="0" w:space="0" w:color="auto"/>
            <w:left w:val="none" w:sz="0" w:space="0" w:color="auto"/>
            <w:bottom w:val="none" w:sz="0" w:space="0" w:color="auto"/>
            <w:right w:val="none" w:sz="0" w:space="0" w:color="auto"/>
          </w:divBdr>
          <w:divsChild>
            <w:div w:id="1313173784">
              <w:marLeft w:val="0"/>
              <w:marRight w:val="0"/>
              <w:marTop w:val="0"/>
              <w:marBottom w:val="0"/>
              <w:divBdr>
                <w:top w:val="none" w:sz="0" w:space="0" w:color="auto"/>
                <w:left w:val="none" w:sz="0" w:space="0" w:color="auto"/>
                <w:bottom w:val="none" w:sz="0" w:space="0" w:color="auto"/>
                <w:right w:val="none" w:sz="0" w:space="0" w:color="auto"/>
              </w:divBdr>
              <w:divsChild>
                <w:div w:id="1010569459">
                  <w:marLeft w:val="0"/>
                  <w:marRight w:val="0"/>
                  <w:marTop w:val="0"/>
                  <w:marBottom w:val="0"/>
                  <w:divBdr>
                    <w:top w:val="none" w:sz="0" w:space="0" w:color="auto"/>
                    <w:left w:val="none" w:sz="0" w:space="0" w:color="auto"/>
                    <w:bottom w:val="none" w:sz="0" w:space="0" w:color="auto"/>
                    <w:right w:val="none" w:sz="0" w:space="0" w:color="auto"/>
                  </w:divBdr>
                  <w:divsChild>
                    <w:div w:id="1947420919">
                      <w:marLeft w:val="0"/>
                      <w:marRight w:val="0"/>
                      <w:marTop w:val="0"/>
                      <w:marBottom w:val="0"/>
                      <w:divBdr>
                        <w:top w:val="none" w:sz="0" w:space="0" w:color="auto"/>
                        <w:left w:val="none" w:sz="0" w:space="0" w:color="auto"/>
                        <w:bottom w:val="none" w:sz="0" w:space="0" w:color="auto"/>
                        <w:right w:val="none" w:sz="0" w:space="0" w:color="auto"/>
                      </w:divBdr>
                      <w:divsChild>
                        <w:div w:id="210310208">
                          <w:marLeft w:val="0"/>
                          <w:marRight w:val="0"/>
                          <w:marTop w:val="0"/>
                          <w:marBottom w:val="0"/>
                          <w:divBdr>
                            <w:top w:val="none" w:sz="0" w:space="0" w:color="auto"/>
                            <w:left w:val="none" w:sz="0" w:space="0" w:color="auto"/>
                            <w:bottom w:val="none" w:sz="0" w:space="0" w:color="auto"/>
                            <w:right w:val="none" w:sz="0" w:space="0" w:color="auto"/>
                          </w:divBdr>
                          <w:divsChild>
                            <w:div w:id="1235509272">
                              <w:marLeft w:val="0"/>
                              <w:marRight w:val="0"/>
                              <w:marTop w:val="0"/>
                              <w:marBottom w:val="0"/>
                              <w:divBdr>
                                <w:top w:val="none" w:sz="0" w:space="0" w:color="auto"/>
                                <w:left w:val="none" w:sz="0" w:space="0" w:color="auto"/>
                                <w:bottom w:val="none" w:sz="0" w:space="0" w:color="auto"/>
                                <w:right w:val="none" w:sz="0" w:space="0" w:color="auto"/>
                              </w:divBdr>
                              <w:divsChild>
                                <w:div w:id="1922636724">
                                  <w:marLeft w:val="0"/>
                                  <w:marRight w:val="0"/>
                                  <w:marTop w:val="0"/>
                                  <w:marBottom w:val="0"/>
                                  <w:divBdr>
                                    <w:top w:val="none" w:sz="0" w:space="0" w:color="auto"/>
                                    <w:left w:val="none" w:sz="0" w:space="0" w:color="auto"/>
                                    <w:bottom w:val="none" w:sz="0" w:space="0" w:color="auto"/>
                                    <w:right w:val="none" w:sz="0" w:space="0" w:color="auto"/>
                                  </w:divBdr>
                                  <w:divsChild>
                                    <w:div w:id="133833753">
                                      <w:marLeft w:val="0"/>
                                      <w:marRight w:val="0"/>
                                      <w:marTop w:val="0"/>
                                      <w:marBottom w:val="0"/>
                                      <w:divBdr>
                                        <w:top w:val="none" w:sz="0" w:space="0" w:color="auto"/>
                                        <w:left w:val="none" w:sz="0" w:space="0" w:color="auto"/>
                                        <w:bottom w:val="none" w:sz="0" w:space="0" w:color="auto"/>
                                        <w:right w:val="none" w:sz="0" w:space="0" w:color="auto"/>
                                      </w:divBdr>
                                      <w:divsChild>
                                        <w:div w:id="486745071">
                                          <w:marLeft w:val="0"/>
                                          <w:marRight w:val="0"/>
                                          <w:marTop w:val="0"/>
                                          <w:marBottom w:val="0"/>
                                          <w:divBdr>
                                            <w:top w:val="none" w:sz="0" w:space="0" w:color="auto"/>
                                            <w:left w:val="none" w:sz="0" w:space="0" w:color="auto"/>
                                            <w:bottom w:val="none" w:sz="0" w:space="0" w:color="auto"/>
                                            <w:right w:val="none" w:sz="0" w:space="0" w:color="auto"/>
                                          </w:divBdr>
                                          <w:divsChild>
                                            <w:div w:id="1769545571">
                                              <w:marLeft w:val="0"/>
                                              <w:marRight w:val="0"/>
                                              <w:marTop w:val="600"/>
                                              <w:marBottom w:val="0"/>
                                              <w:divBdr>
                                                <w:top w:val="single" w:sz="6" w:space="0" w:color="DDDDDD"/>
                                                <w:left w:val="none" w:sz="0" w:space="0" w:color="auto"/>
                                                <w:bottom w:val="none" w:sz="0" w:space="0" w:color="auto"/>
                                                <w:right w:val="none" w:sz="0" w:space="0" w:color="auto"/>
                                              </w:divBdr>
                                              <w:divsChild>
                                                <w:div w:id="2513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402305">
      <w:bodyDiv w:val="1"/>
      <w:marLeft w:val="0"/>
      <w:marRight w:val="0"/>
      <w:marTop w:val="0"/>
      <w:marBottom w:val="0"/>
      <w:divBdr>
        <w:top w:val="none" w:sz="0" w:space="0" w:color="auto"/>
        <w:left w:val="none" w:sz="0" w:space="0" w:color="auto"/>
        <w:bottom w:val="none" w:sz="0" w:space="0" w:color="auto"/>
        <w:right w:val="none" w:sz="0" w:space="0" w:color="auto"/>
      </w:divBdr>
    </w:div>
    <w:div w:id="736786137">
      <w:bodyDiv w:val="1"/>
      <w:marLeft w:val="0"/>
      <w:marRight w:val="0"/>
      <w:marTop w:val="0"/>
      <w:marBottom w:val="0"/>
      <w:divBdr>
        <w:top w:val="none" w:sz="0" w:space="0" w:color="auto"/>
        <w:left w:val="none" w:sz="0" w:space="0" w:color="auto"/>
        <w:bottom w:val="none" w:sz="0" w:space="0" w:color="auto"/>
        <w:right w:val="none" w:sz="0" w:space="0" w:color="auto"/>
      </w:divBdr>
    </w:div>
    <w:div w:id="787510871">
      <w:bodyDiv w:val="1"/>
      <w:marLeft w:val="0"/>
      <w:marRight w:val="0"/>
      <w:marTop w:val="0"/>
      <w:marBottom w:val="0"/>
      <w:divBdr>
        <w:top w:val="none" w:sz="0" w:space="0" w:color="auto"/>
        <w:left w:val="none" w:sz="0" w:space="0" w:color="auto"/>
        <w:bottom w:val="none" w:sz="0" w:space="0" w:color="auto"/>
        <w:right w:val="none" w:sz="0" w:space="0" w:color="auto"/>
      </w:divBdr>
    </w:div>
    <w:div w:id="890192559">
      <w:bodyDiv w:val="1"/>
      <w:marLeft w:val="0"/>
      <w:marRight w:val="0"/>
      <w:marTop w:val="0"/>
      <w:marBottom w:val="0"/>
      <w:divBdr>
        <w:top w:val="none" w:sz="0" w:space="0" w:color="auto"/>
        <w:left w:val="none" w:sz="0" w:space="0" w:color="auto"/>
        <w:bottom w:val="none" w:sz="0" w:space="0" w:color="auto"/>
        <w:right w:val="none" w:sz="0" w:space="0" w:color="auto"/>
      </w:divBdr>
    </w:div>
    <w:div w:id="899096717">
      <w:bodyDiv w:val="1"/>
      <w:marLeft w:val="0"/>
      <w:marRight w:val="0"/>
      <w:marTop w:val="0"/>
      <w:marBottom w:val="0"/>
      <w:divBdr>
        <w:top w:val="none" w:sz="0" w:space="0" w:color="auto"/>
        <w:left w:val="none" w:sz="0" w:space="0" w:color="auto"/>
        <w:bottom w:val="none" w:sz="0" w:space="0" w:color="auto"/>
        <w:right w:val="none" w:sz="0" w:space="0" w:color="auto"/>
      </w:divBdr>
    </w:div>
    <w:div w:id="899941436">
      <w:bodyDiv w:val="1"/>
      <w:marLeft w:val="0"/>
      <w:marRight w:val="0"/>
      <w:marTop w:val="0"/>
      <w:marBottom w:val="0"/>
      <w:divBdr>
        <w:top w:val="none" w:sz="0" w:space="0" w:color="auto"/>
        <w:left w:val="none" w:sz="0" w:space="0" w:color="auto"/>
        <w:bottom w:val="none" w:sz="0" w:space="0" w:color="auto"/>
        <w:right w:val="none" w:sz="0" w:space="0" w:color="auto"/>
      </w:divBdr>
    </w:div>
    <w:div w:id="943265802">
      <w:bodyDiv w:val="1"/>
      <w:marLeft w:val="0"/>
      <w:marRight w:val="0"/>
      <w:marTop w:val="0"/>
      <w:marBottom w:val="0"/>
      <w:divBdr>
        <w:top w:val="none" w:sz="0" w:space="0" w:color="auto"/>
        <w:left w:val="none" w:sz="0" w:space="0" w:color="auto"/>
        <w:bottom w:val="none" w:sz="0" w:space="0" w:color="auto"/>
        <w:right w:val="none" w:sz="0" w:space="0" w:color="auto"/>
      </w:divBdr>
    </w:div>
    <w:div w:id="956765090">
      <w:bodyDiv w:val="1"/>
      <w:marLeft w:val="0"/>
      <w:marRight w:val="0"/>
      <w:marTop w:val="0"/>
      <w:marBottom w:val="0"/>
      <w:divBdr>
        <w:top w:val="none" w:sz="0" w:space="0" w:color="auto"/>
        <w:left w:val="none" w:sz="0" w:space="0" w:color="auto"/>
        <w:bottom w:val="none" w:sz="0" w:space="0" w:color="auto"/>
        <w:right w:val="none" w:sz="0" w:space="0" w:color="auto"/>
      </w:divBdr>
    </w:div>
    <w:div w:id="1044865752">
      <w:bodyDiv w:val="1"/>
      <w:marLeft w:val="0"/>
      <w:marRight w:val="0"/>
      <w:marTop w:val="0"/>
      <w:marBottom w:val="0"/>
      <w:divBdr>
        <w:top w:val="none" w:sz="0" w:space="0" w:color="auto"/>
        <w:left w:val="none" w:sz="0" w:space="0" w:color="auto"/>
        <w:bottom w:val="none" w:sz="0" w:space="0" w:color="auto"/>
        <w:right w:val="none" w:sz="0" w:space="0" w:color="auto"/>
      </w:divBdr>
    </w:div>
    <w:div w:id="1059012693">
      <w:bodyDiv w:val="1"/>
      <w:marLeft w:val="0"/>
      <w:marRight w:val="0"/>
      <w:marTop w:val="0"/>
      <w:marBottom w:val="0"/>
      <w:divBdr>
        <w:top w:val="none" w:sz="0" w:space="0" w:color="auto"/>
        <w:left w:val="none" w:sz="0" w:space="0" w:color="auto"/>
        <w:bottom w:val="none" w:sz="0" w:space="0" w:color="auto"/>
        <w:right w:val="none" w:sz="0" w:space="0" w:color="auto"/>
      </w:divBdr>
    </w:div>
    <w:div w:id="1078017795">
      <w:bodyDiv w:val="1"/>
      <w:marLeft w:val="0"/>
      <w:marRight w:val="0"/>
      <w:marTop w:val="0"/>
      <w:marBottom w:val="0"/>
      <w:divBdr>
        <w:top w:val="none" w:sz="0" w:space="0" w:color="auto"/>
        <w:left w:val="none" w:sz="0" w:space="0" w:color="auto"/>
        <w:bottom w:val="none" w:sz="0" w:space="0" w:color="auto"/>
        <w:right w:val="none" w:sz="0" w:space="0" w:color="auto"/>
      </w:divBdr>
      <w:divsChild>
        <w:div w:id="922223071">
          <w:marLeft w:val="0"/>
          <w:marRight w:val="0"/>
          <w:marTop w:val="0"/>
          <w:marBottom w:val="0"/>
          <w:divBdr>
            <w:top w:val="none" w:sz="0" w:space="0" w:color="auto"/>
            <w:left w:val="none" w:sz="0" w:space="0" w:color="auto"/>
            <w:bottom w:val="none" w:sz="0" w:space="0" w:color="auto"/>
            <w:right w:val="none" w:sz="0" w:space="0" w:color="auto"/>
          </w:divBdr>
          <w:divsChild>
            <w:div w:id="1522360108">
              <w:marLeft w:val="0"/>
              <w:marRight w:val="0"/>
              <w:marTop w:val="0"/>
              <w:marBottom w:val="0"/>
              <w:divBdr>
                <w:top w:val="none" w:sz="0" w:space="0" w:color="auto"/>
                <w:left w:val="none" w:sz="0" w:space="0" w:color="auto"/>
                <w:bottom w:val="none" w:sz="0" w:space="0" w:color="auto"/>
                <w:right w:val="none" w:sz="0" w:space="0" w:color="auto"/>
              </w:divBdr>
              <w:divsChild>
                <w:div w:id="1768500389">
                  <w:marLeft w:val="0"/>
                  <w:marRight w:val="0"/>
                  <w:marTop w:val="0"/>
                  <w:marBottom w:val="0"/>
                  <w:divBdr>
                    <w:top w:val="none" w:sz="0" w:space="0" w:color="auto"/>
                    <w:left w:val="none" w:sz="0" w:space="0" w:color="auto"/>
                    <w:bottom w:val="none" w:sz="0" w:space="0" w:color="auto"/>
                    <w:right w:val="none" w:sz="0" w:space="0" w:color="auto"/>
                  </w:divBdr>
                  <w:divsChild>
                    <w:div w:id="86389913">
                      <w:marLeft w:val="0"/>
                      <w:marRight w:val="0"/>
                      <w:marTop w:val="0"/>
                      <w:marBottom w:val="0"/>
                      <w:divBdr>
                        <w:top w:val="none" w:sz="0" w:space="0" w:color="auto"/>
                        <w:left w:val="none" w:sz="0" w:space="0" w:color="auto"/>
                        <w:bottom w:val="none" w:sz="0" w:space="0" w:color="auto"/>
                        <w:right w:val="none" w:sz="0" w:space="0" w:color="auto"/>
                      </w:divBdr>
                      <w:divsChild>
                        <w:div w:id="1406101501">
                          <w:marLeft w:val="0"/>
                          <w:marRight w:val="0"/>
                          <w:marTop w:val="0"/>
                          <w:marBottom w:val="0"/>
                          <w:divBdr>
                            <w:top w:val="none" w:sz="0" w:space="0" w:color="auto"/>
                            <w:left w:val="none" w:sz="0" w:space="0" w:color="auto"/>
                            <w:bottom w:val="none" w:sz="0" w:space="0" w:color="auto"/>
                            <w:right w:val="none" w:sz="0" w:space="0" w:color="auto"/>
                          </w:divBdr>
                          <w:divsChild>
                            <w:div w:id="822770805">
                              <w:marLeft w:val="0"/>
                              <w:marRight w:val="0"/>
                              <w:marTop w:val="0"/>
                              <w:marBottom w:val="0"/>
                              <w:divBdr>
                                <w:top w:val="none" w:sz="0" w:space="0" w:color="auto"/>
                                <w:left w:val="none" w:sz="0" w:space="0" w:color="auto"/>
                                <w:bottom w:val="none" w:sz="0" w:space="0" w:color="auto"/>
                                <w:right w:val="none" w:sz="0" w:space="0" w:color="auto"/>
                              </w:divBdr>
                              <w:divsChild>
                                <w:div w:id="268632549">
                                  <w:marLeft w:val="0"/>
                                  <w:marRight w:val="0"/>
                                  <w:marTop w:val="0"/>
                                  <w:marBottom w:val="0"/>
                                  <w:divBdr>
                                    <w:top w:val="none" w:sz="0" w:space="0" w:color="auto"/>
                                    <w:left w:val="none" w:sz="0" w:space="0" w:color="auto"/>
                                    <w:bottom w:val="none" w:sz="0" w:space="0" w:color="auto"/>
                                    <w:right w:val="none" w:sz="0" w:space="0" w:color="auto"/>
                                  </w:divBdr>
                                  <w:divsChild>
                                    <w:div w:id="1101149785">
                                      <w:marLeft w:val="0"/>
                                      <w:marRight w:val="0"/>
                                      <w:marTop w:val="0"/>
                                      <w:marBottom w:val="0"/>
                                      <w:divBdr>
                                        <w:top w:val="none" w:sz="0" w:space="0" w:color="auto"/>
                                        <w:left w:val="none" w:sz="0" w:space="0" w:color="auto"/>
                                        <w:bottom w:val="none" w:sz="0" w:space="0" w:color="auto"/>
                                        <w:right w:val="none" w:sz="0" w:space="0" w:color="auto"/>
                                      </w:divBdr>
                                      <w:divsChild>
                                        <w:div w:id="1896698183">
                                          <w:marLeft w:val="0"/>
                                          <w:marRight w:val="0"/>
                                          <w:marTop w:val="0"/>
                                          <w:marBottom w:val="0"/>
                                          <w:divBdr>
                                            <w:top w:val="none" w:sz="0" w:space="0" w:color="auto"/>
                                            <w:left w:val="none" w:sz="0" w:space="0" w:color="auto"/>
                                            <w:bottom w:val="none" w:sz="0" w:space="0" w:color="auto"/>
                                            <w:right w:val="none" w:sz="0" w:space="0" w:color="auto"/>
                                          </w:divBdr>
                                          <w:divsChild>
                                            <w:div w:id="1907764884">
                                              <w:marLeft w:val="0"/>
                                              <w:marRight w:val="0"/>
                                              <w:marTop w:val="600"/>
                                              <w:marBottom w:val="0"/>
                                              <w:divBdr>
                                                <w:top w:val="single" w:sz="6" w:space="0" w:color="DDDDDD"/>
                                                <w:left w:val="none" w:sz="0" w:space="0" w:color="auto"/>
                                                <w:bottom w:val="none" w:sz="0" w:space="0" w:color="auto"/>
                                                <w:right w:val="none" w:sz="0" w:space="0" w:color="auto"/>
                                              </w:divBdr>
                                              <w:divsChild>
                                                <w:div w:id="9262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537188">
      <w:bodyDiv w:val="1"/>
      <w:marLeft w:val="0"/>
      <w:marRight w:val="0"/>
      <w:marTop w:val="0"/>
      <w:marBottom w:val="0"/>
      <w:divBdr>
        <w:top w:val="none" w:sz="0" w:space="0" w:color="auto"/>
        <w:left w:val="none" w:sz="0" w:space="0" w:color="auto"/>
        <w:bottom w:val="none" w:sz="0" w:space="0" w:color="auto"/>
        <w:right w:val="none" w:sz="0" w:space="0" w:color="auto"/>
      </w:divBdr>
      <w:divsChild>
        <w:div w:id="108086152">
          <w:marLeft w:val="0"/>
          <w:marRight w:val="0"/>
          <w:marTop w:val="0"/>
          <w:marBottom w:val="0"/>
          <w:divBdr>
            <w:top w:val="none" w:sz="0" w:space="0" w:color="auto"/>
            <w:left w:val="none" w:sz="0" w:space="0" w:color="auto"/>
            <w:bottom w:val="none" w:sz="0" w:space="0" w:color="auto"/>
            <w:right w:val="none" w:sz="0" w:space="0" w:color="auto"/>
          </w:divBdr>
          <w:divsChild>
            <w:div w:id="1258518083">
              <w:marLeft w:val="0"/>
              <w:marRight w:val="0"/>
              <w:marTop w:val="0"/>
              <w:marBottom w:val="0"/>
              <w:divBdr>
                <w:top w:val="none" w:sz="0" w:space="0" w:color="auto"/>
                <w:left w:val="none" w:sz="0" w:space="0" w:color="auto"/>
                <w:bottom w:val="none" w:sz="0" w:space="0" w:color="auto"/>
                <w:right w:val="none" w:sz="0" w:space="0" w:color="auto"/>
              </w:divBdr>
              <w:divsChild>
                <w:div w:id="35087596">
                  <w:marLeft w:val="0"/>
                  <w:marRight w:val="0"/>
                  <w:marTop w:val="0"/>
                  <w:marBottom w:val="0"/>
                  <w:divBdr>
                    <w:top w:val="none" w:sz="0" w:space="0" w:color="auto"/>
                    <w:left w:val="none" w:sz="0" w:space="0" w:color="auto"/>
                    <w:bottom w:val="none" w:sz="0" w:space="0" w:color="auto"/>
                    <w:right w:val="none" w:sz="0" w:space="0" w:color="auto"/>
                  </w:divBdr>
                  <w:divsChild>
                    <w:div w:id="836725724">
                      <w:marLeft w:val="0"/>
                      <w:marRight w:val="0"/>
                      <w:marTop w:val="0"/>
                      <w:marBottom w:val="0"/>
                      <w:divBdr>
                        <w:top w:val="none" w:sz="0" w:space="0" w:color="auto"/>
                        <w:left w:val="none" w:sz="0" w:space="0" w:color="auto"/>
                        <w:bottom w:val="none" w:sz="0" w:space="0" w:color="auto"/>
                        <w:right w:val="none" w:sz="0" w:space="0" w:color="auto"/>
                      </w:divBdr>
                      <w:divsChild>
                        <w:div w:id="548877050">
                          <w:marLeft w:val="0"/>
                          <w:marRight w:val="0"/>
                          <w:marTop w:val="0"/>
                          <w:marBottom w:val="0"/>
                          <w:divBdr>
                            <w:top w:val="none" w:sz="0" w:space="0" w:color="auto"/>
                            <w:left w:val="none" w:sz="0" w:space="0" w:color="auto"/>
                            <w:bottom w:val="none" w:sz="0" w:space="0" w:color="auto"/>
                            <w:right w:val="none" w:sz="0" w:space="0" w:color="auto"/>
                          </w:divBdr>
                          <w:divsChild>
                            <w:div w:id="1185438030">
                              <w:marLeft w:val="0"/>
                              <w:marRight w:val="0"/>
                              <w:marTop w:val="0"/>
                              <w:marBottom w:val="0"/>
                              <w:divBdr>
                                <w:top w:val="none" w:sz="0" w:space="0" w:color="auto"/>
                                <w:left w:val="none" w:sz="0" w:space="0" w:color="auto"/>
                                <w:bottom w:val="none" w:sz="0" w:space="0" w:color="auto"/>
                                <w:right w:val="none" w:sz="0" w:space="0" w:color="auto"/>
                              </w:divBdr>
                              <w:divsChild>
                                <w:div w:id="1415594010">
                                  <w:marLeft w:val="0"/>
                                  <w:marRight w:val="0"/>
                                  <w:marTop w:val="0"/>
                                  <w:marBottom w:val="0"/>
                                  <w:divBdr>
                                    <w:top w:val="none" w:sz="0" w:space="0" w:color="auto"/>
                                    <w:left w:val="none" w:sz="0" w:space="0" w:color="auto"/>
                                    <w:bottom w:val="none" w:sz="0" w:space="0" w:color="auto"/>
                                    <w:right w:val="none" w:sz="0" w:space="0" w:color="auto"/>
                                  </w:divBdr>
                                  <w:divsChild>
                                    <w:div w:id="1048450812">
                                      <w:marLeft w:val="0"/>
                                      <w:marRight w:val="0"/>
                                      <w:marTop w:val="0"/>
                                      <w:marBottom w:val="0"/>
                                      <w:divBdr>
                                        <w:top w:val="none" w:sz="0" w:space="0" w:color="auto"/>
                                        <w:left w:val="none" w:sz="0" w:space="0" w:color="auto"/>
                                        <w:bottom w:val="none" w:sz="0" w:space="0" w:color="auto"/>
                                        <w:right w:val="none" w:sz="0" w:space="0" w:color="auto"/>
                                      </w:divBdr>
                                      <w:divsChild>
                                        <w:div w:id="459499309">
                                          <w:marLeft w:val="0"/>
                                          <w:marRight w:val="0"/>
                                          <w:marTop w:val="0"/>
                                          <w:marBottom w:val="0"/>
                                          <w:divBdr>
                                            <w:top w:val="none" w:sz="0" w:space="0" w:color="auto"/>
                                            <w:left w:val="none" w:sz="0" w:space="0" w:color="auto"/>
                                            <w:bottom w:val="none" w:sz="0" w:space="0" w:color="auto"/>
                                            <w:right w:val="none" w:sz="0" w:space="0" w:color="auto"/>
                                          </w:divBdr>
                                          <w:divsChild>
                                            <w:div w:id="1299334566">
                                              <w:marLeft w:val="0"/>
                                              <w:marRight w:val="0"/>
                                              <w:marTop w:val="600"/>
                                              <w:marBottom w:val="0"/>
                                              <w:divBdr>
                                                <w:top w:val="single" w:sz="6" w:space="0" w:color="DDDDDD"/>
                                                <w:left w:val="none" w:sz="0" w:space="0" w:color="auto"/>
                                                <w:bottom w:val="none" w:sz="0" w:space="0" w:color="auto"/>
                                                <w:right w:val="none" w:sz="0" w:space="0" w:color="auto"/>
                                              </w:divBdr>
                                              <w:divsChild>
                                                <w:div w:id="279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733574">
      <w:bodyDiv w:val="1"/>
      <w:marLeft w:val="0"/>
      <w:marRight w:val="0"/>
      <w:marTop w:val="0"/>
      <w:marBottom w:val="0"/>
      <w:divBdr>
        <w:top w:val="none" w:sz="0" w:space="0" w:color="auto"/>
        <w:left w:val="none" w:sz="0" w:space="0" w:color="auto"/>
        <w:bottom w:val="none" w:sz="0" w:space="0" w:color="auto"/>
        <w:right w:val="none" w:sz="0" w:space="0" w:color="auto"/>
      </w:divBdr>
      <w:divsChild>
        <w:div w:id="908156089">
          <w:marLeft w:val="0"/>
          <w:marRight w:val="0"/>
          <w:marTop w:val="0"/>
          <w:marBottom w:val="0"/>
          <w:divBdr>
            <w:top w:val="none" w:sz="0" w:space="0" w:color="auto"/>
            <w:left w:val="none" w:sz="0" w:space="0" w:color="auto"/>
            <w:bottom w:val="none" w:sz="0" w:space="0" w:color="auto"/>
            <w:right w:val="none" w:sz="0" w:space="0" w:color="auto"/>
          </w:divBdr>
          <w:divsChild>
            <w:div w:id="1354957732">
              <w:marLeft w:val="1200"/>
              <w:marRight w:val="0"/>
              <w:marTop w:val="0"/>
              <w:marBottom w:val="0"/>
              <w:divBdr>
                <w:top w:val="none" w:sz="0" w:space="0" w:color="auto"/>
                <w:left w:val="none" w:sz="0" w:space="0" w:color="auto"/>
                <w:bottom w:val="none" w:sz="0" w:space="0" w:color="auto"/>
                <w:right w:val="none" w:sz="0" w:space="0" w:color="auto"/>
              </w:divBdr>
              <w:divsChild>
                <w:div w:id="195892438">
                  <w:marLeft w:val="0"/>
                  <w:marRight w:val="0"/>
                  <w:marTop w:val="0"/>
                  <w:marBottom w:val="0"/>
                  <w:divBdr>
                    <w:top w:val="none" w:sz="0" w:space="0" w:color="auto"/>
                    <w:left w:val="none" w:sz="0" w:space="0" w:color="auto"/>
                    <w:bottom w:val="none" w:sz="0" w:space="0" w:color="auto"/>
                    <w:right w:val="none" w:sz="0" w:space="0" w:color="auto"/>
                  </w:divBdr>
                  <w:divsChild>
                    <w:div w:id="1361666849">
                      <w:marLeft w:val="0"/>
                      <w:marRight w:val="0"/>
                      <w:marTop w:val="0"/>
                      <w:marBottom w:val="0"/>
                      <w:divBdr>
                        <w:top w:val="none" w:sz="0" w:space="0" w:color="auto"/>
                        <w:left w:val="none" w:sz="0" w:space="0" w:color="auto"/>
                        <w:bottom w:val="none" w:sz="0" w:space="0" w:color="auto"/>
                        <w:right w:val="none" w:sz="0" w:space="0" w:color="auto"/>
                      </w:divBdr>
                      <w:divsChild>
                        <w:div w:id="648483143">
                          <w:marLeft w:val="0"/>
                          <w:marRight w:val="0"/>
                          <w:marTop w:val="0"/>
                          <w:marBottom w:val="0"/>
                          <w:divBdr>
                            <w:top w:val="none" w:sz="0" w:space="0" w:color="auto"/>
                            <w:left w:val="none" w:sz="0" w:space="0" w:color="auto"/>
                            <w:bottom w:val="none" w:sz="0" w:space="0" w:color="auto"/>
                            <w:right w:val="none" w:sz="0" w:space="0" w:color="auto"/>
                          </w:divBdr>
                          <w:divsChild>
                            <w:div w:id="950477661">
                              <w:marLeft w:val="0"/>
                              <w:marRight w:val="0"/>
                              <w:marTop w:val="0"/>
                              <w:marBottom w:val="0"/>
                              <w:divBdr>
                                <w:top w:val="none" w:sz="0" w:space="0" w:color="auto"/>
                                <w:left w:val="none" w:sz="0" w:space="0" w:color="auto"/>
                                <w:bottom w:val="none" w:sz="0" w:space="0" w:color="auto"/>
                                <w:right w:val="none" w:sz="0" w:space="0" w:color="auto"/>
                              </w:divBdr>
                              <w:divsChild>
                                <w:div w:id="521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544673">
      <w:bodyDiv w:val="1"/>
      <w:marLeft w:val="0"/>
      <w:marRight w:val="0"/>
      <w:marTop w:val="0"/>
      <w:marBottom w:val="0"/>
      <w:divBdr>
        <w:top w:val="none" w:sz="0" w:space="0" w:color="auto"/>
        <w:left w:val="none" w:sz="0" w:space="0" w:color="auto"/>
        <w:bottom w:val="none" w:sz="0" w:space="0" w:color="auto"/>
        <w:right w:val="none" w:sz="0" w:space="0" w:color="auto"/>
      </w:divBdr>
    </w:div>
    <w:div w:id="1291127830">
      <w:bodyDiv w:val="1"/>
      <w:marLeft w:val="0"/>
      <w:marRight w:val="0"/>
      <w:marTop w:val="0"/>
      <w:marBottom w:val="0"/>
      <w:divBdr>
        <w:top w:val="none" w:sz="0" w:space="0" w:color="auto"/>
        <w:left w:val="none" w:sz="0" w:space="0" w:color="auto"/>
        <w:bottom w:val="none" w:sz="0" w:space="0" w:color="auto"/>
        <w:right w:val="none" w:sz="0" w:space="0" w:color="auto"/>
      </w:divBdr>
    </w:div>
    <w:div w:id="1293097082">
      <w:bodyDiv w:val="1"/>
      <w:marLeft w:val="0"/>
      <w:marRight w:val="0"/>
      <w:marTop w:val="0"/>
      <w:marBottom w:val="0"/>
      <w:divBdr>
        <w:top w:val="none" w:sz="0" w:space="0" w:color="auto"/>
        <w:left w:val="none" w:sz="0" w:space="0" w:color="auto"/>
        <w:bottom w:val="none" w:sz="0" w:space="0" w:color="auto"/>
        <w:right w:val="none" w:sz="0" w:space="0" w:color="auto"/>
      </w:divBdr>
      <w:divsChild>
        <w:div w:id="1200708213">
          <w:marLeft w:val="0"/>
          <w:marRight w:val="0"/>
          <w:marTop w:val="0"/>
          <w:marBottom w:val="0"/>
          <w:divBdr>
            <w:top w:val="none" w:sz="0" w:space="0" w:color="auto"/>
            <w:left w:val="none" w:sz="0" w:space="0" w:color="auto"/>
            <w:bottom w:val="none" w:sz="0" w:space="0" w:color="auto"/>
            <w:right w:val="none" w:sz="0" w:space="0" w:color="auto"/>
          </w:divBdr>
          <w:divsChild>
            <w:div w:id="1665552171">
              <w:marLeft w:val="0"/>
              <w:marRight w:val="0"/>
              <w:marTop w:val="0"/>
              <w:marBottom w:val="0"/>
              <w:divBdr>
                <w:top w:val="none" w:sz="0" w:space="0" w:color="auto"/>
                <w:left w:val="none" w:sz="0" w:space="0" w:color="auto"/>
                <w:bottom w:val="none" w:sz="0" w:space="0" w:color="auto"/>
                <w:right w:val="none" w:sz="0" w:space="0" w:color="auto"/>
              </w:divBdr>
              <w:divsChild>
                <w:div w:id="475803877">
                  <w:marLeft w:val="0"/>
                  <w:marRight w:val="0"/>
                  <w:marTop w:val="0"/>
                  <w:marBottom w:val="0"/>
                  <w:divBdr>
                    <w:top w:val="none" w:sz="0" w:space="0" w:color="auto"/>
                    <w:left w:val="none" w:sz="0" w:space="0" w:color="auto"/>
                    <w:bottom w:val="none" w:sz="0" w:space="0" w:color="auto"/>
                    <w:right w:val="none" w:sz="0" w:space="0" w:color="auto"/>
                  </w:divBdr>
                  <w:divsChild>
                    <w:div w:id="1562786591">
                      <w:marLeft w:val="0"/>
                      <w:marRight w:val="0"/>
                      <w:marTop w:val="0"/>
                      <w:marBottom w:val="0"/>
                      <w:divBdr>
                        <w:top w:val="none" w:sz="0" w:space="0" w:color="auto"/>
                        <w:left w:val="none" w:sz="0" w:space="0" w:color="auto"/>
                        <w:bottom w:val="none" w:sz="0" w:space="0" w:color="auto"/>
                        <w:right w:val="none" w:sz="0" w:space="0" w:color="auto"/>
                      </w:divBdr>
                      <w:divsChild>
                        <w:div w:id="1961035755">
                          <w:marLeft w:val="0"/>
                          <w:marRight w:val="0"/>
                          <w:marTop w:val="0"/>
                          <w:marBottom w:val="0"/>
                          <w:divBdr>
                            <w:top w:val="none" w:sz="0" w:space="0" w:color="auto"/>
                            <w:left w:val="none" w:sz="0" w:space="0" w:color="auto"/>
                            <w:bottom w:val="none" w:sz="0" w:space="0" w:color="auto"/>
                            <w:right w:val="none" w:sz="0" w:space="0" w:color="auto"/>
                          </w:divBdr>
                          <w:divsChild>
                            <w:div w:id="1117678763">
                              <w:marLeft w:val="0"/>
                              <w:marRight w:val="0"/>
                              <w:marTop w:val="0"/>
                              <w:marBottom w:val="0"/>
                              <w:divBdr>
                                <w:top w:val="none" w:sz="0" w:space="0" w:color="auto"/>
                                <w:left w:val="none" w:sz="0" w:space="0" w:color="auto"/>
                                <w:bottom w:val="none" w:sz="0" w:space="0" w:color="auto"/>
                                <w:right w:val="none" w:sz="0" w:space="0" w:color="auto"/>
                              </w:divBdr>
                              <w:divsChild>
                                <w:div w:id="1753113775">
                                  <w:marLeft w:val="0"/>
                                  <w:marRight w:val="0"/>
                                  <w:marTop w:val="0"/>
                                  <w:marBottom w:val="0"/>
                                  <w:divBdr>
                                    <w:top w:val="none" w:sz="0" w:space="0" w:color="auto"/>
                                    <w:left w:val="none" w:sz="0" w:space="0" w:color="auto"/>
                                    <w:bottom w:val="none" w:sz="0" w:space="0" w:color="auto"/>
                                    <w:right w:val="none" w:sz="0" w:space="0" w:color="auto"/>
                                  </w:divBdr>
                                  <w:divsChild>
                                    <w:div w:id="1925066805">
                                      <w:marLeft w:val="0"/>
                                      <w:marRight w:val="0"/>
                                      <w:marTop w:val="0"/>
                                      <w:marBottom w:val="0"/>
                                      <w:divBdr>
                                        <w:top w:val="none" w:sz="0" w:space="0" w:color="auto"/>
                                        <w:left w:val="none" w:sz="0" w:space="0" w:color="auto"/>
                                        <w:bottom w:val="none" w:sz="0" w:space="0" w:color="auto"/>
                                        <w:right w:val="none" w:sz="0" w:space="0" w:color="auto"/>
                                      </w:divBdr>
                                      <w:divsChild>
                                        <w:div w:id="1161198573">
                                          <w:marLeft w:val="0"/>
                                          <w:marRight w:val="0"/>
                                          <w:marTop w:val="0"/>
                                          <w:marBottom w:val="0"/>
                                          <w:divBdr>
                                            <w:top w:val="none" w:sz="0" w:space="0" w:color="auto"/>
                                            <w:left w:val="none" w:sz="0" w:space="0" w:color="auto"/>
                                            <w:bottom w:val="none" w:sz="0" w:space="0" w:color="auto"/>
                                            <w:right w:val="none" w:sz="0" w:space="0" w:color="auto"/>
                                          </w:divBdr>
                                          <w:divsChild>
                                            <w:div w:id="1952668366">
                                              <w:marLeft w:val="0"/>
                                              <w:marRight w:val="0"/>
                                              <w:marTop w:val="600"/>
                                              <w:marBottom w:val="0"/>
                                              <w:divBdr>
                                                <w:top w:val="single" w:sz="6" w:space="0" w:color="DDDDDD"/>
                                                <w:left w:val="none" w:sz="0" w:space="0" w:color="auto"/>
                                                <w:bottom w:val="none" w:sz="0" w:space="0" w:color="auto"/>
                                                <w:right w:val="none" w:sz="0" w:space="0" w:color="auto"/>
                                              </w:divBdr>
                                              <w:divsChild>
                                                <w:div w:id="21421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230120">
      <w:bodyDiv w:val="1"/>
      <w:marLeft w:val="0"/>
      <w:marRight w:val="0"/>
      <w:marTop w:val="0"/>
      <w:marBottom w:val="0"/>
      <w:divBdr>
        <w:top w:val="none" w:sz="0" w:space="0" w:color="auto"/>
        <w:left w:val="none" w:sz="0" w:space="0" w:color="auto"/>
        <w:bottom w:val="none" w:sz="0" w:space="0" w:color="auto"/>
        <w:right w:val="none" w:sz="0" w:space="0" w:color="auto"/>
      </w:divBdr>
    </w:div>
    <w:div w:id="1408770824">
      <w:bodyDiv w:val="1"/>
      <w:marLeft w:val="0"/>
      <w:marRight w:val="0"/>
      <w:marTop w:val="0"/>
      <w:marBottom w:val="0"/>
      <w:divBdr>
        <w:top w:val="none" w:sz="0" w:space="0" w:color="auto"/>
        <w:left w:val="none" w:sz="0" w:space="0" w:color="auto"/>
        <w:bottom w:val="none" w:sz="0" w:space="0" w:color="auto"/>
        <w:right w:val="none" w:sz="0" w:space="0" w:color="auto"/>
      </w:divBdr>
    </w:div>
    <w:div w:id="1445344969">
      <w:bodyDiv w:val="1"/>
      <w:marLeft w:val="0"/>
      <w:marRight w:val="0"/>
      <w:marTop w:val="0"/>
      <w:marBottom w:val="0"/>
      <w:divBdr>
        <w:top w:val="none" w:sz="0" w:space="0" w:color="auto"/>
        <w:left w:val="none" w:sz="0" w:space="0" w:color="auto"/>
        <w:bottom w:val="none" w:sz="0" w:space="0" w:color="auto"/>
        <w:right w:val="none" w:sz="0" w:space="0" w:color="auto"/>
      </w:divBdr>
    </w:div>
    <w:div w:id="1466042821">
      <w:bodyDiv w:val="1"/>
      <w:marLeft w:val="0"/>
      <w:marRight w:val="0"/>
      <w:marTop w:val="0"/>
      <w:marBottom w:val="0"/>
      <w:divBdr>
        <w:top w:val="none" w:sz="0" w:space="0" w:color="auto"/>
        <w:left w:val="none" w:sz="0" w:space="0" w:color="auto"/>
        <w:bottom w:val="none" w:sz="0" w:space="0" w:color="auto"/>
        <w:right w:val="none" w:sz="0" w:space="0" w:color="auto"/>
      </w:divBdr>
    </w:div>
    <w:div w:id="1472820720">
      <w:bodyDiv w:val="1"/>
      <w:marLeft w:val="0"/>
      <w:marRight w:val="0"/>
      <w:marTop w:val="0"/>
      <w:marBottom w:val="0"/>
      <w:divBdr>
        <w:top w:val="none" w:sz="0" w:space="0" w:color="auto"/>
        <w:left w:val="none" w:sz="0" w:space="0" w:color="auto"/>
        <w:bottom w:val="none" w:sz="0" w:space="0" w:color="auto"/>
        <w:right w:val="none" w:sz="0" w:space="0" w:color="auto"/>
      </w:divBdr>
    </w:div>
    <w:div w:id="1495686902">
      <w:bodyDiv w:val="1"/>
      <w:marLeft w:val="0"/>
      <w:marRight w:val="0"/>
      <w:marTop w:val="0"/>
      <w:marBottom w:val="0"/>
      <w:divBdr>
        <w:top w:val="none" w:sz="0" w:space="0" w:color="auto"/>
        <w:left w:val="none" w:sz="0" w:space="0" w:color="auto"/>
        <w:bottom w:val="none" w:sz="0" w:space="0" w:color="auto"/>
        <w:right w:val="none" w:sz="0" w:space="0" w:color="auto"/>
      </w:divBdr>
    </w:div>
    <w:div w:id="1536386582">
      <w:bodyDiv w:val="1"/>
      <w:marLeft w:val="0"/>
      <w:marRight w:val="0"/>
      <w:marTop w:val="0"/>
      <w:marBottom w:val="0"/>
      <w:divBdr>
        <w:top w:val="none" w:sz="0" w:space="0" w:color="auto"/>
        <w:left w:val="none" w:sz="0" w:space="0" w:color="auto"/>
        <w:bottom w:val="none" w:sz="0" w:space="0" w:color="auto"/>
        <w:right w:val="none" w:sz="0" w:space="0" w:color="auto"/>
      </w:divBdr>
    </w:div>
    <w:div w:id="1578787202">
      <w:bodyDiv w:val="1"/>
      <w:marLeft w:val="0"/>
      <w:marRight w:val="0"/>
      <w:marTop w:val="0"/>
      <w:marBottom w:val="0"/>
      <w:divBdr>
        <w:top w:val="none" w:sz="0" w:space="0" w:color="auto"/>
        <w:left w:val="none" w:sz="0" w:space="0" w:color="auto"/>
        <w:bottom w:val="none" w:sz="0" w:space="0" w:color="auto"/>
        <w:right w:val="none" w:sz="0" w:space="0" w:color="auto"/>
      </w:divBdr>
    </w:div>
    <w:div w:id="1679117763">
      <w:bodyDiv w:val="1"/>
      <w:marLeft w:val="0"/>
      <w:marRight w:val="0"/>
      <w:marTop w:val="0"/>
      <w:marBottom w:val="0"/>
      <w:divBdr>
        <w:top w:val="none" w:sz="0" w:space="0" w:color="auto"/>
        <w:left w:val="none" w:sz="0" w:space="0" w:color="auto"/>
        <w:bottom w:val="none" w:sz="0" w:space="0" w:color="auto"/>
        <w:right w:val="none" w:sz="0" w:space="0" w:color="auto"/>
      </w:divBdr>
    </w:div>
    <w:div w:id="1689789234">
      <w:bodyDiv w:val="1"/>
      <w:marLeft w:val="0"/>
      <w:marRight w:val="0"/>
      <w:marTop w:val="0"/>
      <w:marBottom w:val="0"/>
      <w:divBdr>
        <w:top w:val="none" w:sz="0" w:space="0" w:color="auto"/>
        <w:left w:val="none" w:sz="0" w:space="0" w:color="auto"/>
        <w:bottom w:val="none" w:sz="0" w:space="0" w:color="auto"/>
        <w:right w:val="none" w:sz="0" w:space="0" w:color="auto"/>
      </w:divBdr>
    </w:div>
    <w:div w:id="1771393638">
      <w:bodyDiv w:val="1"/>
      <w:marLeft w:val="0"/>
      <w:marRight w:val="0"/>
      <w:marTop w:val="0"/>
      <w:marBottom w:val="0"/>
      <w:divBdr>
        <w:top w:val="none" w:sz="0" w:space="0" w:color="auto"/>
        <w:left w:val="none" w:sz="0" w:space="0" w:color="auto"/>
        <w:bottom w:val="none" w:sz="0" w:space="0" w:color="auto"/>
        <w:right w:val="none" w:sz="0" w:space="0" w:color="auto"/>
      </w:divBdr>
    </w:div>
    <w:div w:id="1789153457">
      <w:bodyDiv w:val="1"/>
      <w:marLeft w:val="0"/>
      <w:marRight w:val="0"/>
      <w:marTop w:val="0"/>
      <w:marBottom w:val="0"/>
      <w:divBdr>
        <w:top w:val="none" w:sz="0" w:space="0" w:color="auto"/>
        <w:left w:val="none" w:sz="0" w:space="0" w:color="auto"/>
        <w:bottom w:val="none" w:sz="0" w:space="0" w:color="auto"/>
        <w:right w:val="none" w:sz="0" w:space="0" w:color="auto"/>
      </w:divBdr>
    </w:div>
    <w:div w:id="1871216383">
      <w:bodyDiv w:val="1"/>
      <w:marLeft w:val="0"/>
      <w:marRight w:val="0"/>
      <w:marTop w:val="0"/>
      <w:marBottom w:val="0"/>
      <w:divBdr>
        <w:top w:val="none" w:sz="0" w:space="0" w:color="auto"/>
        <w:left w:val="none" w:sz="0" w:space="0" w:color="auto"/>
        <w:bottom w:val="none" w:sz="0" w:space="0" w:color="auto"/>
        <w:right w:val="none" w:sz="0" w:space="0" w:color="auto"/>
      </w:divBdr>
    </w:div>
    <w:div w:id="1886137024">
      <w:bodyDiv w:val="1"/>
      <w:marLeft w:val="0"/>
      <w:marRight w:val="0"/>
      <w:marTop w:val="0"/>
      <w:marBottom w:val="0"/>
      <w:divBdr>
        <w:top w:val="none" w:sz="0" w:space="0" w:color="auto"/>
        <w:left w:val="none" w:sz="0" w:space="0" w:color="auto"/>
        <w:bottom w:val="none" w:sz="0" w:space="0" w:color="auto"/>
        <w:right w:val="none" w:sz="0" w:space="0" w:color="auto"/>
      </w:divBdr>
      <w:divsChild>
        <w:div w:id="963658356">
          <w:marLeft w:val="0"/>
          <w:marRight w:val="0"/>
          <w:marTop w:val="0"/>
          <w:marBottom w:val="0"/>
          <w:divBdr>
            <w:top w:val="none" w:sz="0" w:space="0" w:color="auto"/>
            <w:left w:val="none" w:sz="0" w:space="0" w:color="auto"/>
            <w:bottom w:val="none" w:sz="0" w:space="0" w:color="auto"/>
            <w:right w:val="none" w:sz="0" w:space="0" w:color="auto"/>
          </w:divBdr>
          <w:divsChild>
            <w:div w:id="336156002">
              <w:marLeft w:val="0"/>
              <w:marRight w:val="0"/>
              <w:marTop w:val="0"/>
              <w:marBottom w:val="0"/>
              <w:divBdr>
                <w:top w:val="none" w:sz="0" w:space="0" w:color="auto"/>
                <w:left w:val="none" w:sz="0" w:space="0" w:color="auto"/>
                <w:bottom w:val="none" w:sz="0" w:space="0" w:color="auto"/>
                <w:right w:val="none" w:sz="0" w:space="0" w:color="auto"/>
              </w:divBdr>
              <w:divsChild>
                <w:div w:id="1430344894">
                  <w:marLeft w:val="0"/>
                  <w:marRight w:val="0"/>
                  <w:marTop w:val="0"/>
                  <w:marBottom w:val="0"/>
                  <w:divBdr>
                    <w:top w:val="none" w:sz="0" w:space="0" w:color="auto"/>
                    <w:left w:val="none" w:sz="0" w:space="0" w:color="auto"/>
                    <w:bottom w:val="none" w:sz="0" w:space="0" w:color="auto"/>
                    <w:right w:val="none" w:sz="0" w:space="0" w:color="auto"/>
                  </w:divBdr>
                  <w:divsChild>
                    <w:div w:id="722482298">
                      <w:marLeft w:val="0"/>
                      <w:marRight w:val="0"/>
                      <w:marTop w:val="0"/>
                      <w:marBottom w:val="0"/>
                      <w:divBdr>
                        <w:top w:val="none" w:sz="0" w:space="0" w:color="auto"/>
                        <w:left w:val="none" w:sz="0" w:space="0" w:color="auto"/>
                        <w:bottom w:val="none" w:sz="0" w:space="0" w:color="auto"/>
                        <w:right w:val="none" w:sz="0" w:space="0" w:color="auto"/>
                      </w:divBdr>
                      <w:divsChild>
                        <w:div w:id="467861618">
                          <w:marLeft w:val="0"/>
                          <w:marRight w:val="0"/>
                          <w:marTop w:val="0"/>
                          <w:marBottom w:val="0"/>
                          <w:divBdr>
                            <w:top w:val="none" w:sz="0" w:space="0" w:color="auto"/>
                            <w:left w:val="none" w:sz="0" w:space="0" w:color="auto"/>
                            <w:bottom w:val="none" w:sz="0" w:space="0" w:color="auto"/>
                            <w:right w:val="none" w:sz="0" w:space="0" w:color="auto"/>
                          </w:divBdr>
                          <w:divsChild>
                            <w:div w:id="812412683">
                              <w:marLeft w:val="0"/>
                              <w:marRight w:val="0"/>
                              <w:marTop w:val="0"/>
                              <w:marBottom w:val="0"/>
                              <w:divBdr>
                                <w:top w:val="none" w:sz="0" w:space="0" w:color="auto"/>
                                <w:left w:val="none" w:sz="0" w:space="0" w:color="auto"/>
                                <w:bottom w:val="none" w:sz="0" w:space="0" w:color="auto"/>
                                <w:right w:val="none" w:sz="0" w:space="0" w:color="auto"/>
                              </w:divBdr>
                              <w:divsChild>
                                <w:div w:id="670178924">
                                  <w:marLeft w:val="0"/>
                                  <w:marRight w:val="0"/>
                                  <w:marTop w:val="0"/>
                                  <w:marBottom w:val="0"/>
                                  <w:divBdr>
                                    <w:top w:val="none" w:sz="0" w:space="0" w:color="auto"/>
                                    <w:left w:val="none" w:sz="0" w:space="0" w:color="auto"/>
                                    <w:bottom w:val="none" w:sz="0" w:space="0" w:color="auto"/>
                                    <w:right w:val="none" w:sz="0" w:space="0" w:color="auto"/>
                                  </w:divBdr>
                                  <w:divsChild>
                                    <w:div w:id="87162928">
                                      <w:marLeft w:val="0"/>
                                      <w:marRight w:val="0"/>
                                      <w:marTop w:val="0"/>
                                      <w:marBottom w:val="0"/>
                                      <w:divBdr>
                                        <w:top w:val="none" w:sz="0" w:space="0" w:color="auto"/>
                                        <w:left w:val="none" w:sz="0" w:space="0" w:color="auto"/>
                                        <w:bottom w:val="none" w:sz="0" w:space="0" w:color="auto"/>
                                        <w:right w:val="none" w:sz="0" w:space="0" w:color="auto"/>
                                      </w:divBdr>
                                      <w:divsChild>
                                        <w:div w:id="1772623977">
                                          <w:marLeft w:val="0"/>
                                          <w:marRight w:val="0"/>
                                          <w:marTop w:val="0"/>
                                          <w:marBottom w:val="0"/>
                                          <w:divBdr>
                                            <w:top w:val="none" w:sz="0" w:space="0" w:color="auto"/>
                                            <w:left w:val="none" w:sz="0" w:space="0" w:color="auto"/>
                                            <w:bottom w:val="none" w:sz="0" w:space="0" w:color="auto"/>
                                            <w:right w:val="none" w:sz="0" w:space="0" w:color="auto"/>
                                          </w:divBdr>
                                          <w:divsChild>
                                            <w:div w:id="102964422">
                                              <w:marLeft w:val="0"/>
                                              <w:marRight w:val="0"/>
                                              <w:marTop w:val="600"/>
                                              <w:marBottom w:val="0"/>
                                              <w:divBdr>
                                                <w:top w:val="single" w:sz="6" w:space="0" w:color="DDDDDD"/>
                                                <w:left w:val="none" w:sz="0" w:space="0" w:color="auto"/>
                                                <w:bottom w:val="none" w:sz="0" w:space="0" w:color="auto"/>
                                                <w:right w:val="none" w:sz="0" w:space="0" w:color="auto"/>
                                              </w:divBdr>
                                              <w:divsChild>
                                                <w:div w:id="17559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369207">
      <w:bodyDiv w:val="1"/>
      <w:marLeft w:val="0"/>
      <w:marRight w:val="0"/>
      <w:marTop w:val="0"/>
      <w:marBottom w:val="0"/>
      <w:divBdr>
        <w:top w:val="none" w:sz="0" w:space="0" w:color="auto"/>
        <w:left w:val="none" w:sz="0" w:space="0" w:color="auto"/>
        <w:bottom w:val="none" w:sz="0" w:space="0" w:color="auto"/>
        <w:right w:val="none" w:sz="0" w:space="0" w:color="auto"/>
      </w:divBdr>
    </w:div>
    <w:div w:id="2021469956">
      <w:bodyDiv w:val="1"/>
      <w:marLeft w:val="0"/>
      <w:marRight w:val="0"/>
      <w:marTop w:val="0"/>
      <w:marBottom w:val="0"/>
      <w:divBdr>
        <w:top w:val="none" w:sz="0" w:space="0" w:color="auto"/>
        <w:left w:val="none" w:sz="0" w:space="0" w:color="auto"/>
        <w:bottom w:val="none" w:sz="0" w:space="0" w:color="auto"/>
        <w:right w:val="none" w:sz="0" w:space="0" w:color="auto"/>
      </w:divBdr>
      <w:divsChild>
        <w:div w:id="1663000652">
          <w:marLeft w:val="0"/>
          <w:marRight w:val="0"/>
          <w:marTop w:val="0"/>
          <w:marBottom w:val="0"/>
          <w:divBdr>
            <w:top w:val="none" w:sz="0" w:space="0" w:color="auto"/>
            <w:left w:val="none" w:sz="0" w:space="0" w:color="auto"/>
            <w:bottom w:val="none" w:sz="0" w:space="0" w:color="auto"/>
            <w:right w:val="none" w:sz="0" w:space="0" w:color="auto"/>
          </w:divBdr>
          <w:divsChild>
            <w:div w:id="1701315627">
              <w:marLeft w:val="1200"/>
              <w:marRight w:val="0"/>
              <w:marTop w:val="0"/>
              <w:marBottom w:val="0"/>
              <w:divBdr>
                <w:top w:val="none" w:sz="0" w:space="0" w:color="auto"/>
                <w:left w:val="none" w:sz="0" w:space="0" w:color="auto"/>
                <w:bottom w:val="none" w:sz="0" w:space="0" w:color="auto"/>
                <w:right w:val="none" w:sz="0" w:space="0" w:color="auto"/>
              </w:divBdr>
              <w:divsChild>
                <w:div w:id="1933009809">
                  <w:marLeft w:val="0"/>
                  <w:marRight w:val="0"/>
                  <w:marTop w:val="0"/>
                  <w:marBottom w:val="0"/>
                  <w:divBdr>
                    <w:top w:val="none" w:sz="0" w:space="0" w:color="auto"/>
                    <w:left w:val="none" w:sz="0" w:space="0" w:color="auto"/>
                    <w:bottom w:val="none" w:sz="0" w:space="0" w:color="auto"/>
                    <w:right w:val="none" w:sz="0" w:space="0" w:color="auto"/>
                  </w:divBdr>
                  <w:divsChild>
                    <w:div w:id="188033200">
                      <w:marLeft w:val="0"/>
                      <w:marRight w:val="0"/>
                      <w:marTop w:val="0"/>
                      <w:marBottom w:val="0"/>
                      <w:divBdr>
                        <w:top w:val="none" w:sz="0" w:space="0" w:color="auto"/>
                        <w:left w:val="none" w:sz="0" w:space="0" w:color="auto"/>
                        <w:bottom w:val="none" w:sz="0" w:space="0" w:color="auto"/>
                        <w:right w:val="none" w:sz="0" w:space="0" w:color="auto"/>
                      </w:divBdr>
                      <w:divsChild>
                        <w:div w:id="928736550">
                          <w:marLeft w:val="0"/>
                          <w:marRight w:val="0"/>
                          <w:marTop w:val="0"/>
                          <w:marBottom w:val="0"/>
                          <w:divBdr>
                            <w:top w:val="none" w:sz="0" w:space="0" w:color="auto"/>
                            <w:left w:val="none" w:sz="0" w:space="0" w:color="auto"/>
                            <w:bottom w:val="none" w:sz="0" w:space="0" w:color="auto"/>
                            <w:right w:val="none" w:sz="0" w:space="0" w:color="auto"/>
                          </w:divBdr>
                          <w:divsChild>
                            <w:div w:id="1918320232">
                              <w:marLeft w:val="0"/>
                              <w:marRight w:val="0"/>
                              <w:marTop w:val="0"/>
                              <w:marBottom w:val="0"/>
                              <w:divBdr>
                                <w:top w:val="none" w:sz="0" w:space="0" w:color="auto"/>
                                <w:left w:val="none" w:sz="0" w:space="0" w:color="auto"/>
                                <w:bottom w:val="none" w:sz="0" w:space="0" w:color="auto"/>
                                <w:right w:val="none" w:sz="0" w:space="0" w:color="auto"/>
                              </w:divBdr>
                              <w:divsChild>
                                <w:div w:id="199897454">
                                  <w:marLeft w:val="0"/>
                                  <w:marRight w:val="0"/>
                                  <w:marTop w:val="0"/>
                                  <w:marBottom w:val="0"/>
                                  <w:divBdr>
                                    <w:top w:val="none" w:sz="0" w:space="0" w:color="auto"/>
                                    <w:left w:val="none" w:sz="0" w:space="0" w:color="auto"/>
                                    <w:bottom w:val="none" w:sz="0" w:space="0" w:color="auto"/>
                                    <w:right w:val="none" w:sz="0" w:space="0" w:color="auto"/>
                                  </w:divBdr>
                                  <w:divsChild>
                                    <w:div w:id="9946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490802">
      <w:bodyDiv w:val="1"/>
      <w:marLeft w:val="0"/>
      <w:marRight w:val="0"/>
      <w:marTop w:val="0"/>
      <w:marBottom w:val="0"/>
      <w:divBdr>
        <w:top w:val="none" w:sz="0" w:space="0" w:color="auto"/>
        <w:left w:val="none" w:sz="0" w:space="0" w:color="auto"/>
        <w:bottom w:val="none" w:sz="0" w:space="0" w:color="auto"/>
        <w:right w:val="none" w:sz="0" w:space="0" w:color="auto"/>
      </w:divBdr>
      <w:divsChild>
        <w:div w:id="462043940">
          <w:marLeft w:val="0"/>
          <w:marRight w:val="0"/>
          <w:marTop w:val="0"/>
          <w:marBottom w:val="0"/>
          <w:divBdr>
            <w:top w:val="none" w:sz="0" w:space="0" w:color="auto"/>
            <w:left w:val="none" w:sz="0" w:space="0" w:color="auto"/>
            <w:bottom w:val="none" w:sz="0" w:space="0" w:color="auto"/>
            <w:right w:val="none" w:sz="0" w:space="0" w:color="auto"/>
          </w:divBdr>
          <w:divsChild>
            <w:div w:id="2109084510">
              <w:marLeft w:val="0"/>
              <w:marRight w:val="0"/>
              <w:marTop w:val="0"/>
              <w:marBottom w:val="0"/>
              <w:divBdr>
                <w:top w:val="none" w:sz="0" w:space="0" w:color="auto"/>
                <w:left w:val="none" w:sz="0" w:space="0" w:color="auto"/>
                <w:bottom w:val="none" w:sz="0" w:space="0" w:color="auto"/>
                <w:right w:val="none" w:sz="0" w:space="0" w:color="auto"/>
              </w:divBdr>
              <w:divsChild>
                <w:div w:id="531305507">
                  <w:marLeft w:val="0"/>
                  <w:marRight w:val="0"/>
                  <w:marTop w:val="0"/>
                  <w:marBottom w:val="0"/>
                  <w:divBdr>
                    <w:top w:val="none" w:sz="0" w:space="0" w:color="auto"/>
                    <w:left w:val="none" w:sz="0" w:space="0" w:color="auto"/>
                    <w:bottom w:val="none" w:sz="0" w:space="0" w:color="auto"/>
                    <w:right w:val="none" w:sz="0" w:space="0" w:color="auto"/>
                  </w:divBdr>
                  <w:divsChild>
                    <w:div w:id="2013872710">
                      <w:marLeft w:val="0"/>
                      <w:marRight w:val="0"/>
                      <w:marTop w:val="0"/>
                      <w:marBottom w:val="0"/>
                      <w:divBdr>
                        <w:top w:val="none" w:sz="0" w:space="0" w:color="auto"/>
                        <w:left w:val="none" w:sz="0" w:space="0" w:color="auto"/>
                        <w:bottom w:val="none" w:sz="0" w:space="0" w:color="auto"/>
                        <w:right w:val="none" w:sz="0" w:space="0" w:color="auto"/>
                      </w:divBdr>
                      <w:divsChild>
                        <w:div w:id="1427267167">
                          <w:marLeft w:val="0"/>
                          <w:marRight w:val="0"/>
                          <w:marTop w:val="0"/>
                          <w:marBottom w:val="0"/>
                          <w:divBdr>
                            <w:top w:val="none" w:sz="0" w:space="0" w:color="auto"/>
                            <w:left w:val="none" w:sz="0" w:space="0" w:color="auto"/>
                            <w:bottom w:val="none" w:sz="0" w:space="0" w:color="auto"/>
                            <w:right w:val="none" w:sz="0" w:space="0" w:color="auto"/>
                          </w:divBdr>
                          <w:divsChild>
                            <w:div w:id="1038090529">
                              <w:marLeft w:val="0"/>
                              <w:marRight w:val="0"/>
                              <w:marTop w:val="0"/>
                              <w:marBottom w:val="0"/>
                              <w:divBdr>
                                <w:top w:val="none" w:sz="0" w:space="0" w:color="auto"/>
                                <w:left w:val="none" w:sz="0" w:space="0" w:color="auto"/>
                                <w:bottom w:val="none" w:sz="0" w:space="0" w:color="auto"/>
                                <w:right w:val="none" w:sz="0" w:space="0" w:color="auto"/>
                              </w:divBdr>
                              <w:divsChild>
                                <w:div w:id="1793864042">
                                  <w:marLeft w:val="0"/>
                                  <w:marRight w:val="0"/>
                                  <w:marTop w:val="0"/>
                                  <w:marBottom w:val="0"/>
                                  <w:divBdr>
                                    <w:top w:val="none" w:sz="0" w:space="0" w:color="auto"/>
                                    <w:left w:val="none" w:sz="0" w:space="0" w:color="auto"/>
                                    <w:bottom w:val="none" w:sz="0" w:space="0" w:color="auto"/>
                                    <w:right w:val="none" w:sz="0" w:space="0" w:color="auto"/>
                                  </w:divBdr>
                                  <w:divsChild>
                                    <w:div w:id="1223635971">
                                      <w:marLeft w:val="0"/>
                                      <w:marRight w:val="0"/>
                                      <w:marTop w:val="0"/>
                                      <w:marBottom w:val="0"/>
                                      <w:divBdr>
                                        <w:top w:val="none" w:sz="0" w:space="0" w:color="auto"/>
                                        <w:left w:val="none" w:sz="0" w:space="0" w:color="auto"/>
                                        <w:bottom w:val="none" w:sz="0" w:space="0" w:color="auto"/>
                                        <w:right w:val="none" w:sz="0" w:space="0" w:color="auto"/>
                                      </w:divBdr>
                                      <w:divsChild>
                                        <w:div w:id="1316688405">
                                          <w:marLeft w:val="0"/>
                                          <w:marRight w:val="0"/>
                                          <w:marTop w:val="0"/>
                                          <w:marBottom w:val="0"/>
                                          <w:divBdr>
                                            <w:top w:val="none" w:sz="0" w:space="0" w:color="auto"/>
                                            <w:left w:val="none" w:sz="0" w:space="0" w:color="auto"/>
                                            <w:bottom w:val="none" w:sz="0" w:space="0" w:color="auto"/>
                                            <w:right w:val="none" w:sz="0" w:space="0" w:color="auto"/>
                                          </w:divBdr>
                                          <w:divsChild>
                                            <w:div w:id="180163547">
                                              <w:marLeft w:val="0"/>
                                              <w:marRight w:val="0"/>
                                              <w:marTop w:val="600"/>
                                              <w:marBottom w:val="0"/>
                                              <w:divBdr>
                                                <w:top w:val="single" w:sz="6" w:space="0" w:color="DDDDDD"/>
                                                <w:left w:val="none" w:sz="0" w:space="0" w:color="auto"/>
                                                <w:bottom w:val="none" w:sz="0" w:space="0" w:color="auto"/>
                                                <w:right w:val="none" w:sz="0" w:space="0" w:color="auto"/>
                                              </w:divBdr>
                                              <w:divsChild>
                                                <w:div w:id="995766379">
                                                  <w:marLeft w:val="0"/>
                                                  <w:marRight w:val="0"/>
                                                  <w:marTop w:val="0"/>
                                                  <w:marBottom w:val="0"/>
                                                  <w:divBdr>
                                                    <w:top w:val="none" w:sz="0" w:space="0" w:color="auto"/>
                                                    <w:left w:val="none" w:sz="0" w:space="0" w:color="auto"/>
                                                    <w:bottom w:val="none" w:sz="0" w:space="0" w:color="auto"/>
                                                    <w:right w:val="none" w:sz="0" w:space="0" w:color="auto"/>
                                                  </w:divBdr>
                                                  <w:divsChild>
                                                    <w:div w:id="9538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17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Redirection('LE0000560108_Vigente.HTML')" TargetMode="External"/><Relationship Id="rId13" Type="http://schemas.openxmlformats.org/officeDocument/2006/relationships/hyperlink" Target="javascript:Redirection('LE0000560108_Vigente.HTML')" TargetMode="External"/><Relationship Id="rId18" Type="http://schemas.openxmlformats.org/officeDocument/2006/relationships/hyperlink" Target="https://www.youtube.com/watch?v=gVswvCloLH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PeenOmdp9xk" TargetMode="External"/><Relationship Id="rId17" Type="http://schemas.openxmlformats.org/officeDocument/2006/relationships/hyperlink" Target="https://www.youtube.com/watch?v=arv2SD2tyUA" TargetMode="External"/><Relationship Id="rId2" Type="http://schemas.openxmlformats.org/officeDocument/2006/relationships/numbering" Target="numbering.xml"/><Relationship Id="rId16" Type="http://schemas.openxmlformats.org/officeDocument/2006/relationships/hyperlink" Target="https://www.youtube.com/watch?v=jdGJlUUIiq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gVswvCloLHY" TargetMode="External"/><Relationship Id="rId5" Type="http://schemas.openxmlformats.org/officeDocument/2006/relationships/webSettings" Target="webSettings.xml"/><Relationship Id="rId15" Type="http://schemas.openxmlformats.org/officeDocument/2006/relationships/hyperlink" Target="javascript:Redirection('LE0000013389_Vigente.HTML" TargetMode="External"/><Relationship Id="rId10" Type="http://schemas.openxmlformats.org/officeDocument/2006/relationships/hyperlink" Target="https://www.youtube.com/watch?v=arv2SD2tyUA" TargetMode="External"/><Relationship Id="rId19" Type="http://schemas.openxmlformats.org/officeDocument/2006/relationships/hyperlink" Target="https://www.youtube.com/watch?v=PeenOmdp9xk" TargetMode="External"/><Relationship Id="rId4" Type="http://schemas.openxmlformats.org/officeDocument/2006/relationships/settings" Target="settings.xml"/><Relationship Id="rId9" Type="http://schemas.openxmlformats.org/officeDocument/2006/relationships/hyperlink" Target="https://www.youtube.com/watch?v=jdGJlUUIiqA" TargetMode="External"/><Relationship Id="rId14" Type="http://schemas.openxmlformats.org/officeDocument/2006/relationships/hyperlink" Target="javascript:Redirection('LE0000013389_Vigente.HTM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y-NJA6YfY5o" TargetMode="External"/><Relationship Id="rId2" Type="http://schemas.openxmlformats.org/officeDocument/2006/relationships/hyperlink" Target="https://www.youtube.com/watch?v=nMLgXqrXNeg" TargetMode="External"/><Relationship Id="rId1" Type="http://schemas.openxmlformats.org/officeDocument/2006/relationships/hyperlink" Target="https://www.youtube.com/watch?v=y-NJA6YfY5o" TargetMode="External"/><Relationship Id="rId4" Type="http://schemas.openxmlformats.org/officeDocument/2006/relationships/hyperlink" Target="https://www.youtube.com/watch?v=nMLgXqrXNe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0756F1-0F91-4350-9840-9CB0E8E1C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149</Pages>
  <Words>60395</Words>
  <Characters>332173</Characters>
  <Application>Microsoft Office Word</Application>
  <DocSecurity>0</DocSecurity>
  <Lines>2768</Lines>
  <Paragraphs>783</Paragraphs>
  <ScaleCrop>false</ScaleCrop>
  <HeadingPairs>
    <vt:vector size="2" baseType="variant">
      <vt:variant>
        <vt:lpstr>Título</vt:lpstr>
      </vt:variant>
      <vt:variant>
        <vt:i4>1</vt:i4>
      </vt:variant>
    </vt:vector>
  </HeadingPairs>
  <TitlesOfParts>
    <vt:vector size="1" baseType="lpstr">
      <vt:lpstr/>
    </vt:vector>
  </TitlesOfParts>
  <Company>Bankinter</Company>
  <LinksUpToDate>false</LinksUpToDate>
  <CharactersWithSpaces>391785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Alipio Conde Herrero</dc:creator>
  <cp:lastModifiedBy>AVALENTIA ABOGADOS - ÁREA ADMINISTRATIVO</cp:lastModifiedBy>
  <cp:revision>18</cp:revision>
  <cp:lastPrinted>2020-07-24T11:26:00Z</cp:lastPrinted>
  <dcterms:created xsi:type="dcterms:W3CDTF">2023-03-21T10:56:00Z</dcterms:created>
  <dcterms:modified xsi:type="dcterms:W3CDTF">2024-04-03T14:57:00Z</dcterms:modified>
</cp:coreProperties>
</file>