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1F47D2" w14:textId="77777777" w:rsidR="00E72F21" w:rsidRDefault="00E72F21" w:rsidP="00E72F21">
      <w:pPr>
        <w:spacing w:line="360" w:lineRule="auto"/>
        <w:jc w:val="center"/>
        <w:rPr>
          <w:rFonts w:eastAsia="Calibri" w:cs="Arial"/>
          <w:b/>
          <w:bCs/>
          <w:sz w:val="22"/>
          <w:szCs w:val="22"/>
          <w:u w:val="single"/>
          <w:lang w:val="es-ES_tradnl" w:eastAsia="en-US"/>
        </w:rPr>
      </w:pPr>
    </w:p>
    <w:p w14:paraId="661314CF" w14:textId="4C942F16" w:rsidR="00E72F21" w:rsidRPr="00836287" w:rsidRDefault="00E72F21" w:rsidP="00E72F21">
      <w:pPr>
        <w:pStyle w:val="Encabezado"/>
        <w:rPr>
          <w:sz w:val="20"/>
          <w:szCs w:val="20"/>
          <w:lang w:val="es-ES_tradnl"/>
        </w:rPr>
      </w:pPr>
      <w:r w:rsidRPr="00836287">
        <w:rPr>
          <w:sz w:val="20"/>
          <w:szCs w:val="20"/>
          <w:lang w:val="es-ES_tradnl"/>
        </w:rPr>
        <w:t xml:space="preserve">Procedimiento ordinario </w:t>
      </w:r>
      <w:r w:rsidR="00750E01">
        <w:rPr>
          <w:sz w:val="20"/>
          <w:szCs w:val="20"/>
          <w:highlight w:val="yellow"/>
          <w:lang w:val="es-ES_tradnl"/>
        </w:rPr>
        <w:fldChar w:fldCharType="begin"/>
      </w:r>
      <w:r w:rsidR="00750E01">
        <w:rPr>
          <w:sz w:val="20"/>
          <w:szCs w:val="20"/>
          <w:highlight w:val="yellow"/>
          <w:lang w:val="es-ES_tradnl"/>
        </w:rPr>
        <w:instrText>expedien_snumasunto</w:instrText>
      </w:r>
      <w:r w:rsidR="00750E01">
        <w:rPr>
          <w:sz w:val="20"/>
          <w:szCs w:val="20"/>
          <w:highlight w:val="yellow"/>
          <w:lang w:val="es-ES_tradnl"/>
        </w:rPr>
        <w:fldChar w:fldCharType="separate"/>
      </w:r>
      <w:r w:rsidR="00750E01">
        <w:rPr>
          <w:noProof/>
          <w:sz w:val="20"/>
          <w:szCs w:val="20"/>
          <w:highlight w:val="yellow"/>
          <w:lang w:val="es-ES_tradnl"/>
        </w:rPr>
        <w:t>«Datos_del_Expediente_Núm._Autos»</w:t>
      </w:r>
      <w:r w:rsidR="00750E01">
        <w:rPr>
          <w:sz w:val="20"/>
          <w:szCs w:val="20"/>
          <w:highlight w:val="yellow"/>
          <w:lang w:val="es-ES_tradnl"/>
        </w:rPr>
        <w:fldChar w:fldCharType="end"/>
      </w:r>
    </w:p>
    <w:p w14:paraId="05123B05" w14:textId="14CF8F21" w:rsidR="00E72F21" w:rsidRPr="00960ED9" w:rsidRDefault="00E72F21" w:rsidP="00E72F21">
      <w:pPr>
        <w:pStyle w:val="Encabezado"/>
        <w:rPr>
          <w:sz w:val="20"/>
          <w:szCs w:val="20"/>
          <w:lang w:val="es-ES"/>
        </w:rPr>
      </w:pPr>
      <w:r w:rsidRPr="00960ED9">
        <w:rPr>
          <w:sz w:val="20"/>
          <w:szCs w:val="20"/>
          <w:lang w:val="es-ES"/>
        </w:rPr>
        <w:t xml:space="preserve">Demandante: </w:t>
      </w:r>
      <w:r w:rsidR="00960ED9">
        <w:rPr>
          <w:sz w:val="20"/>
          <w:szCs w:val="20"/>
          <w:highlight w:val="yellow"/>
          <w:lang w:val="pt-PT"/>
        </w:rPr>
        <w:fldChar w:fldCharType="begin"/>
      </w:r>
      <w:r w:rsidR="00960ED9" w:rsidRPr="00960ED9">
        <w:rPr>
          <w:sz w:val="20"/>
          <w:szCs w:val="20"/>
          <w:highlight w:val="yellow"/>
          <w:lang w:val="es-ES"/>
        </w:rPr>
        <w:instrText>expedien_nombretodoscontrarios</w:instrText>
      </w:r>
      <w:r w:rsidR="00960ED9">
        <w:rPr>
          <w:sz w:val="20"/>
          <w:szCs w:val="20"/>
          <w:highlight w:val="yellow"/>
          <w:lang w:val="pt-PT"/>
        </w:rPr>
        <w:fldChar w:fldCharType="separate"/>
      </w:r>
      <w:r w:rsidR="00960ED9" w:rsidRPr="00960ED9">
        <w:rPr>
          <w:noProof/>
          <w:sz w:val="20"/>
          <w:szCs w:val="20"/>
          <w:highlight w:val="yellow"/>
          <w:lang w:val="es-ES"/>
        </w:rPr>
        <w:t>«Datos_del_Expediente_Todos_los_Contrario»</w:t>
      </w:r>
      <w:r w:rsidR="00960ED9">
        <w:rPr>
          <w:sz w:val="20"/>
          <w:szCs w:val="20"/>
          <w:highlight w:val="yellow"/>
          <w:lang w:val="pt-PT"/>
        </w:rPr>
        <w:fldChar w:fldCharType="end"/>
      </w:r>
    </w:p>
    <w:p w14:paraId="276EDEEC" w14:textId="7B71D861" w:rsidR="00E72F21" w:rsidRPr="00750E01" w:rsidRDefault="00E72F21" w:rsidP="00E72F21">
      <w:pPr>
        <w:pStyle w:val="Encabezado"/>
        <w:rPr>
          <w:sz w:val="20"/>
          <w:szCs w:val="20"/>
          <w:lang w:val="pt-PT"/>
        </w:rPr>
      </w:pPr>
      <w:r w:rsidRPr="00750E01">
        <w:rPr>
          <w:sz w:val="20"/>
          <w:szCs w:val="20"/>
          <w:lang w:val="pt-PT"/>
        </w:rPr>
        <w:t xml:space="preserve">Procurador: </w:t>
      </w:r>
      <w:r w:rsidR="0076442B">
        <w:rPr>
          <w:sz w:val="20"/>
          <w:szCs w:val="20"/>
          <w:highlight w:val="yellow"/>
          <w:lang w:val="pt-PT"/>
        </w:rPr>
        <w:fldChar w:fldCharType="begin"/>
      </w:r>
      <w:r w:rsidR="007D491C">
        <w:rPr>
          <w:sz w:val="20"/>
          <w:szCs w:val="20"/>
          <w:highlight w:val="yellow"/>
          <w:lang w:val="pt-PT"/>
        </w:rPr>
        <w:instrText>persovalores_personalizable1328</w:instrText>
      </w:r>
      <w:r w:rsidR="0076442B">
        <w:rPr>
          <w:sz w:val="20"/>
          <w:szCs w:val="20"/>
          <w:highlight w:val="yellow"/>
          <w:lang w:val="pt-PT"/>
        </w:rPr>
        <w:fldChar w:fldCharType="separate"/>
      </w:r>
      <w:r w:rsidR="0076442B">
        <w:rPr>
          <w:noProof/>
          <w:sz w:val="20"/>
          <w:szCs w:val="20"/>
          <w:highlight w:val="yellow"/>
          <w:lang w:val="pt-PT"/>
        </w:rPr>
        <w:t>«RECURSOS_APELACION_Procurador_Contrario»</w:t>
      </w:r>
      <w:r w:rsidR="0076442B">
        <w:rPr>
          <w:sz w:val="20"/>
          <w:szCs w:val="20"/>
          <w:highlight w:val="yellow"/>
          <w:lang w:val="pt-PT"/>
        </w:rPr>
        <w:fldChar w:fldCharType="end"/>
      </w:r>
    </w:p>
    <w:p w14:paraId="636ACEBC" w14:textId="21097157" w:rsidR="00E72F21" w:rsidRPr="00750E01" w:rsidRDefault="00E72F21" w:rsidP="00E72F21">
      <w:pPr>
        <w:pStyle w:val="Encabezado"/>
        <w:rPr>
          <w:sz w:val="20"/>
          <w:szCs w:val="20"/>
          <w:lang w:val="pt-PT"/>
        </w:rPr>
      </w:pPr>
      <w:r w:rsidRPr="00750E01">
        <w:rPr>
          <w:sz w:val="20"/>
          <w:szCs w:val="20"/>
          <w:lang w:val="pt-PT"/>
        </w:rPr>
        <w:t>Demandada: WIZINK BANK S.A, (</w:t>
      </w:r>
      <w:r w:rsidRPr="00750E01">
        <w:rPr>
          <w:sz w:val="20"/>
          <w:szCs w:val="20"/>
          <w:highlight w:val="yellow"/>
          <w:lang w:val="pt-PT"/>
        </w:rPr>
        <w:t xml:space="preserve">Ref </w:t>
      </w:r>
      <w:r w:rsidR="00002E62">
        <w:rPr>
          <w:sz w:val="20"/>
          <w:szCs w:val="20"/>
          <w:highlight w:val="yellow"/>
          <w:lang w:val="pt-PT"/>
        </w:rPr>
        <w:fldChar w:fldCharType="begin"/>
      </w:r>
      <w:r w:rsidR="00002E62">
        <w:rPr>
          <w:sz w:val="20"/>
          <w:szCs w:val="20"/>
          <w:highlight w:val="yellow"/>
          <w:lang w:val="pt-PT"/>
        </w:rPr>
        <w:instrText>expedien_srefcliente</w:instrText>
      </w:r>
      <w:r w:rsidR="00002E62">
        <w:rPr>
          <w:sz w:val="20"/>
          <w:szCs w:val="20"/>
          <w:highlight w:val="yellow"/>
          <w:lang w:val="pt-PT"/>
        </w:rPr>
        <w:fldChar w:fldCharType="separate"/>
      </w:r>
      <w:r w:rsidR="00002E62">
        <w:rPr>
          <w:noProof/>
          <w:sz w:val="20"/>
          <w:szCs w:val="20"/>
          <w:highlight w:val="yellow"/>
          <w:lang w:val="pt-PT"/>
        </w:rPr>
        <w:t>«Datos_del_Expediente_Ref__Expediente»</w:t>
      </w:r>
      <w:r w:rsidR="00002E62">
        <w:rPr>
          <w:sz w:val="20"/>
          <w:szCs w:val="20"/>
          <w:highlight w:val="yellow"/>
          <w:lang w:val="pt-PT"/>
        </w:rPr>
        <w:fldChar w:fldCharType="end"/>
      </w:r>
      <w:r w:rsidRPr="00750E01">
        <w:rPr>
          <w:sz w:val="20"/>
          <w:szCs w:val="20"/>
          <w:highlight w:val="yellow"/>
          <w:lang w:val="pt-PT"/>
        </w:rPr>
        <w:t>)</w:t>
      </w:r>
    </w:p>
    <w:p w14:paraId="2F8925F1" w14:textId="3F5347CF" w:rsidR="00E72F21" w:rsidRDefault="00E72F21" w:rsidP="00606E92">
      <w:pPr>
        <w:pStyle w:val="Encabezado"/>
        <w:rPr>
          <w:rFonts w:eastAsia="Calibri" w:cs="Arial"/>
          <w:b/>
          <w:bCs/>
          <w:sz w:val="22"/>
          <w:szCs w:val="22"/>
          <w:u w:val="single"/>
          <w:lang w:val="es-ES_tradnl" w:eastAsia="en-US"/>
        </w:rPr>
      </w:pPr>
      <w:proofErr w:type="spellStart"/>
      <w:r w:rsidRPr="00A8694D">
        <w:rPr>
          <w:sz w:val="20"/>
          <w:szCs w:val="20"/>
        </w:rPr>
        <w:t>Procurador</w:t>
      </w:r>
      <w:proofErr w:type="spellEnd"/>
      <w:r w:rsidRPr="00A8694D">
        <w:rPr>
          <w:sz w:val="20"/>
          <w:szCs w:val="20"/>
        </w:rPr>
        <w:t>:</w:t>
      </w:r>
      <w:r>
        <w:rPr>
          <w:sz w:val="20"/>
          <w:szCs w:val="20"/>
        </w:rPr>
        <w:t xml:space="preserve"> </w:t>
      </w:r>
      <w:r w:rsidR="00606E92" w:rsidRPr="00557B41">
        <w:rPr>
          <w:sz w:val="20"/>
          <w:szCs w:val="20"/>
          <w:highlight w:val="yellow"/>
        </w:rPr>
        <w:fldChar w:fldCharType="begin"/>
      </w:r>
      <w:r w:rsidR="00557B41" w:rsidRPr="00557B41">
        <w:rPr>
          <w:sz w:val="20"/>
          <w:szCs w:val="20"/>
          <w:highlight w:val="yellow"/>
        </w:rPr>
        <w:instrText>procpro_snombrepro__1</w:instrText>
      </w:r>
      <w:r w:rsidR="00606E92" w:rsidRPr="00557B41">
        <w:rPr>
          <w:sz w:val="20"/>
          <w:szCs w:val="20"/>
          <w:highlight w:val="yellow"/>
        </w:rPr>
        <w:fldChar w:fldCharType="separate"/>
      </w:r>
      <w:r w:rsidR="00606E92" w:rsidRPr="00557B41">
        <w:rPr>
          <w:noProof/>
          <w:sz w:val="20"/>
          <w:szCs w:val="20"/>
          <w:highlight w:val="yellow"/>
        </w:rPr>
        <w:t>«Procuradores_Propios_Nombre»</w:t>
      </w:r>
      <w:r w:rsidR="00606E92" w:rsidRPr="00557B41">
        <w:rPr>
          <w:sz w:val="20"/>
          <w:szCs w:val="20"/>
          <w:highlight w:val="yellow"/>
        </w:rPr>
        <w:fldChar w:fldCharType="end"/>
      </w:r>
    </w:p>
    <w:p w14:paraId="3B815F53" w14:textId="77777777" w:rsidR="00E72F21" w:rsidRDefault="00E72F21" w:rsidP="00E72F21">
      <w:pPr>
        <w:spacing w:line="360" w:lineRule="auto"/>
        <w:jc w:val="center"/>
        <w:rPr>
          <w:rFonts w:eastAsia="Calibri" w:cs="Arial"/>
          <w:b/>
          <w:bCs/>
          <w:sz w:val="22"/>
          <w:szCs w:val="22"/>
          <w:u w:val="single"/>
          <w:lang w:val="es-ES_tradnl" w:eastAsia="en-US"/>
        </w:rPr>
      </w:pPr>
    </w:p>
    <w:p w14:paraId="7BC259AD" w14:textId="3906347C" w:rsidR="003B6B7F" w:rsidRPr="0035774E" w:rsidRDefault="003B6B7F" w:rsidP="003B6B7F">
      <w:pPr>
        <w:spacing w:line="360" w:lineRule="auto"/>
        <w:jc w:val="center"/>
        <w:rPr>
          <w:rFonts w:eastAsia="Calibri" w:cs="Arial"/>
          <w:b/>
          <w:bCs/>
          <w:sz w:val="22"/>
          <w:szCs w:val="22"/>
          <w:u w:val="single"/>
          <w:lang w:val="es-ES_tradnl" w:eastAsia="en-US"/>
        </w:rPr>
      </w:pPr>
      <w:r w:rsidRPr="0035774E">
        <w:rPr>
          <w:rFonts w:eastAsia="Calibri" w:cs="Arial"/>
          <w:b/>
          <w:bCs/>
          <w:sz w:val="22"/>
          <w:szCs w:val="22"/>
          <w:u w:val="single"/>
          <w:lang w:val="es-ES_tradnl" w:eastAsia="en-US"/>
        </w:rPr>
        <w:t xml:space="preserve">AL </w:t>
      </w:r>
      <w:r>
        <w:rPr>
          <w:rFonts w:eastAsia="Calibri" w:cs="Arial"/>
          <w:b/>
          <w:bCs/>
          <w:sz w:val="22"/>
          <w:szCs w:val="22"/>
          <w:u w:val="single"/>
          <w:lang w:val="es-ES_tradnl" w:eastAsia="en-US"/>
        </w:rPr>
        <w:fldChar w:fldCharType="begin"/>
      </w:r>
      <w:r>
        <w:rPr>
          <w:rFonts w:eastAsia="Calibri" w:cs="Arial"/>
          <w:b/>
          <w:bCs/>
          <w:sz w:val="22"/>
          <w:szCs w:val="22"/>
          <w:u w:val="single"/>
          <w:lang w:val="es-ES_tradnl" w:eastAsia="en-US"/>
        </w:rPr>
        <w:instrText>juzgadoprincipal_juzgado</w:instrText>
      </w:r>
      <w:r>
        <w:rPr>
          <w:rFonts w:eastAsia="Calibri" w:cs="Arial"/>
          <w:b/>
          <w:bCs/>
          <w:sz w:val="22"/>
          <w:szCs w:val="22"/>
          <w:u w:val="single"/>
          <w:lang w:val="es-ES_tradnl" w:eastAsia="en-US"/>
        </w:rPr>
        <w:fldChar w:fldCharType="separate"/>
      </w:r>
      <w:r>
        <w:rPr>
          <w:rFonts w:eastAsia="Calibri" w:cs="Arial"/>
          <w:b/>
          <w:bCs/>
          <w:noProof/>
          <w:sz w:val="22"/>
          <w:szCs w:val="22"/>
          <w:u w:val="single"/>
          <w:lang w:val="es-ES_tradnl" w:eastAsia="en-US"/>
        </w:rPr>
        <w:t>«Juzgado_Principal_Nombre»</w:t>
      </w:r>
      <w:r>
        <w:rPr>
          <w:rFonts w:eastAsia="Calibri" w:cs="Arial"/>
          <w:b/>
          <w:bCs/>
          <w:sz w:val="22"/>
          <w:szCs w:val="22"/>
          <w:u w:val="single"/>
          <w:lang w:val="es-ES_tradnl" w:eastAsia="en-US"/>
        </w:rPr>
        <w:fldChar w:fldCharType="end"/>
      </w:r>
      <w:r>
        <w:rPr>
          <w:rFonts w:eastAsia="Calibri" w:cs="Arial"/>
          <w:b/>
          <w:bCs/>
          <w:sz w:val="22"/>
          <w:szCs w:val="22"/>
          <w:u w:val="single"/>
          <w:lang w:val="es-ES_tradnl" w:eastAsia="en-US"/>
        </w:rPr>
        <w:t xml:space="preserve"> </w:t>
      </w:r>
      <w:r w:rsidRPr="0035774E">
        <w:rPr>
          <w:rFonts w:eastAsia="Calibri" w:cs="Arial"/>
          <w:b/>
          <w:bCs/>
          <w:sz w:val="22"/>
          <w:szCs w:val="22"/>
          <w:u w:val="single"/>
          <w:lang w:val="es-ES_tradnl" w:eastAsia="en-US"/>
        </w:rPr>
        <w:t xml:space="preserve">PARA ANTE LA AUDIENCIA PROVINCIAL DE </w:t>
      </w:r>
      <w:r w:rsidRPr="005B14A5">
        <w:rPr>
          <w:rFonts w:eastAsia="Calibri" w:cs="Arial"/>
          <w:b/>
          <w:bCs/>
          <w:sz w:val="22"/>
          <w:szCs w:val="22"/>
          <w:highlight w:val="yellow"/>
          <w:u w:val="single"/>
          <w:lang w:val="es-ES_tradnl" w:eastAsia="en-US"/>
        </w:rPr>
        <w:t>X</w:t>
      </w:r>
    </w:p>
    <w:p w14:paraId="4FD54A9E" w14:textId="77777777" w:rsidR="00E72F21" w:rsidRPr="0035774E" w:rsidRDefault="00E72F21" w:rsidP="00E72F21">
      <w:pPr>
        <w:spacing w:line="360" w:lineRule="auto"/>
        <w:jc w:val="center"/>
        <w:rPr>
          <w:rFonts w:eastAsia="Calibri" w:cs="Arial"/>
          <w:b/>
          <w:bCs/>
          <w:sz w:val="22"/>
          <w:szCs w:val="22"/>
          <w:u w:val="single"/>
          <w:lang w:val="es-ES_tradnl" w:eastAsia="en-US"/>
        </w:rPr>
      </w:pPr>
    </w:p>
    <w:p w14:paraId="449C7D05" w14:textId="2515D2A2" w:rsidR="00E72F21" w:rsidRPr="0035774E" w:rsidRDefault="00557B41" w:rsidP="00E72F21">
      <w:pPr>
        <w:spacing w:line="360" w:lineRule="auto"/>
        <w:rPr>
          <w:rFonts w:eastAsia="Arial Narrow" w:cs="Arial"/>
          <w:sz w:val="22"/>
          <w:szCs w:val="22"/>
          <w:lang w:val="es-ES" w:eastAsia="en-US"/>
        </w:rPr>
      </w:pPr>
      <w:r w:rsidRPr="00557B41">
        <w:rPr>
          <w:rFonts w:eastAsia="Arial Narrow" w:cs="Arial"/>
          <w:b/>
          <w:sz w:val="22"/>
          <w:szCs w:val="22"/>
          <w:highlight w:val="yellow"/>
          <w:lang w:val="es-ES" w:eastAsia="en-US"/>
        </w:rPr>
        <w:fldChar w:fldCharType="begin"/>
      </w:r>
      <w:r w:rsidRPr="00557B41">
        <w:rPr>
          <w:rFonts w:eastAsia="Arial Narrow" w:cs="Arial"/>
          <w:b/>
          <w:sz w:val="22"/>
          <w:szCs w:val="22"/>
          <w:highlight w:val="yellow"/>
          <w:lang w:val="es-ES" w:eastAsia="en-US"/>
        </w:rPr>
        <w:instrText>procpro_snombrepro__1</w:instrText>
      </w:r>
      <w:r w:rsidRPr="00557B41">
        <w:rPr>
          <w:rFonts w:eastAsia="Arial Narrow" w:cs="Arial"/>
          <w:b/>
          <w:sz w:val="22"/>
          <w:szCs w:val="22"/>
          <w:highlight w:val="yellow"/>
          <w:lang w:val="es-ES" w:eastAsia="en-US"/>
        </w:rPr>
        <w:fldChar w:fldCharType="separate"/>
      </w:r>
      <w:r w:rsidRPr="00557B41">
        <w:rPr>
          <w:rFonts w:eastAsia="Arial Narrow" w:cs="Arial"/>
          <w:b/>
          <w:noProof/>
          <w:sz w:val="22"/>
          <w:szCs w:val="22"/>
          <w:highlight w:val="yellow"/>
          <w:lang w:val="es-ES" w:eastAsia="en-US"/>
        </w:rPr>
        <w:t>«Procuradores_Propios_Nombre»</w:t>
      </w:r>
      <w:r w:rsidRPr="00557B41">
        <w:rPr>
          <w:rFonts w:eastAsia="Arial Narrow" w:cs="Arial"/>
          <w:b/>
          <w:sz w:val="22"/>
          <w:szCs w:val="22"/>
          <w:highlight w:val="yellow"/>
          <w:lang w:val="es-ES" w:eastAsia="en-US"/>
        </w:rPr>
        <w:fldChar w:fldCharType="end"/>
      </w:r>
      <w:r w:rsidR="00E72F21" w:rsidRPr="0035774E">
        <w:rPr>
          <w:rFonts w:eastAsia="Arial Narrow" w:cs="Arial"/>
          <w:sz w:val="22"/>
          <w:szCs w:val="22"/>
          <w:lang w:val="es-ES" w:eastAsia="en-US"/>
        </w:rPr>
        <w:t xml:space="preserve">, Procuradora de los Tribunales y de </w:t>
      </w:r>
      <w:r w:rsidR="00E72F21" w:rsidRPr="0035774E">
        <w:rPr>
          <w:rFonts w:eastAsia="Arial Narrow" w:cs="Arial"/>
          <w:b/>
          <w:sz w:val="22"/>
          <w:szCs w:val="22"/>
          <w:lang w:val="es-ES" w:eastAsia="en-US"/>
        </w:rPr>
        <w:t xml:space="preserve">Wizink Bank, S. A. </w:t>
      </w:r>
      <w:r w:rsidR="00E72F21" w:rsidRPr="0035774E">
        <w:rPr>
          <w:rFonts w:eastAsia="Arial Narrow" w:cs="Arial"/>
          <w:sz w:val="22"/>
          <w:szCs w:val="22"/>
          <w:lang w:val="es-ES" w:eastAsia="en-US"/>
        </w:rPr>
        <w:t>(“</w:t>
      </w:r>
      <w:r w:rsidR="00E72F21" w:rsidRPr="0035774E">
        <w:rPr>
          <w:rFonts w:eastAsia="Arial Narrow" w:cs="Arial"/>
          <w:b/>
          <w:sz w:val="22"/>
          <w:szCs w:val="22"/>
          <w:lang w:val="es-ES" w:eastAsia="en-US"/>
        </w:rPr>
        <w:t>Wizink</w:t>
      </w:r>
      <w:r w:rsidR="00E72F21" w:rsidRPr="0035774E">
        <w:rPr>
          <w:rFonts w:eastAsia="Arial Narrow" w:cs="Arial"/>
          <w:sz w:val="22"/>
          <w:szCs w:val="22"/>
          <w:lang w:val="es-ES" w:eastAsia="en-US"/>
        </w:rPr>
        <w:t xml:space="preserve">”), según tengo acreditado en los autos al margen referenciados, </w:t>
      </w:r>
      <w:r w:rsidR="00E72F21" w:rsidRPr="00716557">
        <w:rPr>
          <w:rFonts w:eastAsia="Calibri" w:cs="Arial"/>
          <w:sz w:val="22"/>
          <w:szCs w:val="22"/>
          <w:lang w:val="es-ES_tradnl" w:eastAsia="en-US"/>
        </w:rPr>
        <w:t xml:space="preserve">ante el Juzgado comparezco bajo la dirección letrada de </w:t>
      </w:r>
      <w:r w:rsidR="00E72F21" w:rsidRPr="007A0AFD">
        <w:rPr>
          <w:rFonts w:eastAsia="Calibri" w:cs="Arial"/>
          <w:bCs/>
          <w:sz w:val="22"/>
          <w:szCs w:val="22"/>
          <w:lang w:val="es-ES_tradnl" w:eastAsia="en-US"/>
        </w:rPr>
        <w:t xml:space="preserve">AITANA BERMÚDEZ </w:t>
      </w:r>
      <w:proofErr w:type="spellStart"/>
      <w:r w:rsidR="00E72F21" w:rsidRPr="007A0AFD">
        <w:rPr>
          <w:rFonts w:eastAsia="Calibri" w:cs="Arial"/>
          <w:bCs/>
          <w:sz w:val="22"/>
          <w:szCs w:val="22"/>
          <w:lang w:val="es-ES_tradnl" w:eastAsia="en-US"/>
        </w:rPr>
        <w:t>BERMÚDEZ</w:t>
      </w:r>
      <w:proofErr w:type="spellEnd"/>
      <w:r w:rsidR="00E72F21">
        <w:rPr>
          <w:rFonts w:eastAsia="Calibri" w:cs="Arial"/>
          <w:bCs/>
          <w:sz w:val="22"/>
          <w:szCs w:val="22"/>
          <w:lang w:val="es-ES_tradnl" w:eastAsia="en-US"/>
        </w:rPr>
        <w:t>,</w:t>
      </w:r>
      <w:r w:rsidR="00E72F21" w:rsidRPr="00716557">
        <w:rPr>
          <w:rFonts w:eastAsia="Calibri" w:cs="Arial"/>
          <w:sz w:val="22"/>
          <w:szCs w:val="22"/>
          <w:lang w:val="es-ES_tradnl" w:eastAsia="en-US"/>
        </w:rPr>
        <w:t xml:space="preserve"> </w:t>
      </w:r>
      <w:r w:rsidR="00E72F21">
        <w:rPr>
          <w:rFonts w:eastAsia="Calibri" w:cs="Arial"/>
          <w:sz w:val="22"/>
          <w:szCs w:val="22"/>
          <w:lang w:val="es-ES" w:eastAsia="en-US"/>
        </w:rPr>
        <w:t>y</w:t>
      </w:r>
      <w:r w:rsidR="00E72F21" w:rsidRPr="00716557">
        <w:rPr>
          <w:rFonts w:eastAsia="Calibri" w:cs="Arial"/>
          <w:bCs/>
          <w:sz w:val="22"/>
          <w:szCs w:val="22"/>
          <w:lang w:val="es-ES" w:eastAsia="en-US"/>
        </w:rPr>
        <w:t xml:space="preserve"> </w:t>
      </w:r>
      <w:r w:rsidR="00E72F21" w:rsidRPr="0035774E">
        <w:rPr>
          <w:rFonts w:eastAsia="Arial Narrow" w:cs="Arial"/>
          <w:sz w:val="22"/>
          <w:szCs w:val="22"/>
          <w:lang w:val="es-ES" w:eastAsia="en-US"/>
        </w:rPr>
        <w:t xml:space="preserve">como mejor proceda en Derecho, </w:t>
      </w:r>
      <w:r w:rsidR="00E72F21" w:rsidRPr="0035774E">
        <w:rPr>
          <w:rFonts w:eastAsia="Arial Narrow" w:cs="Arial"/>
          <w:b/>
          <w:sz w:val="22"/>
          <w:szCs w:val="22"/>
          <w:lang w:val="es-ES" w:eastAsia="en-US"/>
        </w:rPr>
        <w:t>DIGO</w:t>
      </w:r>
      <w:r w:rsidR="00E72F21" w:rsidRPr="0035774E">
        <w:rPr>
          <w:rFonts w:eastAsia="Arial Narrow" w:cs="Arial"/>
          <w:sz w:val="22"/>
          <w:szCs w:val="22"/>
          <w:lang w:val="es-ES" w:eastAsia="en-US"/>
        </w:rPr>
        <w:t>:</w:t>
      </w:r>
    </w:p>
    <w:p w14:paraId="4274F8B1" w14:textId="77777777" w:rsidR="00E72F21" w:rsidRPr="0035774E" w:rsidRDefault="00E72F21" w:rsidP="00E72F21">
      <w:pPr>
        <w:spacing w:line="360" w:lineRule="auto"/>
        <w:rPr>
          <w:rFonts w:eastAsia="Arial Narrow" w:cs="Arial"/>
          <w:sz w:val="22"/>
          <w:szCs w:val="22"/>
          <w:lang w:val="es-ES" w:eastAsia="en-US"/>
        </w:rPr>
      </w:pPr>
    </w:p>
    <w:p w14:paraId="1C7569E8" w14:textId="6865C20B" w:rsidR="00E72F21" w:rsidRPr="0035774E" w:rsidRDefault="00E72F21" w:rsidP="00E72F21">
      <w:pPr>
        <w:pStyle w:val="Prrafodelista"/>
        <w:numPr>
          <w:ilvl w:val="0"/>
          <w:numId w:val="12"/>
        </w:numPr>
        <w:spacing w:line="360" w:lineRule="auto"/>
        <w:ind w:left="567" w:hanging="567"/>
        <w:rPr>
          <w:rFonts w:eastAsia="Arial Narrow" w:cs="Arial"/>
          <w:sz w:val="22"/>
          <w:szCs w:val="22"/>
          <w:lang w:val="es-ES" w:eastAsia="en-US"/>
        </w:rPr>
      </w:pPr>
      <w:r w:rsidRPr="0035774E">
        <w:rPr>
          <w:rFonts w:eastAsia="Arial Narrow" w:cs="Arial"/>
          <w:sz w:val="22"/>
          <w:szCs w:val="22"/>
          <w:lang w:val="es-ES" w:eastAsia="en-US"/>
        </w:rPr>
        <w:t xml:space="preserve">En fecha </w:t>
      </w:r>
      <w:r w:rsidR="005C4D5E">
        <w:rPr>
          <w:rFonts w:eastAsia="Arial Narrow" w:cs="Arial"/>
          <w:sz w:val="22"/>
          <w:szCs w:val="22"/>
          <w:highlight w:val="yellow"/>
          <w:lang w:val="es-ES" w:eastAsia="en-US"/>
        </w:rPr>
        <w:fldChar w:fldCharType="begin"/>
      </w:r>
      <w:r w:rsidR="005C4D5E">
        <w:rPr>
          <w:rFonts w:eastAsia="Arial Narrow" w:cs="Arial"/>
          <w:sz w:val="22"/>
          <w:szCs w:val="22"/>
          <w:highlight w:val="yellow"/>
          <w:lang w:val="es-ES" w:eastAsia="en-US"/>
        </w:rPr>
        <w:instrText>persovalores_personalizable1383</w:instrText>
      </w:r>
      <w:r w:rsidR="005C4D5E">
        <w:rPr>
          <w:rFonts w:eastAsia="Arial Narrow" w:cs="Arial"/>
          <w:sz w:val="22"/>
          <w:szCs w:val="22"/>
          <w:highlight w:val="yellow"/>
          <w:lang w:val="es-ES" w:eastAsia="en-US"/>
        </w:rPr>
        <w:fldChar w:fldCharType="separate"/>
      </w:r>
      <w:r w:rsidR="005C4D5E">
        <w:rPr>
          <w:rFonts w:eastAsia="Arial Narrow" w:cs="Arial"/>
          <w:noProof/>
          <w:sz w:val="22"/>
          <w:szCs w:val="22"/>
          <w:highlight w:val="yellow"/>
          <w:lang w:val="es-ES" w:eastAsia="en-US"/>
        </w:rPr>
        <w:t>«RECURSOS_APELACION_Fecha_notificación_se»</w:t>
      </w:r>
      <w:r w:rsidR="005C4D5E">
        <w:rPr>
          <w:rFonts w:eastAsia="Arial Narrow" w:cs="Arial"/>
          <w:sz w:val="22"/>
          <w:szCs w:val="22"/>
          <w:highlight w:val="yellow"/>
          <w:lang w:val="es-ES" w:eastAsia="en-US"/>
        </w:rPr>
        <w:fldChar w:fldCharType="end"/>
      </w:r>
      <w:r w:rsidRPr="0035774E">
        <w:rPr>
          <w:rFonts w:eastAsia="Arial Narrow" w:cs="Arial"/>
          <w:sz w:val="22"/>
          <w:szCs w:val="22"/>
          <w:lang w:val="es-ES" w:eastAsia="en-US"/>
        </w:rPr>
        <w:t xml:space="preserve"> ha sido notificada a esta parte la Sentencia núm. </w:t>
      </w:r>
      <w:r w:rsidR="00F60DCF">
        <w:rPr>
          <w:rFonts w:eastAsia="Arial Narrow" w:cs="Arial"/>
          <w:sz w:val="22"/>
          <w:szCs w:val="22"/>
          <w:highlight w:val="yellow"/>
          <w:lang w:val="es-ES" w:eastAsia="en-US"/>
        </w:rPr>
        <w:fldChar w:fldCharType="begin"/>
      </w:r>
      <w:r w:rsidR="00F60DCF">
        <w:rPr>
          <w:rFonts w:eastAsia="Arial Narrow" w:cs="Arial"/>
          <w:sz w:val="22"/>
          <w:szCs w:val="22"/>
          <w:highlight w:val="yellow"/>
          <w:lang w:val="es-ES" w:eastAsia="en-US"/>
        </w:rPr>
        <w:instrText>persovalores_personalizable1347</w:instrText>
      </w:r>
      <w:r w:rsidR="00F60DCF">
        <w:rPr>
          <w:rFonts w:eastAsia="Arial Narrow" w:cs="Arial"/>
          <w:sz w:val="22"/>
          <w:szCs w:val="22"/>
          <w:highlight w:val="yellow"/>
          <w:lang w:val="es-ES" w:eastAsia="en-US"/>
        </w:rPr>
        <w:fldChar w:fldCharType="separate"/>
      </w:r>
      <w:r w:rsidR="00F60DCF">
        <w:rPr>
          <w:rFonts w:eastAsia="Arial Narrow" w:cs="Arial"/>
          <w:noProof/>
          <w:sz w:val="22"/>
          <w:szCs w:val="22"/>
          <w:highlight w:val="yellow"/>
          <w:lang w:val="es-ES" w:eastAsia="en-US"/>
        </w:rPr>
        <w:t>«RECURSOS_APELACION_Nº_Sentencia»</w:t>
      </w:r>
      <w:r w:rsidR="00F60DCF">
        <w:rPr>
          <w:rFonts w:eastAsia="Arial Narrow" w:cs="Arial"/>
          <w:sz w:val="22"/>
          <w:szCs w:val="22"/>
          <w:highlight w:val="yellow"/>
          <w:lang w:val="es-ES" w:eastAsia="en-US"/>
        </w:rPr>
        <w:fldChar w:fldCharType="end"/>
      </w:r>
      <w:r w:rsidR="00C845C3">
        <w:rPr>
          <w:rFonts w:eastAsia="Arial Narrow" w:cs="Arial"/>
          <w:sz w:val="22"/>
          <w:szCs w:val="22"/>
          <w:lang w:val="es-ES" w:eastAsia="en-US"/>
        </w:rPr>
        <w:t xml:space="preserve"> </w:t>
      </w:r>
      <w:r w:rsidRPr="0035774E">
        <w:rPr>
          <w:rFonts w:eastAsia="Arial Narrow" w:cs="Arial"/>
          <w:sz w:val="22"/>
          <w:szCs w:val="22"/>
          <w:lang w:val="es-ES" w:eastAsia="en-US"/>
        </w:rPr>
        <w:t xml:space="preserve">de fecha </w:t>
      </w:r>
      <w:r w:rsidR="00F60DCF">
        <w:rPr>
          <w:rFonts w:eastAsia="Arial Narrow" w:cs="Arial"/>
          <w:sz w:val="22"/>
          <w:szCs w:val="22"/>
          <w:highlight w:val="yellow"/>
          <w:lang w:val="es-ES" w:eastAsia="en-US"/>
        </w:rPr>
        <w:fldChar w:fldCharType="begin"/>
      </w:r>
      <w:r w:rsidR="00F60DCF">
        <w:rPr>
          <w:rFonts w:eastAsia="Arial Narrow" w:cs="Arial"/>
          <w:sz w:val="22"/>
          <w:szCs w:val="22"/>
          <w:highlight w:val="yellow"/>
          <w:lang w:val="es-ES" w:eastAsia="en-US"/>
        </w:rPr>
        <w:instrText>persovalores_personalizable1348</w:instrText>
      </w:r>
      <w:r w:rsidR="00F60DCF">
        <w:rPr>
          <w:rFonts w:eastAsia="Arial Narrow" w:cs="Arial"/>
          <w:sz w:val="22"/>
          <w:szCs w:val="22"/>
          <w:highlight w:val="yellow"/>
          <w:lang w:val="es-ES" w:eastAsia="en-US"/>
        </w:rPr>
        <w:fldChar w:fldCharType="separate"/>
      </w:r>
      <w:r w:rsidR="00F60DCF">
        <w:rPr>
          <w:rFonts w:eastAsia="Arial Narrow" w:cs="Arial"/>
          <w:noProof/>
          <w:sz w:val="22"/>
          <w:szCs w:val="22"/>
          <w:highlight w:val="yellow"/>
          <w:lang w:val="es-ES" w:eastAsia="en-US"/>
        </w:rPr>
        <w:t>«RECURSOS_APELACION_Fecha_Sentencia»</w:t>
      </w:r>
      <w:r w:rsidR="00F60DCF">
        <w:rPr>
          <w:rFonts w:eastAsia="Arial Narrow" w:cs="Arial"/>
          <w:sz w:val="22"/>
          <w:szCs w:val="22"/>
          <w:highlight w:val="yellow"/>
          <w:lang w:val="es-ES" w:eastAsia="en-US"/>
        </w:rPr>
        <w:fldChar w:fldCharType="end"/>
      </w:r>
      <w:r w:rsidR="00C845C3">
        <w:rPr>
          <w:rFonts w:eastAsia="Arial Narrow" w:cs="Arial"/>
          <w:sz w:val="22"/>
          <w:szCs w:val="22"/>
          <w:lang w:val="es-ES" w:eastAsia="en-US"/>
        </w:rPr>
        <w:t xml:space="preserve"> </w:t>
      </w:r>
      <w:r w:rsidRPr="0035774E">
        <w:rPr>
          <w:rFonts w:eastAsia="Arial Narrow" w:cs="Arial"/>
          <w:sz w:val="22"/>
          <w:szCs w:val="22"/>
          <w:lang w:val="es-ES" w:eastAsia="en-US"/>
        </w:rPr>
        <w:t xml:space="preserve">del </w:t>
      </w:r>
      <w:r w:rsidR="007246DA" w:rsidRPr="00F60DCF">
        <w:rPr>
          <w:rFonts w:eastAsia="Arial Narrow" w:cs="Arial"/>
          <w:sz w:val="22"/>
          <w:szCs w:val="22"/>
          <w:highlight w:val="yellow"/>
          <w:lang w:val="es-ES" w:eastAsia="en-US"/>
        </w:rPr>
        <w:fldChar w:fldCharType="begin"/>
      </w:r>
      <w:r w:rsidR="007246DA" w:rsidRPr="00F60DCF">
        <w:rPr>
          <w:rFonts w:eastAsia="Arial Narrow" w:cs="Arial"/>
          <w:sz w:val="22"/>
          <w:szCs w:val="22"/>
          <w:highlight w:val="yellow"/>
          <w:lang w:val="es-ES" w:eastAsia="en-US"/>
        </w:rPr>
        <w:instrText>juzgado_juzgado__1</w:instrText>
      </w:r>
      <w:r w:rsidR="007246DA" w:rsidRPr="00F60DCF">
        <w:rPr>
          <w:rFonts w:eastAsia="Arial Narrow" w:cs="Arial"/>
          <w:sz w:val="22"/>
          <w:szCs w:val="22"/>
          <w:highlight w:val="yellow"/>
          <w:lang w:val="es-ES" w:eastAsia="en-US"/>
        </w:rPr>
        <w:fldChar w:fldCharType="separate"/>
      </w:r>
      <w:r w:rsidR="007246DA" w:rsidRPr="00F60DCF">
        <w:rPr>
          <w:rFonts w:eastAsia="Arial Narrow" w:cs="Arial"/>
          <w:noProof/>
          <w:sz w:val="22"/>
          <w:szCs w:val="22"/>
          <w:highlight w:val="yellow"/>
          <w:lang w:val="es-ES" w:eastAsia="en-US"/>
        </w:rPr>
        <w:t>«Juzgados_Nombre»</w:t>
      </w:r>
      <w:r w:rsidR="007246DA" w:rsidRPr="00F60DCF">
        <w:rPr>
          <w:rFonts w:eastAsia="Arial Narrow" w:cs="Arial"/>
          <w:sz w:val="22"/>
          <w:szCs w:val="22"/>
          <w:highlight w:val="yellow"/>
          <w:lang w:val="es-ES" w:eastAsia="en-US"/>
        </w:rPr>
        <w:fldChar w:fldCharType="end"/>
      </w:r>
      <w:r w:rsidRPr="0035774E">
        <w:rPr>
          <w:rFonts w:eastAsia="Arial Narrow" w:cs="Arial"/>
          <w:sz w:val="22"/>
          <w:szCs w:val="22"/>
          <w:lang w:val="es-ES" w:eastAsia="en-US"/>
        </w:rPr>
        <w:t xml:space="preserve"> </w:t>
      </w:r>
      <w:r w:rsidRPr="0035774E">
        <w:rPr>
          <w:rFonts w:eastAsia="Arial Narrow" w:cs="Arial"/>
          <w:sz w:val="22"/>
          <w:szCs w:val="22"/>
          <w:lang w:val="es-ES_tradnl" w:eastAsia="en-US"/>
        </w:rPr>
        <w:t>(la “</w:t>
      </w:r>
      <w:r w:rsidRPr="0035774E">
        <w:rPr>
          <w:rFonts w:eastAsia="Arial Narrow" w:cs="Arial"/>
          <w:b/>
          <w:sz w:val="22"/>
          <w:szCs w:val="22"/>
          <w:lang w:val="es-ES_tradnl" w:eastAsia="en-US"/>
        </w:rPr>
        <w:t>Sentencia</w:t>
      </w:r>
      <w:r w:rsidRPr="0035774E">
        <w:rPr>
          <w:rFonts w:eastAsia="Arial Narrow" w:cs="Arial"/>
          <w:sz w:val="22"/>
          <w:szCs w:val="22"/>
          <w:lang w:val="es-ES_tradnl" w:eastAsia="en-US"/>
        </w:rPr>
        <w:t>” o la “</w:t>
      </w:r>
      <w:r w:rsidRPr="0035774E">
        <w:rPr>
          <w:rFonts w:eastAsia="Arial Narrow" w:cs="Arial"/>
          <w:b/>
          <w:sz w:val="22"/>
          <w:szCs w:val="22"/>
          <w:lang w:val="es-ES_tradnl" w:eastAsia="en-US"/>
        </w:rPr>
        <w:t>Sentencia recurrida</w:t>
      </w:r>
      <w:r w:rsidRPr="0035774E">
        <w:rPr>
          <w:rFonts w:eastAsia="Arial Narrow" w:cs="Arial"/>
          <w:sz w:val="22"/>
          <w:szCs w:val="22"/>
          <w:lang w:val="es-ES_tradnl" w:eastAsia="en-US"/>
        </w:rPr>
        <w:t xml:space="preserve">”) que estima la demanda presentada por </w:t>
      </w:r>
      <w:r w:rsidRPr="005B14A5">
        <w:rPr>
          <w:rFonts w:eastAsia="Arial Narrow" w:cs="Arial"/>
          <w:sz w:val="22"/>
          <w:szCs w:val="22"/>
          <w:highlight w:val="yellow"/>
          <w:lang w:val="es-ES" w:eastAsia="en-US"/>
        </w:rPr>
        <w:t>D./Dña</w:t>
      </w:r>
      <w:r>
        <w:rPr>
          <w:rFonts w:eastAsia="Arial Narrow" w:cs="Arial"/>
          <w:sz w:val="22"/>
          <w:szCs w:val="22"/>
          <w:lang w:val="es-ES" w:eastAsia="en-US"/>
        </w:rPr>
        <w:t>.</w:t>
      </w:r>
      <w:r w:rsidRPr="0035774E">
        <w:rPr>
          <w:rFonts w:eastAsia="Arial Narrow" w:cs="Arial"/>
          <w:sz w:val="22"/>
          <w:szCs w:val="22"/>
          <w:lang w:val="es-ES" w:eastAsia="en-US"/>
        </w:rPr>
        <w:t xml:space="preserve"> </w:t>
      </w:r>
      <w:r w:rsidR="00123CBB">
        <w:rPr>
          <w:rFonts w:eastAsia="Arial Narrow" w:cs="Arial"/>
          <w:sz w:val="22"/>
          <w:szCs w:val="22"/>
          <w:highlight w:val="yellow"/>
          <w:lang w:val="es-ES" w:eastAsia="en-US"/>
        </w:rPr>
        <w:fldChar w:fldCharType="begin"/>
      </w:r>
      <w:r w:rsidR="00123CBB">
        <w:rPr>
          <w:rFonts w:eastAsia="Arial Narrow" w:cs="Arial"/>
          <w:sz w:val="22"/>
          <w:szCs w:val="22"/>
          <w:highlight w:val="yellow"/>
          <w:lang w:val="es-ES" w:eastAsia="en-US"/>
        </w:rPr>
        <w:instrText>cliecont_snombreclicon__1</w:instrText>
      </w:r>
      <w:r w:rsidR="00123CBB">
        <w:rPr>
          <w:rFonts w:eastAsia="Arial Narrow" w:cs="Arial"/>
          <w:sz w:val="22"/>
          <w:szCs w:val="22"/>
          <w:highlight w:val="yellow"/>
          <w:lang w:val="es-ES" w:eastAsia="en-US"/>
        </w:rPr>
        <w:fldChar w:fldCharType="separate"/>
      </w:r>
      <w:r w:rsidR="00123CBB">
        <w:rPr>
          <w:rFonts w:eastAsia="Arial Narrow" w:cs="Arial"/>
          <w:noProof/>
          <w:sz w:val="22"/>
          <w:szCs w:val="22"/>
          <w:highlight w:val="yellow"/>
          <w:lang w:val="es-ES" w:eastAsia="en-US"/>
        </w:rPr>
        <w:t>«Contrarios_Nombre»</w:t>
      </w:r>
      <w:r w:rsidR="00123CBB">
        <w:rPr>
          <w:rFonts w:eastAsia="Arial Narrow" w:cs="Arial"/>
          <w:sz w:val="22"/>
          <w:szCs w:val="22"/>
          <w:highlight w:val="yellow"/>
          <w:lang w:val="es-ES" w:eastAsia="en-US"/>
        </w:rPr>
        <w:fldChar w:fldCharType="end"/>
      </w:r>
      <w:r w:rsidR="00123CBB">
        <w:rPr>
          <w:rFonts w:eastAsia="Arial Narrow" w:cs="Arial"/>
          <w:sz w:val="22"/>
          <w:szCs w:val="22"/>
          <w:lang w:val="es-ES" w:eastAsia="en-US"/>
        </w:rPr>
        <w:t xml:space="preserve"> </w:t>
      </w:r>
      <w:r w:rsidRPr="0035774E">
        <w:rPr>
          <w:rFonts w:eastAsia="Arial Narrow" w:cs="Arial"/>
          <w:sz w:val="22"/>
          <w:szCs w:val="22"/>
          <w:lang w:val="es-ES_tradnl" w:eastAsia="en-US"/>
        </w:rPr>
        <w:t>(</w:t>
      </w:r>
      <w:r w:rsidRPr="005B14A5">
        <w:rPr>
          <w:rFonts w:eastAsia="Arial Narrow" w:cs="Arial"/>
          <w:sz w:val="22"/>
          <w:szCs w:val="22"/>
          <w:highlight w:val="yellow"/>
          <w:lang w:val="es-ES_tradnl" w:eastAsia="en-US"/>
        </w:rPr>
        <w:t>el/la</w:t>
      </w:r>
      <w:r w:rsidRPr="0035774E">
        <w:rPr>
          <w:rFonts w:eastAsia="Arial Narrow" w:cs="Arial"/>
          <w:sz w:val="22"/>
          <w:szCs w:val="22"/>
          <w:lang w:val="es-ES_tradnl" w:eastAsia="en-US"/>
        </w:rPr>
        <w:t xml:space="preserve"> “</w:t>
      </w:r>
      <w:r w:rsidRPr="0035774E">
        <w:rPr>
          <w:rFonts w:eastAsia="Arial Narrow" w:cs="Arial"/>
          <w:b/>
          <w:bCs/>
          <w:sz w:val="22"/>
          <w:szCs w:val="22"/>
          <w:lang w:val="es-ES_tradnl" w:eastAsia="en-US"/>
        </w:rPr>
        <w:t>Recurrid</w:t>
      </w:r>
      <w:r w:rsidRPr="005B14A5">
        <w:rPr>
          <w:rFonts w:eastAsia="Arial Narrow" w:cs="Arial"/>
          <w:b/>
          <w:bCs/>
          <w:sz w:val="22"/>
          <w:szCs w:val="22"/>
          <w:highlight w:val="yellow"/>
          <w:lang w:val="es-ES_tradnl" w:eastAsia="en-US"/>
        </w:rPr>
        <w:t>o/a</w:t>
      </w:r>
      <w:r w:rsidRPr="0035774E">
        <w:rPr>
          <w:rFonts w:eastAsia="Arial Narrow" w:cs="Arial"/>
          <w:sz w:val="22"/>
          <w:szCs w:val="22"/>
          <w:lang w:val="es-ES_tradnl" w:eastAsia="en-US"/>
        </w:rPr>
        <w:t xml:space="preserve">”) contra Wizink, </w:t>
      </w:r>
      <w:r w:rsidRPr="0035774E">
        <w:rPr>
          <w:rFonts w:eastAsia="Arial Narrow" w:cs="Arial"/>
          <w:sz w:val="22"/>
          <w:szCs w:val="22"/>
          <w:lang w:val="es-ES" w:eastAsia="en-US"/>
        </w:rPr>
        <w:t>y condena a esta parte al pago de las costas causadas.</w:t>
      </w:r>
    </w:p>
    <w:p w14:paraId="5F6CA752" w14:textId="77777777" w:rsidR="00E72F21" w:rsidRPr="0035774E" w:rsidRDefault="00E72F21" w:rsidP="00E72F21">
      <w:pPr>
        <w:spacing w:line="360" w:lineRule="auto"/>
        <w:rPr>
          <w:rFonts w:eastAsia="Arial Narrow" w:cs="Arial"/>
          <w:sz w:val="22"/>
          <w:szCs w:val="22"/>
          <w:lang w:val="es-ES" w:eastAsia="en-US"/>
        </w:rPr>
      </w:pPr>
    </w:p>
    <w:p w14:paraId="665BDDE9" w14:textId="77777777" w:rsidR="00E72F21" w:rsidRPr="0035774E" w:rsidRDefault="00E72F21" w:rsidP="00E72F21">
      <w:pPr>
        <w:pStyle w:val="Prrafodelista"/>
        <w:numPr>
          <w:ilvl w:val="0"/>
          <w:numId w:val="12"/>
        </w:numPr>
        <w:spacing w:line="360" w:lineRule="auto"/>
        <w:ind w:left="567" w:hanging="567"/>
        <w:rPr>
          <w:rFonts w:eastAsia="Arial Narrow" w:cs="Arial"/>
          <w:sz w:val="22"/>
          <w:szCs w:val="22"/>
          <w:lang w:val="es-ES" w:eastAsia="ar-SA"/>
        </w:rPr>
      </w:pPr>
      <w:r w:rsidRPr="0035774E">
        <w:rPr>
          <w:rFonts w:eastAsia="Arial Narrow" w:cs="Arial"/>
          <w:sz w:val="22"/>
          <w:szCs w:val="22"/>
          <w:lang w:val="es-ES" w:eastAsia="ar-SA"/>
        </w:rPr>
        <w:t>Por medio del presente escrito y en la indicada representación, comparezco y formulo, en virtud de los artículos 458 y siguientes de la Ley de Enjuiciamiento Civil (“</w:t>
      </w:r>
      <w:r w:rsidRPr="0035774E">
        <w:rPr>
          <w:rFonts w:eastAsia="Arial Narrow" w:cs="Arial"/>
          <w:b/>
          <w:bCs/>
          <w:sz w:val="22"/>
          <w:szCs w:val="22"/>
          <w:lang w:val="es-ES" w:eastAsia="ar-SA"/>
        </w:rPr>
        <w:t>LEC</w:t>
      </w:r>
      <w:r w:rsidRPr="0035774E">
        <w:rPr>
          <w:rFonts w:eastAsia="Arial Narrow" w:cs="Arial"/>
          <w:sz w:val="22"/>
          <w:szCs w:val="22"/>
          <w:lang w:val="es-ES" w:eastAsia="ar-SA"/>
        </w:rPr>
        <w:t xml:space="preserve">”), y dentro del plazo conferido al efecto, </w:t>
      </w:r>
      <w:r w:rsidRPr="005B14A5">
        <w:rPr>
          <w:rFonts w:eastAsia="Arial Narrow" w:cs="Arial"/>
          <w:b/>
          <w:bCs/>
          <w:sz w:val="22"/>
          <w:szCs w:val="22"/>
          <w:u w:val="single"/>
          <w:lang w:val="es-ES" w:eastAsia="ar-SA"/>
        </w:rPr>
        <w:t>RECURSO DE APELACIÓN CONTRA LA SENTENCIA</w:t>
      </w:r>
      <w:r w:rsidRPr="0035774E">
        <w:rPr>
          <w:rFonts w:eastAsia="Arial Narrow" w:cs="Arial"/>
          <w:sz w:val="22"/>
          <w:szCs w:val="22"/>
          <w:lang w:val="es-ES" w:eastAsia="ar-SA"/>
        </w:rPr>
        <w:t>, con base en los siguientes,</w:t>
      </w:r>
    </w:p>
    <w:p w14:paraId="6D5D2DC6" w14:textId="77777777" w:rsidR="00E72F21" w:rsidRPr="0035774E" w:rsidRDefault="00E72F21" w:rsidP="00E72F21">
      <w:pPr>
        <w:spacing w:line="360" w:lineRule="auto"/>
        <w:jc w:val="center"/>
        <w:rPr>
          <w:rFonts w:eastAsia="Calibri" w:cs="Arial"/>
          <w:b/>
          <w:smallCaps/>
          <w:sz w:val="22"/>
          <w:szCs w:val="22"/>
          <w:lang w:val="es-ES" w:eastAsia="en-US"/>
        </w:rPr>
      </w:pPr>
    </w:p>
    <w:p w14:paraId="2AB207FB" w14:textId="77777777" w:rsidR="00E72F21" w:rsidRDefault="00E72F21" w:rsidP="00E72F21">
      <w:pPr>
        <w:spacing w:line="360" w:lineRule="auto"/>
        <w:jc w:val="center"/>
        <w:rPr>
          <w:rFonts w:eastAsia="Calibri" w:cs="Arial"/>
          <w:b/>
          <w:smallCaps/>
          <w:sz w:val="22"/>
          <w:szCs w:val="22"/>
          <w:lang w:val="es-ES" w:eastAsia="en-US"/>
        </w:rPr>
      </w:pPr>
      <w:r w:rsidRPr="0035774E">
        <w:rPr>
          <w:rFonts w:eastAsia="Calibri" w:cs="Arial"/>
          <w:b/>
          <w:smallCaps/>
          <w:sz w:val="22"/>
          <w:szCs w:val="22"/>
          <w:lang w:val="es-ES" w:eastAsia="en-US"/>
        </w:rPr>
        <w:t>MOTIVOS</w:t>
      </w:r>
    </w:p>
    <w:p w14:paraId="0AE8F630" w14:textId="77777777" w:rsidR="00E72F21" w:rsidRDefault="00E72F21" w:rsidP="00E72F21">
      <w:pPr>
        <w:spacing w:line="360" w:lineRule="auto"/>
        <w:jc w:val="center"/>
        <w:rPr>
          <w:rFonts w:eastAsia="Calibri" w:cs="Arial"/>
          <w:b/>
          <w:smallCaps/>
          <w:sz w:val="22"/>
          <w:szCs w:val="22"/>
          <w:lang w:val="es-ES" w:eastAsia="en-US"/>
        </w:rPr>
      </w:pPr>
    </w:p>
    <w:p w14:paraId="26394649" w14:textId="77777777" w:rsidR="00E72F21" w:rsidRPr="0035774E" w:rsidRDefault="00E72F21" w:rsidP="00E72F21">
      <w:pPr>
        <w:spacing w:line="360" w:lineRule="auto"/>
        <w:jc w:val="center"/>
        <w:rPr>
          <w:rFonts w:eastAsia="Calibri" w:cs="Arial"/>
          <w:b/>
          <w:smallCaps/>
          <w:sz w:val="22"/>
          <w:szCs w:val="22"/>
          <w:lang w:val="es-ES" w:eastAsia="en-US"/>
        </w:rPr>
      </w:pPr>
    </w:p>
    <w:p w14:paraId="7E4A36DB" w14:textId="77777777" w:rsidR="00E72F21" w:rsidRDefault="00E72F21" w:rsidP="00E72F21">
      <w:pPr>
        <w:spacing w:line="360" w:lineRule="auto"/>
        <w:rPr>
          <w:rFonts w:cs="Arial"/>
          <w:b/>
          <w:sz w:val="22"/>
          <w:szCs w:val="22"/>
          <w:lang w:val="es-ES"/>
        </w:rPr>
      </w:pPr>
      <w:r>
        <w:rPr>
          <w:rFonts w:cs="Arial"/>
          <w:b/>
          <w:sz w:val="22"/>
          <w:szCs w:val="22"/>
          <w:u w:val="single"/>
          <w:lang w:val="es-ES"/>
        </w:rPr>
        <w:t>PREVIO</w:t>
      </w:r>
      <w:r w:rsidRPr="00AA01F5">
        <w:rPr>
          <w:rFonts w:cs="Arial"/>
          <w:b/>
          <w:sz w:val="22"/>
          <w:szCs w:val="22"/>
          <w:lang w:val="es-ES"/>
        </w:rPr>
        <w:t xml:space="preserve">. – </w:t>
      </w:r>
      <w:r>
        <w:rPr>
          <w:rFonts w:cs="Arial"/>
          <w:b/>
          <w:sz w:val="22"/>
          <w:szCs w:val="22"/>
          <w:lang w:val="es-ES"/>
        </w:rPr>
        <w:t xml:space="preserve">HECHO NUEVO: </w:t>
      </w:r>
      <w:r w:rsidRPr="00F34F7B">
        <w:rPr>
          <w:rFonts w:cs="Arial"/>
          <w:b/>
          <w:sz w:val="22"/>
          <w:szCs w:val="22"/>
          <w:lang w:val="es-ES"/>
        </w:rPr>
        <w:t>EL TRIBUNAL SUPREMO, SALA PRIMERA, ACLARA EN SENTENCIA DEL PLENO DE 15 DE FEBRERO DE 2023 QUE EL INTERÉS PACTADO EN UN CONTRATO REVOLVING ES NOTABLEMENTE SUPERIOR SI LA DIFERENCIA ENTRE EL TIPO DE MERCADO Y EL PACTADO SUPERA LOS 6 PUNTOS PORCENTUALES</w:t>
      </w:r>
    </w:p>
    <w:p w14:paraId="002775AF" w14:textId="77777777" w:rsidR="00E72F21" w:rsidRDefault="00E72F21" w:rsidP="00E72F21">
      <w:pPr>
        <w:spacing w:line="360" w:lineRule="auto"/>
        <w:rPr>
          <w:rFonts w:cs="Arial"/>
          <w:b/>
          <w:sz w:val="22"/>
          <w:szCs w:val="22"/>
          <w:lang w:val="es-ES"/>
        </w:rPr>
      </w:pPr>
    </w:p>
    <w:p w14:paraId="04DA7373" w14:textId="77777777" w:rsidR="00E72F21" w:rsidRPr="00AA01F5" w:rsidRDefault="00E72F21" w:rsidP="00E72F21">
      <w:pPr>
        <w:spacing w:after="210" w:line="360" w:lineRule="auto"/>
        <w:rPr>
          <w:rFonts w:cs="Arial"/>
          <w:sz w:val="22"/>
          <w:szCs w:val="22"/>
          <w:lang w:val="es-ES"/>
        </w:rPr>
      </w:pPr>
      <w:r>
        <w:rPr>
          <w:rFonts w:cs="Arial"/>
          <w:sz w:val="22"/>
          <w:szCs w:val="22"/>
          <w:lang w:val="es-ES"/>
        </w:rPr>
        <w:t>En</w:t>
      </w:r>
      <w:r w:rsidRPr="00AA01F5">
        <w:rPr>
          <w:rFonts w:cs="Arial"/>
          <w:sz w:val="22"/>
          <w:szCs w:val="22"/>
          <w:lang w:val="es-ES"/>
        </w:rPr>
        <w:t xml:space="preserve"> fecha 21 de febrero de 2023 se ha tenido conocimiento de la Sentencia de Pleno 258/2023, de 15 de febrero, dictada por la Sala de lo Civil del Tribunal Supremo</w:t>
      </w:r>
      <w:r>
        <w:rPr>
          <w:rFonts w:cs="Arial"/>
          <w:sz w:val="22"/>
          <w:szCs w:val="22"/>
          <w:lang w:val="es-ES"/>
        </w:rPr>
        <w:t xml:space="preserve"> (en adelante, “</w:t>
      </w:r>
      <w:r w:rsidRPr="00AA01F5">
        <w:rPr>
          <w:rFonts w:cs="Arial"/>
          <w:b/>
          <w:bCs/>
          <w:sz w:val="22"/>
          <w:szCs w:val="22"/>
          <w:lang w:val="es-ES"/>
        </w:rPr>
        <w:t xml:space="preserve">sentencia </w:t>
      </w:r>
      <w:proofErr w:type="spellStart"/>
      <w:r w:rsidRPr="00AA01F5">
        <w:rPr>
          <w:rFonts w:cs="Arial"/>
          <w:b/>
          <w:bCs/>
          <w:sz w:val="22"/>
          <w:szCs w:val="22"/>
          <w:lang w:val="es-ES"/>
        </w:rPr>
        <w:t>revolving</w:t>
      </w:r>
      <w:proofErr w:type="spellEnd"/>
      <w:r w:rsidRPr="00AA01F5">
        <w:rPr>
          <w:rFonts w:cs="Arial"/>
          <w:b/>
          <w:bCs/>
          <w:sz w:val="22"/>
          <w:szCs w:val="22"/>
          <w:lang w:val="es-ES"/>
        </w:rPr>
        <w:t xml:space="preserve"> 2023</w:t>
      </w:r>
      <w:r>
        <w:rPr>
          <w:rFonts w:cs="Arial"/>
          <w:sz w:val="22"/>
          <w:szCs w:val="22"/>
          <w:lang w:val="es-ES"/>
        </w:rPr>
        <w:t>”),</w:t>
      </w:r>
      <w:r w:rsidRPr="00AA01F5">
        <w:rPr>
          <w:rFonts w:cs="Arial"/>
          <w:sz w:val="22"/>
          <w:szCs w:val="22"/>
          <w:lang w:val="es-ES"/>
        </w:rPr>
        <w:t xml:space="preserve"> que analiza un contrato semejante al que consta en autos.</w:t>
      </w:r>
    </w:p>
    <w:p w14:paraId="4B8BB116" w14:textId="77777777" w:rsidR="00E72F21" w:rsidRPr="00AA01F5" w:rsidRDefault="00E72F21" w:rsidP="00E72F21">
      <w:pPr>
        <w:spacing w:after="210" w:line="360" w:lineRule="auto"/>
        <w:rPr>
          <w:rFonts w:cs="Arial"/>
          <w:sz w:val="22"/>
          <w:szCs w:val="22"/>
          <w:lang w:val="es-ES"/>
        </w:rPr>
      </w:pPr>
      <w:r w:rsidRPr="00AA01F5">
        <w:rPr>
          <w:rFonts w:cs="Arial"/>
          <w:sz w:val="22"/>
          <w:szCs w:val="22"/>
          <w:lang w:val="es-ES"/>
        </w:rPr>
        <w:t>Así el Tribunal Supremo aclara en primer lugar que</w:t>
      </w:r>
      <w:r>
        <w:rPr>
          <w:rFonts w:cs="Arial"/>
          <w:sz w:val="22"/>
          <w:szCs w:val="22"/>
          <w:lang w:val="es-ES"/>
        </w:rPr>
        <w:t>:</w:t>
      </w:r>
      <w:r w:rsidRPr="00AA01F5">
        <w:rPr>
          <w:rFonts w:cs="Arial"/>
          <w:sz w:val="22"/>
          <w:szCs w:val="22"/>
          <w:lang w:val="es-ES"/>
        </w:rPr>
        <w:t xml:space="preserve"> </w:t>
      </w:r>
      <w:r w:rsidRPr="00AA01F5">
        <w:rPr>
          <w:rFonts w:cs="Arial"/>
          <w:b/>
          <w:bCs/>
          <w:sz w:val="22"/>
          <w:szCs w:val="22"/>
          <w:lang w:val="es-ES"/>
        </w:rPr>
        <w:t>(1)</w:t>
      </w:r>
      <w:r w:rsidRPr="00AA01F5">
        <w:rPr>
          <w:rFonts w:cs="Arial"/>
          <w:sz w:val="22"/>
          <w:szCs w:val="22"/>
          <w:lang w:val="es-ES"/>
        </w:rPr>
        <w:t xml:space="preserve"> los tipos TEDR son en todo caso inferiores a la TAE pues aquéllos no contienen comisiones</w:t>
      </w:r>
      <w:r>
        <w:rPr>
          <w:rFonts w:cs="Arial"/>
          <w:sz w:val="22"/>
          <w:szCs w:val="22"/>
          <w:lang w:val="es-ES"/>
        </w:rPr>
        <w:t>;</w:t>
      </w:r>
      <w:r w:rsidRPr="00AA01F5">
        <w:rPr>
          <w:rFonts w:cs="Arial"/>
          <w:sz w:val="22"/>
          <w:szCs w:val="22"/>
          <w:lang w:val="es-ES"/>
        </w:rPr>
        <w:t xml:space="preserve"> y, </w:t>
      </w:r>
      <w:r w:rsidRPr="00AA01F5">
        <w:rPr>
          <w:rFonts w:cs="Arial"/>
          <w:b/>
          <w:bCs/>
          <w:sz w:val="22"/>
          <w:szCs w:val="22"/>
          <w:lang w:val="es-ES"/>
        </w:rPr>
        <w:t>(2)</w:t>
      </w:r>
      <w:r w:rsidRPr="00AA01F5">
        <w:rPr>
          <w:rFonts w:cs="Arial"/>
          <w:sz w:val="22"/>
          <w:szCs w:val="22"/>
          <w:lang w:val="es-ES"/>
        </w:rPr>
        <w:t xml:space="preserve"> que </w:t>
      </w:r>
      <w:r w:rsidRPr="00197428">
        <w:rPr>
          <w:rFonts w:cs="Arial"/>
          <w:b/>
          <w:bCs/>
          <w:sz w:val="22"/>
          <w:szCs w:val="22"/>
          <w:u w:val="single"/>
          <w:lang w:val="es-ES"/>
        </w:rPr>
        <w:t xml:space="preserve">para que la TAE del </w:t>
      </w:r>
      <w:r w:rsidRPr="00197428">
        <w:rPr>
          <w:rFonts w:cs="Arial"/>
          <w:b/>
          <w:bCs/>
          <w:sz w:val="22"/>
          <w:szCs w:val="22"/>
          <w:u w:val="single"/>
          <w:lang w:val="es-ES"/>
        </w:rPr>
        <w:lastRenderedPageBreak/>
        <w:t>contrato pueda considerarse usuraria ésta debe superar en más de 6 puntos el tipo medio del mercado al tiempo de la contratación</w:t>
      </w:r>
      <w:r w:rsidRPr="00AA01F5">
        <w:rPr>
          <w:rFonts w:cs="Arial"/>
          <w:sz w:val="22"/>
          <w:szCs w:val="22"/>
          <w:lang w:val="es-ES"/>
        </w:rPr>
        <w:t xml:space="preserve">. </w:t>
      </w:r>
    </w:p>
    <w:p w14:paraId="49156495" w14:textId="77777777" w:rsidR="00E72F21" w:rsidRPr="00AA01F5" w:rsidRDefault="00E72F21" w:rsidP="00E72F21">
      <w:pPr>
        <w:spacing w:after="210" w:line="360" w:lineRule="auto"/>
        <w:rPr>
          <w:rFonts w:cs="Arial"/>
          <w:sz w:val="22"/>
          <w:szCs w:val="22"/>
          <w:lang w:val="es-ES"/>
        </w:rPr>
      </w:pPr>
      <w:r w:rsidRPr="00AA01F5">
        <w:rPr>
          <w:rFonts w:cs="Arial"/>
          <w:sz w:val="22"/>
          <w:szCs w:val="22"/>
          <w:lang w:val="es-ES"/>
        </w:rPr>
        <w:t xml:space="preserve">De acuerdo con este criterio, </w:t>
      </w:r>
      <w:r>
        <w:rPr>
          <w:rFonts w:cs="Arial"/>
          <w:sz w:val="22"/>
          <w:szCs w:val="22"/>
          <w:lang w:val="es-ES"/>
        </w:rPr>
        <w:t xml:space="preserve">y como veremos más adelante, </w:t>
      </w:r>
      <w:r w:rsidRPr="00AA01F5">
        <w:rPr>
          <w:rFonts w:cs="Arial"/>
          <w:sz w:val="22"/>
          <w:szCs w:val="22"/>
          <w:lang w:val="es-ES"/>
        </w:rPr>
        <w:t>podemos concluir que el interés remuneratorio pactado en el presente supuesto no puede considerarse usurario.</w:t>
      </w:r>
    </w:p>
    <w:p w14:paraId="54C075AE" w14:textId="77777777" w:rsidR="00E72F21" w:rsidRDefault="00E72F21" w:rsidP="00E72F21">
      <w:pPr>
        <w:spacing w:line="360" w:lineRule="auto"/>
        <w:rPr>
          <w:rFonts w:eastAsia="Arial Narrow" w:cs="Arial"/>
          <w:b/>
          <w:bCs/>
          <w:sz w:val="22"/>
          <w:szCs w:val="22"/>
          <w:u w:val="single"/>
          <w:lang w:val="es-ES" w:eastAsia="ar-SA"/>
        </w:rPr>
      </w:pPr>
    </w:p>
    <w:p w14:paraId="766F6DF9" w14:textId="77777777" w:rsidR="00E72F21" w:rsidRPr="0035774E" w:rsidRDefault="00E72F21" w:rsidP="00E72F21">
      <w:pPr>
        <w:spacing w:line="360" w:lineRule="auto"/>
        <w:rPr>
          <w:rFonts w:eastAsia="Arial Narrow" w:cs="Arial"/>
          <w:b/>
          <w:bCs/>
          <w:sz w:val="22"/>
          <w:szCs w:val="22"/>
          <w:lang w:val="es-ES" w:eastAsia="ar-SA"/>
        </w:rPr>
      </w:pPr>
      <w:r>
        <w:rPr>
          <w:rFonts w:eastAsia="Arial Narrow" w:cs="Arial"/>
          <w:b/>
          <w:bCs/>
          <w:sz w:val="22"/>
          <w:szCs w:val="22"/>
          <w:u w:val="single"/>
          <w:lang w:val="es-ES" w:eastAsia="ar-SA"/>
        </w:rPr>
        <w:t>PRMERO</w:t>
      </w:r>
      <w:r w:rsidRPr="0035774E">
        <w:rPr>
          <w:rFonts w:eastAsia="Arial Narrow" w:cs="Arial"/>
          <w:b/>
          <w:bCs/>
          <w:sz w:val="22"/>
          <w:szCs w:val="22"/>
          <w:lang w:val="es-ES" w:eastAsia="ar-SA"/>
        </w:rPr>
        <w:t xml:space="preserve">. </w:t>
      </w:r>
      <w:r>
        <w:rPr>
          <w:rFonts w:eastAsia="Arial Narrow" w:cs="Arial"/>
          <w:b/>
          <w:bCs/>
          <w:sz w:val="22"/>
          <w:szCs w:val="22"/>
          <w:lang w:val="es-ES" w:eastAsia="ar-SA"/>
        </w:rPr>
        <w:t>–</w:t>
      </w:r>
      <w:r w:rsidRPr="0035774E">
        <w:rPr>
          <w:rFonts w:eastAsia="Arial Narrow" w:cs="Arial"/>
          <w:b/>
          <w:bCs/>
          <w:sz w:val="22"/>
          <w:szCs w:val="22"/>
          <w:lang w:val="es-ES" w:eastAsia="ar-SA"/>
        </w:rPr>
        <w:t xml:space="preserve"> </w:t>
      </w:r>
      <w:r>
        <w:rPr>
          <w:rFonts w:eastAsia="Arial Narrow" w:cs="Arial"/>
          <w:b/>
          <w:bCs/>
          <w:sz w:val="22"/>
          <w:szCs w:val="22"/>
          <w:lang w:val="es-ES" w:eastAsia="ar-SA"/>
        </w:rPr>
        <w:t>ANTECEDENTES DEL RECURSO</w:t>
      </w:r>
    </w:p>
    <w:p w14:paraId="2BDADA86" w14:textId="77777777" w:rsidR="00E72F21" w:rsidRPr="0035774E" w:rsidRDefault="00E72F21" w:rsidP="00E72F21">
      <w:pPr>
        <w:pStyle w:val="Body1"/>
        <w:spacing w:after="0" w:line="360" w:lineRule="auto"/>
        <w:rPr>
          <w:rFonts w:cs="Arial"/>
          <w:sz w:val="22"/>
          <w:szCs w:val="22"/>
          <w:lang w:val="es-ES_tradnl"/>
        </w:rPr>
      </w:pPr>
    </w:p>
    <w:p w14:paraId="05FE2445" w14:textId="015E16D4" w:rsidR="00E72F21" w:rsidRPr="0035774E" w:rsidRDefault="00E72F21" w:rsidP="00E72F21">
      <w:pPr>
        <w:pStyle w:val="Body1"/>
        <w:spacing w:after="240" w:line="360" w:lineRule="auto"/>
        <w:rPr>
          <w:rFonts w:cs="Arial"/>
          <w:sz w:val="22"/>
          <w:szCs w:val="22"/>
          <w:lang w:val="es-ES_tradnl"/>
        </w:rPr>
      </w:pPr>
      <w:r>
        <w:rPr>
          <w:rFonts w:cs="Arial"/>
          <w:sz w:val="22"/>
          <w:szCs w:val="22"/>
          <w:lang w:val="es-ES_tradnl"/>
        </w:rPr>
        <w:t>La parte actora</w:t>
      </w:r>
      <w:r w:rsidRPr="0035774E">
        <w:rPr>
          <w:rFonts w:cs="Arial"/>
          <w:sz w:val="22"/>
          <w:szCs w:val="22"/>
          <w:lang w:val="es-ES_tradnl"/>
        </w:rPr>
        <w:t xml:space="preserve"> interpuso demanda frente a Wizink (en adelante, la “</w:t>
      </w:r>
      <w:r w:rsidRPr="0035774E">
        <w:rPr>
          <w:rFonts w:cs="Arial"/>
          <w:b/>
          <w:bCs/>
          <w:sz w:val="22"/>
          <w:szCs w:val="22"/>
          <w:lang w:val="es-ES_tradnl"/>
        </w:rPr>
        <w:t>Demanda</w:t>
      </w:r>
      <w:r w:rsidRPr="0035774E">
        <w:rPr>
          <w:rFonts w:cs="Arial"/>
          <w:sz w:val="22"/>
          <w:szCs w:val="22"/>
          <w:lang w:val="es-ES_tradnl"/>
        </w:rPr>
        <w:t>”), solicitando</w:t>
      </w:r>
      <w:r>
        <w:rPr>
          <w:rFonts w:cs="Arial"/>
          <w:sz w:val="22"/>
          <w:szCs w:val="22"/>
          <w:lang w:val="es-ES_tradnl"/>
        </w:rPr>
        <w:t xml:space="preserve">, con carácter principal, </w:t>
      </w:r>
      <w:r w:rsidRPr="0035774E">
        <w:rPr>
          <w:rFonts w:cs="Arial"/>
          <w:sz w:val="22"/>
          <w:szCs w:val="22"/>
          <w:lang w:val="es-ES_tradnl"/>
        </w:rPr>
        <w:t xml:space="preserve">la nulidad </w:t>
      </w:r>
      <w:r>
        <w:rPr>
          <w:rFonts w:cs="Arial"/>
          <w:sz w:val="22"/>
          <w:szCs w:val="22"/>
          <w:lang w:val="es-ES_tradnl"/>
        </w:rPr>
        <w:t xml:space="preserve">del </w:t>
      </w:r>
      <w:r w:rsidRPr="0035774E">
        <w:rPr>
          <w:rFonts w:cs="Arial"/>
          <w:sz w:val="22"/>
          <w:szCs w:val="22"/>
          <w:lang w:val="es-ES_tradnl"/>
        </w:rPr>
        <w:t>contrato suscrito e</w:t>
      </w:r>
      <w:r>
        <w:rPr>
          <w:rFonts w:cs="Arial"/>
          <w:sz w:val="22"/>
          <w:szCs w:val="22"/>
          <w:lang w:val="es-ES_tradnl"/>
        </w:rPr>
        <w:t xml:space="preserve">l </w:t>
      </w:r>
      <w:r w:rsidR="0011326C">
        <w:rPr>
          <w:rFonts w:cs="Arial"/>
          <w:sz w:val="22"/>
          <w:szCs w:val="22"/>
          <w:highlight w:val="yellow"/>
          <w:lang w:val="es-ES_tradnl"/>
        </w:rPr>
        <w:fldChar w:fldCharType="begin"/>
      </w:r>
      <w:r w:rsidR="0086131A">
        <w:rPr>
          <w:rFonts w:cs="Arial"/>
          <w:sz w:val="22"/>
          <w:szCs w:val="22"/>
          <w:highlight w:val="yellow"/>
          <w:lang w:val="es-ES_tradnl"/>
        </w:rPr>
        <w:instrText>persovalores_personalizable1375</w:instrText>
      </w:r>
      <w:r w:rsidR="0011326C">
        <w:rPr>
          <w:rFonts w:cs="Arial"/>
          <w:sz w:val="22"/>
          <w:szCs w:val="22"/>
          <w:highlight w:val="yellow"/>
          <w:lang w:val="es-ES_tradnl"/>
        </w:rPr>
        <w:fldChar w:fldCharType="separate"/>
      </w:r>
      <w:r w:rsidR="0011326C">
        <w:rPr>
          <w:rFonts w:cs="Arial"/>
          <w:noProof/>
          <w:sz w:val="22"/>
          <w:szCs w:val="22"/>
          <w:highlight w:val="yellow"/>
          <w:lang w:val="es-ES_tradnl"/>
        </w:rPr>
        <w:t>«RECURSOS_APELACION_Fecha_contrato»</w:t>
      </w:r>
      <w:r w:rsidR="0011326C">
        <w:rPr>
          <w:rFonts w:cs="Arial"/>
          <w:sz w:val="22"/>
          <w:szCs w:val="22"/>
          <w:highlight w:val="yellow"/>
          <w:lang w:val="es-ES_tradnl"/>
        </w:rPr>
        <w:fldChar w:fldCharType="end"/>
      </w:r>
      <w:r w:rsidRPr="0035774E">
        <w:rPr>
          <w:rFonts w:cs="Arial"/>
          <w:sz w:val="22"/>
          <w:szCs w:val="22"/>
          <w:lang w:val="es-ES_tradnl"/>
        </w:rPr>
        <w:t xml:space="preserve">, </w:t>
      </w:r>
      <w:r w:rsidRPr="007A0AFD">
        <w:rPr>
          <w:rFonts w:cs="Arial"/>
          <w:sz w:val="22"/>
          <w:szCs w:val="22"/>
          <w:highlight w:val="yellow"/>
          <w:lang w:val="es-ES_tradnl"/>
        </w:rPr>
        <w:t xml:space="preserve">por supuesta usura y, con carácter subsidiario, la nulidad de las cláusulas de interés remuneratorio y reclamación de posiciones deudoras por supuesta falta de transparencia, con condena en costas a Wizink. </w:t>
      </w:r>
      <w:r>
        <w:rPr>
          <w:rFonts w:cs="Arial"/>
          <w:sz w:val="22"/>
          <w:szCs w:val="22"/>
          <w:lang w:val="es-ES_tradnl"/>
        </w:rPr>
        <w:t xml:space="preserve"> </w:t>
      </w:r>
      <w:r w:rsidRPr="007A0AFD">
        <w:rPr>
          <w:rFonts w:cs="Arial"/>
          <w:sz w:val="22"/>
          <w:szCs w:val="22"/>
          <w:highlight w:val="green"/>
          <w:lang w:val="es-ES_tradnl"/>
        </w:rPr>
        <w:t>[ADAPTAR SEGÚN EL ORDEN DE LAS ACCIONES]</w:t>
      </w:r>
    </w:p>
    <w:p w14:paraId="01C21987" w14:textId="6F00E495" w:rsidR="00E72F21" w:rsidRDefault="00E72F21" w:rsidP="00E72F21">
      <w:pPr>
        <w:spacing w:line="360" w:lineRule="auto"/>
        <w:rPr>
          <w:rFonts w:cs="Arial"/>
          <w:sz w:val="22"/>
          <w:szCs w:val="22"/>
          <w:lang w:val="es-ES"/>
        </w:rPr>
      </w:pPr>
      <w:r w:rsidRPr="00656038">
        <w:rPr>
          <w:rFonts w:cs="Arial"/>
          <w:sz w:val="22"/>
          <w:szCs w:val="22"/>
          <w:lang w:val="es-ES"/>
        </w:rPr>
        <w:t xml:space="preserve">El </w:t>
      </w:r>
      <w:r w:rsidR="00E431B1" w:rsidRPr="00E431B1">
        <w:rPr>
          <w:rFonts w:cs="Arial"/>
          <w:b/>
          <w:bCs/>
          <w:sz w:val="22"/>
          <w:szCs w:val="22"/>
          <w:highlight w:val="yellow"/>
          <w:lang w:val="es-ES_tradnl"/>
        </w:rPr>
        <w:fldChar w:fldCharType="begin"/>
      </w:r>
      <w:r w:rsidR="00E431B1" w:rsidRPr="00E431B1">
        <w:rPr>
          <w:rFonts w:cs="Arial"/>
          <w:b/>
          <w:bCs/>
          <w:sz w:val="22"/>
          <w:szCs w:val="22"/>
          <w:highlight w:val="yellow"/>
          <w:lang w:val="es-ES_tradnl"/>
        </w:rPr>
        <w:instrText>persovalores_personalizable1374</w:instrText>
      </w:r>
      <w:r w:rsidR="00E431B1" w:rsidRPr="00E431B1">
        <w:rPr>
          <w:rFonts w:cs="Arial"/>
          <w:b/>
          <w:bCs/>
          <w:sz w:val="22"/>
          <w:szCs w:val="22"/>
          <w:highlight w:val="yellow"/>
          <w:lang w:val="es-ES_tradnl"/>
        </w:rPr>
        <w:fldChar w:fldCharType="separate"/>
      </w:r>
      <w:r w:rsidR="00E431B1" w:rsidRPr="00E431B1">
        <w:rPr>
          <w:rFonts w:cs="Arial"/>
          <w:b/>
          <w:bCs/>
          <w:noProof/>
          <w:sz w:val="22"/>
          <w:szCs w:val="22"/>
          <w:highlight w:val="yellow"/>
          <w:lang w:val="es-ES_tradnl"/>
        </w:rPr>
        <w:t>«RECURSOS_APELACION_Fecha_contestación»</w:t>
      </w:r>
      <w:r w:rsidR="00E431B1" w:rsidRPr="00E431B1">
        <w:rPr>
          <w:rFonts w:cs="Arial"/>
          <w:b/>
          <w:bCs/>
          <w:sz w:val="22"/>
          <w:szCs w:val="22"/>
          <w:highlight w:val="yellow"/>
          <w:lang w:val="es-ES_tradnl"/>
        </w:rPr>
        <w:fldChar w:fldCharType="end"/>
      </w:r>
      <w:r w:rsidRPr="00656038">
        <w:rPr>
          <w:rFonts w:cs="Arial"/>
          <w:sz w:val="22"/>
          <w:szCs w:val="22"/>
          <w:lang w:val="es-ES"/>
        </w:rPr>
        <w:t xml:space="preserve">, dentro del plazo conferido a tal efecto, mi mandante se opone a la demanda, alegando (i) que no existe usura, pues el tipo de interés aplicado en el contrato no es notablemente superior a la media de los tipos de interés aplicados en la fecha de la contratación, aportando para ello, el </w:t>
      </w:r>
      <w:r w:rsidRPr="00BB437C">
        <w:rPr>
          <w:rFonts w:cs="Arial"/>
          <w:b/>
          <w:bCs/>
          <w:sz w:val="22"/>
          <w:szCs w:val="22"/>
          <w:highlight w:val="yellow"/>
          <w:lang w:val="es-ES"/>
        </w:rPr>
        <w:t>INFORME</w:t>
      </w:r>
      <w:r w:rsidR="00E431B1">
        <w:rPr>
          <w:rFonts w:cs="Arial"/>
          <w:b/>
          <w:bCs/>
          <w:sz w:val="22"/>
          <w:szCs w:val="22"/>
          <w:highlight w:val="yellow"/>
          <w:lang w:val="es-ES"/>
        </w:rPr>
        <w:t xml:space="preserve"> XXX </w:t>
      </w:r>
      <w:r w:rsidR="00E431B1" w:rsidRPr="00E431B1">
        <w:rPr>
          <w:rFonts w:cs="Arial"/>
          <w:b/>
          <w:bCs/>
          <w:sz w:val="22"/>
          <w:szCs w:val="22"/>
          <w:highlight w:val="green"/>
          <w:lang w:val="es-ES"/>
        </w:rPr>
        <w:t>(INDICAMOS NOMBRE INFORME APORTADO CON LA CONTESTACIÓN)</w:t>
      </w:r>
      <w:r w:rsidRPr="00656038">
        <w:rPr>
          <w:rFonts w:cs="Arial"/>
          <w:sz w:val="22"/>
          <w:szCs w:val="22"/>
          <w:lang w:val="es-ES"/>
        </w:rPr>
        <w:t xml:space="preserve">, como </w:t>
      </w:r>
      <w:r w:rsidRPr="00BB437C">
        <w:rPr>
          <w:rFonts w:cs="Arial"/>
          <w:sz w:val="22"/>
          <w:szCs w:val="22"/>
          <w:highlight w:val="yellow"/>
          <w:lang w:val="es-ES"/>
        </w:rPr>
        <w:t>documento núm. X</w:t>
      </w:r>
      <w:r w:rsidRPr="00656038">
        <w:rPr>
          <w:rFonts w:cs="Arial"/>
          <w:sz w:val="22"/>
          <w:szCs w:val="22"/>
          <w:lang w:val="es-ES"/>
        </w:rPr>
        <w:t xml:space="preserve"> donde se prueba que el interés medio en el año </w:t>
      </w:r>
      <w:r w:rsidR="0086131A" w:rsidRPr="0086131A">
        <w:rPr>
          <w:rFonts w:cs="Arial"/>
          <w:sz w:val="22"/>
          <w:szCs w:val="22"/>
          <w:highlight w:val="yellow"/>
          <w:lang w:val="es-ES"/>
        </w:rPr>
        <w:fldChar w:fldCharType="begin"/>
      </w:r>
      <w:r w:rsidR="0086131A" w:rsidRPr="0086131A">
        <w:rPr>
          <w:rFonts w:cs="Arial"/>
          <w:sz w:val="22"/>
          <w:szCs w:val="22"/>
          <w:highlight w:val="yellow"/>
          <w:lang w:val="es-ES"/>
        </w:rPr>
        <w:instrText>persovalores_personalizable1382</w:instrText>
      </w:r>
      <w:r w:rsidR="0086131A" w:rsidRPr="0086131A">
        <w:rPr>
          <w:rFonts w:cs="Arial"/>
          <w:sz w:val="22"/>
          <w:szCs w:val="22"/>
          <w:highlight w:val="yellow"/>
          <w:lang w:val="es-ES"/>
        </w:rPr>
        <w:fldChar w:fldCharType="separate"/>
      </w:r>
      <w:r w:rsidR="0086131A" w:rsidRPr="0086131A">
        <w:rPr>
          <w:rFonts w:cs="Arial"/>
          <w:noProof/>
          <w:sz w:val="22"/>
          <w:szCs w:val="22"/>
          <w:highlight w:val="yellow"/>
          <w:lang w:val="es-ES"/>
        </w:rPr>
        <w:t>«RECURSOS_APELACION_Año_contrato»</w:t>
      </w:r>
      <w:r w:rsidR="0086131A" w:rsidRPr="0086131A">
        <w:rPr>
          <w:rFonts w:cs="Arial"/>
          <w:sz w:val="22"/>
          <w:szCs w:val="22"/>
          <w:highlight w:val="yellow"/>
          <w:lang w:val="es-ES"/>
        </w:rPr>
        <w:fldChar w:fldCharType="end"/>
      </w:r>
      <w:r w:rsidRPr="00656038">
        <w:rPr>
          <w:rFonts w:cs="Arial"/>
          <w:sz w:val="22"/>
          <w:szCs w:val="22"/>
          <w:lang w:val="es-ES"/>
        </w:rPr>
        <w:t xml:space="preserve"> era del </w:t>
      </w:r>
      <w:r w:rsidR="00432EBA" w:rsidRPr="00432EBA">
        <w:rPr>
          <w:rFonts w:cs="Arial"/>
          <w:sz w:val="22"/>
          <w:szCs w:val="22"/>
          <w:highlight w:val="yellow"/>
          <w:lang w:val="es-ES"/>
        </w:rPr>
        <w:fldChar w:fldCharType="begin"/>
      </w:r>
      <w:r w:rsidR="00432EBA" w:rsidRPr="00432EBA">
        <w:rPr>
          <w:rFonts w:cs="Arial"/>
          <w:sz w:val="22"/>
          <w:szCs w:val="22"/>
          <w:highlight w:val="yellow"/>
          <w:lang w:val="es-ES"/>
        </w:rPr>
        <w:instrText>persovalores_personalizable1384</w:instrText>
      </w:r>
      <w:r w:rsidR="00432EBA" w:rsidRPr="00432EBA">
        <w:rPr>
          <w:rFonts w:cs="Arial"/>
          <w:sz w:val="22"/>
          <w:szCs w:val="22"/>
          <w:highlight w:val="yellow"/>
          <w:lang w:val="es-ES"/>
        </w:rPr>
        <w:fldChar w:fldCharType="separate"/>
      </w:r>
      <w:r w:rsidR="00432EBA" w:rsidRPr="00432EBA">
        <w:rPr>
          <w:rFonts w:cs="Arial"/>
          <w:noProof/>
          <w:sz w:val="22"/>
          <w:szCs w:val="22"/>
          <w:highlight w:val="yellow"/>
          <w:lang w:val="es-ES"/>
        </w:rPr>
        <w:t>«RECURSOS_APELACION_TAE_de_nuestro_inform»</w:t>
      </w:r>
      <w:r w:rsidR="00432EBA" w:rsidRPr="00432EBA">
        <w:rPr>
          <w:rFonts w:cs="Arial"/>
          <w:sz w:val="22"/>
          <w:szCs w:val="22"/>
          <w:highlight w:val="yellow"/>
          <w:lang w:val="es-ES"/>
        </w:rPr>
        <w:fldChar w:fldCharType="end"/>
      </w:r>
      <w:r w:rsidR="00432EBA">
        <w:rPr>
          <w:rFonts w:cs="Arial"/>
          <w:sz w:val="22"/>
          <w:szCs w:val="22"/>
          <w:lang w:val="es-ES"/>
        </w:rPr>
        <w:t xml:space="preserve"> </w:t>
      </w:r>
      <w:r>
        <w:rPr>
          <w:rFonts w:cs="Arial"/>
          <w:sz w:val="22"/>
          <w:szCs w:val="22"/>
          <w:lang w:val="es-ES"/>
        </w:rPr>
        <w:t>%</w:t>
      </w:r>
      <w:r w:rsidRPr="00656038">
        <w:rPr>
          <w:rFonts w:cs="Arial"/>
          <w:sz w:val="22"/>
          <w:szCs w:val="22"/>
          <w:lang w:val="es-ES"/>
        </w:rPr>
        <w:t xml:space="preserve">, por lo que una diferencia inferior a los </w:t>
      </w:r>
      <w:r w:rsidR="00432EBA">
        <w:rPr>
          <w:rFonts w:cs="Arial"/>
          <w:sz w:val="22"/>
          <w:szCs w:val="22"/>
          <w:highlight w:val="yellow"/>
          <w:lang w:val="es-ES"/>
        </w:rPr>
        <w:fldChar w:fldCharType="begin"/>
      </w:r>
      <w:r w:rsidR="00432EBA">
        <w:rPr>
          <w:rFonts w:cs="Arial"/>
          <w:sz w:val="22"/>
          <w:szCs w:val="22"/>
          <w:highlight w:val="yellow"/>
          <w:lang w:val="es-ES"/>
        </w:rPr>
        <w:instrText>persovalores_personalizable1385</w:instrText>
      </w:r>
      <w:r w:rsidR="00432EBA">
        <w:rPr>
          <w:rFonts w:cs="Arial"/>
          <w:sz w:val="22"/>
          <w:szCs w:val="22"/>
          <w:highlight w:val="yellow"/>
          <w:lang w:val="es-ES"/>
        </w:rPr>
        <w:fldChar w:fldCharType="separate"/>
      </w:r>
      <w:r w:rsidR="00432EBA">
        <w:rPr>
          <w:rFonts w:cs="Arial"/>
          <w:noProof/>
          <w:sz w:val="22"/>
          <w:szCs w:val="22"/>
          <w:highlight w:val="yellow"/>
          <w:lang w:val="es-ES"/>
        </w:rPr>
        <w:t>«RECURSOS_APELACION_Diferencia_entre_tae_»</w:t>
      </w:r>
      <w:r w:rsidR="00432EBA">
        <w:rPr>
          <w:rFonts w:cs="Arial"/>
          <w:sz w:val="22"/>
          <w:szCs w:val="22"/>
          <w:highlight w:val="yellow"/>
          <w:lang w:val="es-ES"/>
        </w:rPr>
        <w:fldChar w:fldCharType="end"/>
      </w:r>
      <w:r w:rsidR="00E93500">
        <w:rPr>
          <w:rFonts w:cs="Arial"/>
          <w:sz w:val="22"/>
          <w:szCs w:val="22"/>
          <w:lang w:val="es-ES"/>
        </w:rPr>
        <w:t xml:space="preserve"> </w:t>
      </w:r>
      <w:r w:rsidRPr="00BB437C">
        <w:rPr>
          <w:rFonts w:cs="Arial"/>
          <w:sz w:val="22"/>
          <w:szCs w:val="22"/>
          <w:lang w:val="es-ES"/>
        </w:rPr>
        <w:t xml:space="preserve">puntos porcentuales </w:t>
      </w:r>
      <w:r w:rsidRPr="00656038">
        <w:rPr>
          <w:rFonts w:cs="Arial"/>
          <w:sz w:val="22"/>
          <w:szCs w:val="22"/>
          <w:lang w:val="es-ES"/>
        </w:rPr>
        <w:t>no puede ser calificada como usuraria conforme a la jurisprudencia del Tribunal Supremo</w:t>
      </w:r>
      <w:r>
        <w:rPr>
          <w:rFonts w:cs="Arial"/>
          <w:sz w:val="22"/>
          <w:szCs w:val="22"/>
          <w:lang w:val="es-ES"/>
        </w:rPr>
        <w:t xml:space="preserve"> -</w:t>
      </w:r>
      <w:r w:rsidRPr="00AA01F5">
        <w:rPr>
          <w:rFonts w:cs="Arial"/>
          <w:b/>
          <w:bCs/>
          <w:sz w:val="22"/>
          <w:szCs w:val="22"/>
          <w:lang w:val="es-ES"/>
        </w:rPr>
        <w:t xml:space="preserve">y menos aún, con la todavía más reciente </w:t>
      </w:r>
      <w:r>
        <w:rPr>
          <w:rFonts w:cs="Arial"/>
          <w:b/>
          <w:bCs/>
          <w:sz w:val="22"/>
          <w:szCs w:val="22"/>
          <w:lang w:val="es-ES"/>
        </w:rPr>
        <w:t>S</w:t>
      </w:r>
      <w:r w:rsidRPr="00AA01F5">
        <w:rPr>
          <w:rFonts w:cs="Arial"/>
          <w:b/>
          <w:bCs/>
          <w:sz w:val="22"/>
          <w:szCs w:val="22"/>
          <w:lang w:val="es-ES"/>
        </w:rPr>
        <w:t>entencia del Tribunal Supremo núm. 258/2023, de 15 de febrero, que establece</w:t>
      </w:r>
      <w:r>
        <w:rPr>
          <w:rFonts w:cs="Arial"/>
          <w:b/>
          <w:bCs/>
          <w:sz w:val="22"/>
          <w:szCs w:val="22"/>
          <w:lang w:val="es-ES"/>
        </w:rPr>
        <w:t xml:space="preserve"> que la</w:t>
      </w:r>
      <w:r w:rsidRPr="00AA01F5">
        <w:rPr>
          <w:rFonts w:cs="Arial"/>
          <w:b/>
          <w:bCs/>
          <w:sz w:val="22"/>
          <w:szCs w:val="22"/>
          <w:lang w:val="es-ES"/>
        </w:rPr>
        <w:t xml:space="preserve"> diferencia </w:t>
      </w:r>
      <w:r>
        <w:rPr>
          <w:rFonts w:cs="Arial"/>
          <w:b/>
          <w:bCs/>
          <w:sz w:val="22"/>
          <w:szCs w:val="22"/>
          <w:lang w:val="es-ES"/>
        </w:rPr>
        <w:t>debe ser superior los</w:t>
      </w:r>
      <w:r w:rsidRPr="00AA01F5">
        <w:rPr>
          <w:rFonts w:cs="Arial"/>
          <w:b/>
          <w:bCs/>
          <w:sz w:val="22"/>
          <w:szCs w:val="22"/>
          <w:lang w:val="es-ES"/>
        </w:rPr>
        <w:t xml:space="preserve"> 6 puntos </w:t>
      </w:r>
      <w:r>
        <w:rPr>
          <w:rFonts w:cs="Arial"/>
          <w:b/>
          <w:bCs/>
          <w:sz w:val="22"/>
          <w:szCs w:val="22"/>
          <w:lang w:val="es-ES"/>
        </w:rPr>
        <w:t>para poder ser calificada de usuraria</w:t>
      </w:r>
      <w:r>
        <w:rPr>
          <w:rFonts w:cs="Arial"/>
          <w:sz w:val="22"/>
          <w:szCs w:val="22"/>
          <w:lang w:val="es-ES"/>
        </w:rPr>
        <w:t>-</w:t>
      </w:r>
      <w:r w:rsidRPr="00656038">
        <w:rPr>
          <w:rFonts w:cs="Arial"/>
          <w:sz w:val="22"/>
          <w:szCs w:val="22"/>
          <w:lang w:val="es-ES"/>
        </w:rPr>
        <w:t xml:space="preserve">, </w:t>
      </w:r>
      <w:r>
        <w:rPr>
          <w:rFonts w:cs="Arial"/>
          <w:sz w:val="22"/>
          <w:szCs w:val="22"/>
          <w:lang w:val="es-ES"/>
        </w:rPr>
        <w:t xml:space="preserve">y </w:t>
      </w:r>
      <w:r w:rsidRPr="00656038">
        <w:rPr>
          <w:rFonts w:cs="Arial"/>
          <w:sz w:val="22"/>
          <w:szCs w:val="22"/>
          <w:lang w:val="es-ES"/>
        </w:rPr>
        <w:t>(</w:t>
      </w:r>
      <w:proofErr w:type="spellStart"/>
      <w:r w:rsidRPr="00656038">
        <w:rPr>
          <w:rFonts w:cs="Arial"/>
          <w:sz w:val="22"/>
          <w:szCs w:val="22"/>
          <w:lang w:val="es-ES"/>
        </w:rPr>
        <w:t>ii</w:t>
      </w:r>
      <w:proofErr w:type="spellEnd"/>
      <w:r w:rsidRPr="00656038">
        <w:rPr>
          <w:rFonts w:cs="Arial"/>
          <w:sz w:val="22"/>
          <w:szCs w:val="22"/>
          <w:lang w:val="es-ES"/>
        </w:rPr>
        <w:t>) que las condiciones generales del contrato y, concretamente, la cláusula que regula el interés remuneratorio no adolece de falta de transparencia pues figura en la primera página del contrato, fue firmado junto con el resto de condiciones y está redactado de manera clara y legible.</w:t>
      </w:r>
      <w:r>
        <w:rPr>
          <w:rFonts w:cs="Arial"/>
          <w:sz w:val="22"/>
          <w:szCs w:val="22"/>
          <w:lang w:val="es-ES"/>
        </w:rPr>
        <w:t xml:space="preserve"> </w:t>
      </w:r>
      <w:r w:rsidRPr="007A0AFD">
        <w:rPr>
          <w:rFonts w:cs="Arial"/>
          <w:sz w:val="22"/>
          <w:szCs w:val="22"/>
          <w:highlight w:val="green"/>
          <w:lang w:val="es-ES"/>
        </w:rPr>
        <w:t>[OJO SI NUESTRO INFORME SON RANGOS, PONER EL RANGO Y TAMBIEN LA MEDIA]</w:t>
      </w:r>
    </w:p>
    <w:p w14:paraId="0E59F4D6" w14:textId="77777777" w:rsidR="00E72F21" w:rsidRPr="00656038" w:rsidRDefault="00E72F21" w:rsidP="00E72F21">
      <w:pPr>
        <w:spacing w:line="360" w:lineRule="auto"/>
        <w:rPr>
          <w:rFonts w:cs="Arial"/>
          <w:sz w:val="22"/>
          <w:szCs w:val="22"/>
          <w:lang w:val="es-ES"/>
        </w:rPr>
      </w:pPr>
    </w:p>
    <w:p w14:paraId="2C127057" w14:textId="104E2D21" w:rsidR="00E72F21" w:rsidRDefault="00E72F21" w:rsidP="00E72F21">
      <w:pPr>
        <w:pStyle w:val="Body1"/>
        <w:spacing w:after="240" w:line="360" w:lineRule="auto"/>
        <w:rPr>
          <w:rFonts w:cs="Arial"/>
          <w:sz w:val="22"/>
          <w:szCs w:val="22"/>
          <w:lang w:val="es-ES_tradnl"/>
        </w:rPr>
      </w:pPr>
      <w:r>
        <w:rPr>
          <w:rFonts w:cs="Arial"/>
          <w:sz w:val="22"/>
          <w:szCs w:val="22"/>
          <w:lang w:val="es-ES_tradnl"/>
        </w:rPr>
        <w:t xml:space="preserve">Posteriormente, en fecha </w:t>
      </w:r>
      <w:r w:rsidR="00E93500">
        <w:rPr>
          <w:rFonts w:cs="Arial"/>
          <w:b/>
          <w:bCs/>
          <w:sz w:val="22"/>
          <w:szCs w:val="22"/>
          <w:highlight w:val="yellow"/>
          <w:lang w:val="es-ES_tradnl"/>
        </w:rPr>
        <w:fldChar w:fldCharType="begin"/>
      </w:r>
      <w:r w:rsidR="00E93500">
        <w:rPr>
          <w:rFonts w:cs="Arial"/>
          <w:b/>
          <w:bCs/>
          <w:sz w:val="22"/>
          <w:szCs w:val="22"/>
          <w:highlight w:val="yellow"/>
          <w:lang w:val="es-ES_tradnl"/>
        </w:rPr>
        <w:instrText>persovalores_personalizable1348</w:instrText>
      </w:r>
      <w:r w:rsidR="00E93500">
        <w:rPr>
          <w:rFonts w:cs="Arial"/>
          <w:b/>
          <w:bCs/>
          <w:sz w:val="22"/>
          <w:szCs w:val="22"/>
          <w:highlight w:val="yellow"/>
          <w:lang w:val="es-ES_tradnl"/>
        </w:rPr>
        <w:fldChar w:fldCharType="separate"/>
      </w:r>
      <w:r w:rsidR="00E93500">
        <w:rPr>
          <w:rFonts w:cs="Arial"/>
          <w:b/>
          <w:bCs/>
          <w:noProof/>
          <w:sz w:val="22"/>
          <w:szCs w:val="22"/>
          <w:highlight w:val="yellow"/>
          <w:lang w:val="es-ES_tradnl"/>
        </w:rPr>
        <w:t>«RECURSOS_APELACION_Fecha_Sentencia»</w:t>
      </w:r>
      <w:r w:rsidR="00E93500">
        <w:rPr>
          <w:rFonts w:cs="Arial"/>
          <w:b/>
          <w:bCs/>
          <w:sz w:val="22"/>
          <w:szCs w:val="22"/>
          <w:highlight w:val="yellow"/>
          <w:lang w:val="es-ES_tradnl"/>
        </w:rPr>
        <w:fldChar w:fldCharType="end"/>
      </w:r>
      <w:r w:rsidR="00E93500">
        <w:rPr>
          <w:rFonts w:cs="Arial"/>
          <w:b/>
          <w:bCs/>
          <w:sz w:val="22"/>
          <w:szCs w:val="22"/>
          <w:lang w:val="es-ES_tradnl"/>
        </w:rPr>
        <w:t xml:space="preserve"> </w:t>
      </w:r>
      <w:r>
        <w:rPr>
          <w:rFonts w:cs="Arial"/>
          <w:sz w:val="22"/>
          <w:szCs w:val="22"/>
          <w:lang w:val="es-ES_tradnl"/>
        </w:rPr>
        <w:t>se dicta sentencia en la que,</w:t>
      </w:r>
      <w:r w:rsidRPr="0035774E">
        <w:rPr>
          <w:rFonts w:cs="Arial"/>
          <w:sz w:val="22"/>
          <w:szCs w:val="22"/>
          <w:lang w:val="es-ES_tradnl"/>
        </w:rPr>
        <w:t xml:space="preserve"> para frustración de esta parte, </w:t>
      </w:r>
      <w:r>
        <w:rPr>
          <w:rFonts w:cs="Arial"/>
          <w:sz w:val="22"/>
          <w:szCs w:val="22"/>
          <w:lang w:val="es-ES_tradnl"/>
        </w:rPr>
        <w:t xml:space="preserve">se </w:t>
      </w:r>
      <w:r w:rsidRPr="0035774E">
        <w:rPr>
          <w:rFonts w:cs="Arial"/>
          <w:sz w:val="22"/>
          <w:szCs w:val="22"/>
          <w:lang w:val="es-ES_tradnl"/>
        </w:rPr>
        <w:t xml:space="preserve">ignora la totalidad de </w:t>
      </w:r>
      <w:r>
        <w:rPr>
          <w:rFonts w:cs="Arial"/>
          <w:sz w:val="22"/>
          <w:szCs w:val="22"/>
          <w:lang w:val="es-ES_tradnl"/>
        </w:rPr>
        <w:t>la</w:t>
      </w:r>
      <w:r w:rsidRPr="0035774E">
        <w:rPr>
          <w:rFonts w:cs="Arial"/>
          <w:sz w:val="22"/>
          <w:szCs w:val="22"/>
          <w:lang w:val="es-ES_tradnl"/>
        </w:rPr>
        <w:t xml:space="preserve"> prueba practicada </w:t>
      </w:r>
      <w:r w:rsidRPr="00D46036">
        <w:rPr>
          <w:rFonts w:cs="Arial"/>
          <w:sz w:val="22"/>
          <w:szCs w:val="22"/>
          <w:lang w:val="es-ES_tradnl"/>
        </w:rPr>
        <w:t xml:space="preserve">-pilar </w:t>
      </w:r>
      <w:r>
        <w:rPr>
          <w:rFonts w:cs="Arial"/>
          <w:sz w:val="22"/>
          <w:szCs w:val="22"/>
          <w:lang w:val="es-ES_tradnl"/>
        </w:rPr>
        <w:t>de nuestra defensa</w:t>
      </w:r>
      <w:r w:rsidRPr="00D46036">
        <w:rPr>
          <w:rFonts w:cs="Arial"/>
          <w:sz w:val="22"/>
          <w:szCs w:val="22"/>
          <w:lang w:val="es-ES_tradnl"/>
        </w:rPr>
        <w:t>-</w:t>
      </w:r>
      <w:r>
        <w:rPr>
          <w:rFonts w:cs="Arial"/>
          <w:sz w:val="22"/>
          <w:szCs w:val="22"/>
          <w:lang w:val="es-ES_tradnl"/>
        </w:rPr>
        <w:t xml:space="preserve">. En su lugar, el juzgador </w:t>
      </w:r>
      <w:r w:rsidRPr="009818FC">
        <w:rPr>
          <w:rFonts w:cs="Arial"/>
          <w:i/>
          <w:iCs/>
          <w:sz w:val="22"/>
          <w:szCs w:val="22"/>
          <w:lang w:val="es-ES_tradnl"/>
        </w:rPr>
        <w:t>a quo</w:t>
      </w:r>
      <w:r>
        <w:rPr>
          <w:rFonts w:cs="Arial"/>
          <w:sz w:val="22"/>
          <w:szCs w:val="22"/>
          <w:lang w:val="es-ES_tradnl"/>
        </w:rPr>
        <w:t xml:space="preserve"> realiza</w:t>
      </w:r>
      <w:r w:rsidRPr="0035774E">
        <w:rPr>
          <w:rFonts w:cs="Arial"/>
          <w:sz w:val="22"/>
          <w:szCs w:val="22"/>
          <w:lang w:val="es-ES_tradnl"/>
        </w:rPr>
        <w:t xml:space="preserve"> </w:t>
      </w:r>
      <w:proofErr w:type="gramStart"/>
      <w:r w:rsidRPr="0035774E">
        <w:rPr>
          <w:rFonts w:cs="Arial"/>
          <w:sz w:val="22"/>
          <w:szCs w:val="22"/>
          <w:lang w:val="es-ES_tradnl"/>
        </w:rPr>
        <w:t>el test</w:t>
      </w:r>
      <w:proofErr w:type="gramEnd"/>
      <w:r w:rsidRPr="0035774E">
        <w:rPr>
          <w:rFonts w:cs="Arial"/>
          <w:sz w:val="22"/>
          <w:szCs w:val="22"/>
          <w:lang w:val="es-ES_tradnl"/>
        </w:rPr>
        <w:t xml:space="preserve"> de usura </w:t>
      </w:r>
      <w:r>
        <w:rPr>
          <w:rFonts w:cs="Arial"/>
          <w:sz w:val="22"/>
          <w:szCs w:val="22"/>
          <w:lang w:val="es-ES_tradnl"/>
        </w:rPr>
        <w:t xml:space="preserve">partiendo del ÍNDICE DE CRÉDITOS AL CONSUMO </w:t>
      </w:r>
      <w:r w:rsidRPr="00B1591C">
        <w:rPr>
          <w:rFonts w:cs="Arial"/>
          <w:sz w:val="22"/>
          <w:szCs w:val="22"/>
          <w:highlight w:val="yellow"/>
          <w:lang w:val="es-ES_tradnl"/>
        </w:rPr>
        <w:t>(***</w:t>
      </w:r>
      <w:r>
        <w:rPr>
          <w:rFonts w:cs="Arial"/>
          <w:sz w:val="22"/>
          <w:szCs w:val="22"/>
          <w:highlight w:val="yellow"/>
          <w:lang w:val="es-ES_tradnl"/>
        </w:rPr>
        <w:t xml:space="preserve"> %</w:t>
      </w:r>
      <w:r w:rsidRPr="00B1591C">
        <w:rPr>
          <w:rFonts w:cs="Arial"/>
          <w:sz w:val="22"/>
          <w:szCs w:val="22"/>
          <w:highlight w:val="yellow"/>
          <w:lang w:val="es-ES_tradnl"/>
        </w:rPr>
        <w:t>)</w:t>
      </w:r>
      <w:r>
        <w:rPr>
          <w:rFonts w:cs="Arial"/>
          <w:sz w:val="22"/>
          <w:szCs w:val="22"/>
          <w:lang w:val="es-ES_tradnl"/>
        </w:rPr>
        <w:t xml:space="preserve"> publicado por el Banco de España para el año de contratación, esto es, </w:t>
      </w:r>
      <w:r w:rsidR="00E93500" w:rsidRPr="00E93500">
        <w:rPr>
          <w:rFonts w:cs="Arial"/>
          <w:sz w:val="22"/>
          <w:szCs w:val="22"/>
          <w:highlight w:val="yellow"/>
          <w:lang w:val="es-ES_tradnl"/>
        </w:rPr>
        <w:fldChar w:fldCharType="begin"/>
      </w:r>
      <w:r w:rsidR="00E93500" w:rsidRPr="00E93500">
        <w:rPr>
          <w:rFonts w:cs="Arial"/>
          <w:sz w:val="22"/>
          <w:szCs w:val="22"/>
          <w:highlight w:val="yellow"/>
          <w:lang w:val="es-ES_tradnl"/>
        </w:rPr>
        <w:instrText>persovalores_personalizable1382</w:instrText>
      </w:r>
      <w:r w:rsidR="00E93500" w:rsidRPr="00E93500">
        <w:rPr>
          <w:rFonts w:cs="Arial"/>
          <w:sz w:val="22"/>
          <w:szCs w:val="22"/>
          <w:highlight w:val="yellow"/>
          <w:lang w:val="es-ES_tradnl"/>
        </w:rPr>
        <w:fldChar w:fldCharType="separate"/>
      </w:r>
      <w:r w:rsidR="00E93500" w:rsidRPr="00E93500">
        <w:rPr>
          <w:rFonts w:cs="Arial"/>
          <w:noProof/>
          <w:sz w:val="22"/>
          <w:szCs w:val="22"/>
          <w:highlight w:val="yellow"/>
          <w:lang w:val="es-ES_tradnl"/>
        </w:rPr>
        <w:t>«RECURSOS_APELACION_Año_contrato»</w:t>
      </w:r>
      <w:r w:rsidR="00E93500" w:rsidRPr="00E93500">
        <w:rPr>
          <w:rFonts w:cs="Arial"/>
          <w:sz w:val="22"/>
          <w:szCs w:val="22"/>
          <w:highlight w:val="yellow"/>
          <w:lang w:val="es-ES_tradnl"/>
        </w:rPr>
        <w:fldChar w:fldCharType="end"/>
      </w:r>
      <w:r>
        <w:rPr>
          <w:rFonts w:cs="Arial"/>
          <w:sz w:val="22"/>
          <w:szCs w:val="22"/>
          <w:lang w:val="es-ES_tradnl"/>
        </w:rPr>
        <w:t xml:space="preserve">, sin </w:t>
      </w:r>
      <w:r>
        <w:rPr>
          <w:rFonts w:cs="Arial"/>
          <w:sz w:val="22"/>
          <w:szCs w:val="22"/>
          <w:lang w:val="es-ES_tradnl"/>
        </w:rPr>
        <w:lastRenderedPageBreak/>
        <w:t xml:space="preserve">tener en cuenta porcentaje alguno en </w:t>
      </w:r>
      <w:r w:rsidRPr="00EA3470">
        <w:rPr>
          <w:rFonts w:cs="Arial"/>
          <w:sz w:val="22"/>
          <w:szCs w:val="22"/>
          <w:lang w:val="es-ES_tradnl"/>
        </w:rPr>
        <w:t>concepto de comisiones y demás gastos de financiación del crédito</w:t>
      </w:r>
      <w:r>
        <w:rPr>
          <w:rFonts w:cs="Arial"/>
          <w:sz w:val="22"/>
          <w:szCs w:val="22"/>
          <w:lang w:val="es-ES_tradnl"/>
        </w:rPr>
        <w:t xml:space="preserve">. </w:t>
      </w:r>
    </w:p>
    <w:p w14:paraId="5A6C85BB" w14:textId="77777777" w:rsidR="00E72F21" w:rsidRDefault="00E72F21" w:rsidP="00E72F21">
      <w:pPr>
        <w:spacing w:line="360" w:lineRule="auto"/>
        <w:rPr>
          <w:rFonts w:eastAsia="Calibri" w:cs="Arial"/>
          <w:bCs/>
          <w:sz w:val="22"/>
          <w:szCs w:val="22"/>
          <w:lang w:val="es-ES" w:eastAsia="en-US"/>
        </w:rPr>
      </w:pPr>
    </w:p>
    <w:p w14:paraId="105345C1" w14:textId="77777777" w:rsidR="00E72F21" w:rsidRPr="005C470C" w:rsidRDefault="00E72F21" w:rsidP="00E72F21">
      <w:pPr>
        <w:spacing w:line="360" w:lineRule="auto"/>
        <w:rPr>
          <w:rFonts w:eastAsia="Calibri" w:cs="Arial"/>
          <w:bCs/>
          <w:sz w:val="22"/>
          <w:szCs w:val="22"/>
          <w:lang w:val="es-ES" w:eastAsia="en-US"/>
        </w:rPr>
      </w:pPr>
      <w:r>
        <w:rPr>
          <w:rFonts w:eastAsia="Calibri" w:cs="Arial"/>
          <w:bCs/>
          <w:sz w:val="22"/>
          <w:szCs w:val="22"/>
          <w:lang w:val="es-ES" w:eastAsia="en-US"/>
        </w:rPr>
        <w:t xml:space="preserve">En concreto, dicho sea, en estrictos términos de defensa, consideramos que la Sentencia ahora recurrida resulta </w:t>
      </w:r>
      <w:r w:rsidRPr="005C470C">
        <w:rPr>
          <w:rFonts w:eastAsia="Calibri" w:cs="Arial"/>
          <w:bCs/>
          <w:sz w:val="22"/>
          <w:szCs w:val="22"/>
          <w:lang w:val="es-ES" w:eastAsia="en-US"/>
        </w:rPr>
        <w:t xml:space="preserve">errónea dado que </w:t>
      </w:r>
      <w:r w:rsidRPr="005C470C">
        <w:rPr>
          <w:rFonts w:eastAsia="Calibri" w:cs="Arial"/>
          <w:b/>
          <w:bCs/>
          <w:sz w:val="22"/>
          <w:szCs w:val="22"/>
          <w:u w:val="single"/>
          <w:lang w:val="es-ES" w:eastAsia="en-US"/>
        </w:rPr>
        <w:t xml:space="preserve">no ha aplicado como termino de referencia para </w:t>
      </w:r>
      <w:proofErr w:type="gramStart"/>
      <w:r w:rsidRPr="005C470C">
        <w:rPr>
          <w:rFonts w:eastAsia="Calibri" w:cs="Arial"/>
          <w:b/>
          <w:bCs/>
          <w:sz w:val="22"/>
          <w:szCs w:val="22"/>
          <w:u w:val="single"/>
          <w:lang w:val="es-ES" w:eastAsia="en-US"/>
        </w:rPr>
        <w:t>el test</w:t>
      </w:r>
      <w:proofErr w:type="gramEnd"/>
      <w:r w:rsidRPr="005C470C">
        <w:rPr>
          <w:rFonts w:eastAsia="Calibri" w:cs="Arial"/>
          <w:b/>
          <w:bCs/>
          <w:sz w:val="22"/>
          <w:szCs w:val="22"/>
          <w:u w:val="single"/>
          <w:lang w:val="es-ES" w:eastAsia="en-US"/>
        </w:rPr>
        <w:t xml:space="preserve"> de usura el precio habitual ofertado en el mercado para una categoría de productos equivalente</w:t>
      </w:r>
      <w:r w:rsidRPr="005C470C">
        <w:rPr>
          <w:rFonts w:eastAsia="Calibri" w:cs="Arial"/>
          <w:bCs/>
          <w:sz w:val="22"/>
          <w:szCs w:val="22"/>
          <w:lang w:val="es-ES" w:eastAsia="en-US"/>
        </w:rPr>
        <w:t>, tal y como exige nuestro Alto Tribunal en la reciente sentencia de 4 de mayo de 2022 núm. 367/022 (la “</w:t>
      </w:r>
      <w:r w:rsidRPr="005C470C">
        <w:rPr>
          <w:rFonts w:eastAsia="Calibri" w:cs="Arial"/>
          <w:b/>
          <w:bCs/>
          <w:sz w:val="22"/>
          <w:szCs w:val="22"/>
          <w:lang w:val="es-ES" w:eastAsia="en-US"/>
        </w:rPr>
        <w:t xml:space="preserve">Sentencia </w:t>
      </w:r>
      <w:proofErr w:type="spellStart"/>
      <w:r w:rsidRPr="005C470C">
        <w:rPr>
          <w:rFonts w:eastAsia="Calibri" w:cs="Arial"/>
          <w:b/>
          <w:bCs/>
          <w:sz w:val="22"/>
          <w:szCs w:val="22"/>
          <w:lang w:val="es-ES" w:eastAsia="en-US"/>
        </w:rPr>
        <w:t>revolving</w:t>
      </w:r>
      <w:proofErr w:type="spellEnd"/>
      <w:r w:rsidRPr="005C470C">
        <w:rPr>
          <w:rFonts w:eastAsia="Calibri" w:cs="Arial"/>
          <w:b/>
          <w:bCs/>
          <w:sz w:val="22"/>
          <w:szCs w:val="22"/>
          <w:lang w:val="es-ES" w:eastAsia="en-US"/>
        </w:rPr>
        <w:t xml:space="preserve"> 2022</w:t>
      </w:r>
      <w:r w:rsidRPr="005C470C">
        <w:rPr>
          <w:rFonts w:eastAsia="Calibri" w:cs="Arial"/>
          <w:bCs/>
          <w:sz w:val="22"/>
          <w:szCs w:val="22"/>
          <w:lang w:val="es-ES" w:eastAsia="en-US"/>
        </w:rPr>
        <w:t>”):</w:t>
      </w:r>
    </w:p>
    <w:p w14:paraId="65A7C963" w14:textId="77777777" w:rsidR="00E72F21" w:rsidRPr="005C470C" w:rsidRDefault="00E72F21" w:rsidP="00E72F21">
      <w:pPr>
        <w:spacing w:line="360" w:lineRule="auto"/>
        <w:rPr>
          <w:rFonts w:eastAsia="Calibri" w:cs="Arial"/>
          <w:bCs/>
          <w:sz w:val="22"/>
          <w:szCs w:val="22"/>
          <w:lang w:val="es-ES" w:eastAsia="en-US"/>
        </w:rPr>
      </w:pPr>
      <w:r w:rsidRPr="005C470C">
        <w:rPr>
          <w:rFonts w:eastAsia="Calibri" w:cs="Arial"/>
          <w:bCs/>
          <w:sz w:val="22"/>
          <w:szCs w:val="22"/>
          <w:lang w:val="es-ES" w:eastAsia="en-US"/>
        </w:rPr>
        <w:t xml:space="preserve"> </w:t>
      </w:r>
    </w:p>
    <w:p w14:paraId="70E5D7B8" w14:textId="77777777" w:rsidR="00E72F21" w:rsidRPr="005C470C" w:rsidRDefault="00E72F21" w:rsidP="00E72F21">
      <w:pPr>
        <w:spacing w:line="360" w:lineRule="auto"/>
        <w:ind w:left="567" w:right="566"/>
        <w:rPr>
          <w:rFonts w:eastAsia="Calibri" w:cs="Arial"/>
          <w:bCs/>
          <w:sz w:val="22"/>
          <w:szCs w:val="22"/>
          <w:lang w:val="es-ES" w:eastAsia="en-US"/>
        </w:rPr>
      </w:pPr>
      <w:r w:rsidRPr="005C470C">
        <w:rPr>
          <w:rFonts w:eastAsia="Calibri" w:cs="Arial"/>
          <w:bCs/>
          <w:sz w:val="22"/>
          <w:szCs w:val="22"/>
          <w:lang w:val="es-ES" w:eastAsia="en-US"/>
        </w:rPr>
        <w:t>“</w:t>
      </w:r>
      <w:r w:rsidRPr="005C470C">
        <w:rPr>
          <w:rFonts w:eastAsia="Calibri" w:cs="Arial"/>
          <w:bCs/>
          <w:i/>
          <w:iCs/>
          <w:sz w:val="22"/>
          <w:szCs w:val="22"/>
          <w:lang w:val="es-ES" w:eastAsia="en-US"/>
        </w:rPr>
        <w:t xml:space="preserve">el tipo medio de interés, en el momento de celebración del contrato, correspondiente a la categoría a la que corresponda la operación crediticia cuestionada. Y que, </w:t>
      </w:r>
      <w:r w:rsidRPr="005C470C">
        <w:rPr>
          <w:rFonts w:eastAsia="Calibri" w:cs="Arial"/>
          <w:b/>
          <w:bCs/>
          <w:i/>
          <w:iCs/>
          <w:sz w:val="22"/>
          <w:szCs w:val="22"/>
          <w:lang w:val="es-ES" w:eastAsia="en-US"/>
        </w:rPr>
        <w:t>si existen categorías más específicas dentro de otras más amplias</w:t>
      </w:r>
      <w:r w:rsidRPr="005C470C">
        <w:rPr>
          <w:rFonts w:eastAsia="Calibri" w:cs="Arial"/>
          <w:bCs/>
          <w:i/>
          <w:iCs/>
          <w:sz w:val="22"/>
          <w:szCs w:val="22"/>
          <w:lang w:val="es-ES" w:eastAsia="en-US"/>
        </w:rPr>
        <w:t xml:space="preserve"> (como sucede con la de tarjetas de crédito y </w:t>
      </w:r>
      <w:proofErr w:type="spellStart"/>
      <w:r w:rsidRPr="005C470C">
        <w:rPr>
          <w:rFonts w:eastAsia="Calibri" w:cs="Arial"/>
          <w:bCs/>
          <w:i/>
          <w:iCs/>
          <w:sz w:val="22"/>
          <w:szCs w:val="22"/>
          <w:lang w:val="es-ES" w:eastAsia="en-US"/>
        </w:rPr>
        <w:t>revolving</w:t>
      </w:r>
      <w:proofErr w:type="spellEnd"/>
      <w:r w:rsidRPr="005C470C">
        <w:rPr>
          <w:rFonts w:eastAsia="Calibri" w:cs="Arial"/>
          <w:bCs/>
          <w:i/>
          <w:iCs/>
          <w:sz w:val="22"/>
          <w:szCs w:val="22"/>
          <w:lang w:val="es-ES" w:eastAsia="en-US"/>
        </w:rPr>
        <w:t xml:space="preserve">, dentro de la categoría más amplia de operaciones de crédito al consumo), </w:t>
      </w:r>
      <w:r w:rsidRPr="005C470C">
        <w:rPr>
          <w:rFonts w:eastAsia="Calibri" w:cs="Arial"/>
          <w:b/>
          <w:bCs/>
          <w:i/>
          <w:iCs/>
          <w:sz w:val="22"/>
          <w:szCs w:val="22"/>
          <w:lang w:val="es-ES" w:eastAsia="en-US"/>
        </w:rPr>
        <w:t>deberá utilizarse esa categoría más específica, con la que la operación crediticia cuestionada presenta más coincidencias</w:t>
      </w:r>
      <w:r w:rsidRPr="005C470C">
        <w:rPr>
          <w:rFonts w:eastAsia="Calibri" w:cs="Arial"/>
          <w:bCs/>
          <w:i/>
          <w:iCs/>
          <w:sz w:val="22"/>
          <w:szCs w:val="22"/>
          <w:lang w:val="es-ES" w:eastAsia="en-US"/>
        </w:rPr>
        <w:t xml:space="preserve"> (duración del crédito...), pues esos rasgos comunes son determinantes del precio del crédito, esto es, </w:t>
      </w:r>
      <w:r w:rsidRPr="005C470C">
        <w:rPr>
          <w:rFonts w:eastAsia="Calibri" w:cs="Arial"/>
          <w:b/>
          <w:bCs/>
          <w:i/>
          <w:iCs/>
          <w:sz w:val="22"/>
          <w:szCs w:val="22"/>
          <w:lang w:val="es-ES" w:eastAsia="en-US"/>
        </w:rPr>
        <w:t>de la TAE del interés remuneratorio</w:t>
      </w:r>
      <w:r w:rsidRPr="005C470C">
        <w:rPr>
          <w:rFonts w:eastAsia="Calibri" w:cs="Arial"/>
          <w:bCs/>
          <w:sz w:val="22"/>
          <w:szCs w:val="22"/>
          <w:lang w:val="es-ES" w:eastAsia="en-US"/>
        </w:rPr>
        <w:t>”.</w:t>
      </w:r>
    </w:p>
    <w:p w14:paraId="3C91983E" w14:textId="77777777" w:rsidR="00E72F21" w:rsidRPr="005C470C" w:rsidRDefault="00E72F21" w:rsidP="00E72F21">
      <w:pPr>
        <w:spacing w:line="360" w:lineRule="auto"/>
        <w:rPr>
          <w:rFonts w:eastAsia="Calibri" w:cs="Arial"/>
          <w:bCs/>
          <w:sz w:val="22"/>
          <w:szCs w:val="22"/>
          <w:lang w:val="es-ES" w:eastAsia="en-US"/>
        </w:rPr>
      </w:pPr>
    </w:p>
    <w:p w14:paraId="388A59AA" w14:textId="5E525320" w:rsidR="00E72F21" w:rsidRPr="005C470C" w:rsidRDefault="00E72F21" w:rsidP="00E72F21">
      <w:pPr>
        <w:spacing w:line="360" w:lineRule="auto"/>
        <w:rPr>
          <w:rFonts w:eastAsia="Calibri" w:cs="Arial"/>
          <w:bCs/>
          <w:sz w:val="22"/>
          <w:szCs w:val="22"/>
          <w:lang w:val="es-ES" w:eastAsia="en-US"/>
        </w:rPr>
      </w:pPr>
      <w:r w:rsidRPr="005C470C">
        <w:rPr>
          <w:rFonts w:eastAsia="Calibri" w:cs="Arial"/>
          <w:bCs/>
          <w:sz w:val="22"/>
          <w:szCs w:val="22"/>
          <w:lang w:val="es-ES" w:eastAsia="en-US"/>
        </w:rPr>
        <w:t xml:space="preserve">Así, la Sentencia, al tomar un término comparativo erróneo, concluye que una TAE de </w:t>
      </w:r>
      <w:r w:rsidR="00E93500">
        <w:rPr>
          <w:rFonts w:eastAsia="Calibri" w:cs="Arial"/>
          <w:bCs/>
          <w:sz w:val="22"/>
          <w:szCs w:val="22"/>
          <w:highlight w:val="yellow"/>
          <w:lang w:val="es-ES" w:eastAsia="en-US"/>
        </w:rPr>
        <w:fldChar w:fldCharType="begin"/>
      </w:r>
      <w:r w:rsidR="00E93500">
        <w:rPr>
          <w:rFonts w:eastAsia="Calibri" w:cs="Arial"/>
          <w:bCs/>
          <w:sz w:val="22"/>
          <w:szCs w:val="22"/>
          <w:highlight w:val="yellow"/>
          <w:lang w:val="es-ES" w:eastAsia="en-US"/>
        </w:rPr>
        <w:instrText>persovalores_personalizable1381</w:instrText>
      </w:r>
      <w:r w:rsidR="00E93500">
        <w:rPr>
          <w:rFonts w:eastAsia="Calibri" w:cs="Arial"/>
          <w:bCs/>
          <w:sz w:val="22"/>
          <w:szCs w:val="22"/>
          <w:highlight w:val="yellow"/>
          <w:lang w:val="es-ES" w:eastAsia="en-US"/>
        </w:rPr>
        <w:fldChar w:fldCharType="separate"/>
      </w:r>
      <w:r w:rsidR="00E93500">
        <w:rPr>
          <w:rFonts w:eastAsia="Calibri" w:cs="Arial"/>
          <w:bCs/>
          <w:noProof/>
          <w:sz w:val="22"/>
          <w:szCs w:val="22"/>
          <w:highlight w:val="yellow"/>
          <w:lang w:val="es-ES" w:eastAsia="en-US"/>
        </w:rPr>
        <w:t>«RECURSOS_APELACION_TAE»</w:t>
      </w:r>
      <w:r w:rsidR="00E93500">
        <w:rPr>
          <w:rFonts w:eastAsia="Calibri" w:cs="Arial"/>
          <w:bCs/>
          <w:sz w:val="22"/>
          <w:szCs w:val="22"/>
          <w:highlight w:val="yellow"/>
          <w:lang w:val="es-ES" w:eastAsia="en-US"/>
        </w:rPr>
        <w:fldChar w:fldCharType="end"/>
      </w:r>
      <w:r w:rsidR="00E93500">
        <w:rPr>
          <w:rFonts w:eastAsia="Calibri" w:cs="Arial"/>
          <w:bCs/>
          <w:sz w:val="22"/>
          <w:szCs w:val="22"/>
          <w:lang w:val="es-ES" w:eastAsia="en-US"/>
        </w:rPr>
        <w:t xml:space="preserve"> </w:t>
      </w:r>
      <w:r>
        <w:rPr>
          <w:rFonts w:eastAsia="Calibri" w:cs="Arial"/>
          <w:bCs/>
          <w:sz w:val="22"/>
          <w:szCs w:val="22"/>
          <w:lang w:val="es-ES" w:eastAsia="en-US"/>
        </w:rPr>
        <w:t xml:space="preserve">es usuraria. </w:t>
      </w:r>
    </w:p>
    <w:p w14:paraId="2E9EB21D" w14:textId="77777777" w:rsidR="00E72F21" w:rsidRDefault="00E72F21" w:rsidP="00E72F21">
      <w:pPr>
        <w:spacing w:line="360" w:lineRule="auto"/>
        <w:rPr>
          <w:rFonts w:eastAsia="Calibri" w:cs="Arial"/>
          <w:bCs/>
          <w:sz w:val="22"/>
          <w:szCs w:val="22"/>
          <w:lang w:val="es-ES" w:eastAsia="en-US"/>
        </w:rPr>
      </w:pPr>
    </w:p>
    <w:p w14:paraId="1923D6D5" w14:textId="77777777" w:rsidR="00E72F21" w:rsidRPr="005C470C" w:rsidRDefault="00E72F21" w:rsidP="00E72F21">
      <w:pPr>
        <w:spacing w:line="360" w:lineRule="auto"/>
        <w:rPr>
          <w:rFonts w:eastAsia="Calibri" w:cs="Arial"/>
          <w:bCs/>
          <w:sz w:val="22"/>
          <w:szCs w:val="22"/>
          <w:lang w:val="es-ES" w:eastAsia="en-US"/>
        </w:rPr>
      </w:pPr>
      <w:r>
        <w:rPr>
          <w:rFonts w:eastAsia="Calibri" w:cs="Arial"/>
          <w:bCs/>
          <w:sz w:val="22"/>
          <w:szCs w:val="22"/>
          <w:lang w:val="es-ES" w:eastAsia="en-US"/>
        </w:rPr>
        <w:t>E</w:t>
      </w:r>
      <w:r w:rsidRPr="005C470C">
        <w:rPr>
          <w:rFonts w:eastAsia="Calibri" w:cs="Arial"/>
          <w:bCs/>
          <w:sz w:val="22"/>
          <w:szCs w:val="22"/>
          <w:lang w:val="es-ES" w:eastAsia="en-US"/>
        </w:rPr>
        <w:t xml:space="preserve">l Tribunal Supremo ya establecido en su Sentencia </w:t>
      </w:r>
      <w:proofErr w:type="spellStart"/>
      <w:r w:rsidRPr="005C470C">
        <w:rPr>
          <w:rFonts w:eastAsia="Calibri" w:cs="Arial"/>
          <w:bCs/>
          <w:sz w:val="22"/>
          <w:szCs w:val="22"/>
          <w:lang w:val="es-ES" w:eastAsia="en-US"/>
        </w:rPr>
        <w:t>revolving</w:t>
      </w:r>
      <w:proofErr w:type="spellEnd"/>
      <w:r w:rsidRPr="005C470C">
        <w:rPr>
          <w:rFonts w:eastAsia="Calibri" w:cs="Arial"/>
          <w:bCs/>
          <w:sz w:val="22"/>
          <w:szCs w:val="22"/>
          <w:lang w:val="es-ES" w:eastAsia="en-US"/>
        </w:rPr>
        <w:t xml:space="preserve"> 2022 (reiterando lo ya dicho en la anterior sentencia 149/2020, de 4 de marzo) que para realizar </w:t>
      </w:r>
      <w:proofErr w:type="gramStart"/>
      <w:r w:rsidRPr="005C470C">
        <w:rPr>
          <w:rFonts w:eastAsia="Calibri" w:cs="Arial"/>
          <w:bCs/>
          <w:sz w:val="22"/>
          <w:szCs w:val="22"/>
          <w:lang w:val="es-ES" w:eastAsia="en-US"/>
        </w:rPr>
        <w:t>el test</w:t>
      </w:r>
      <w:proofErr w:type="gramEnd"/>
      <w:r w:rsidRPr="005C470C">
        <w:rPr>
          <w:rFonts w:eastAsia="Calibri" w:cs="Arial"/>
          <w:bCs/>
          <w:sz w:val="22"/>
          <w:szCs w:val="22"/>
          <w:lang w:val="es-ES" w:eastAsia="en-US"/>
        </w:rPr>
        <w:t xml:space="preserve"> de usura:</w:t>
      </w:r>
    </w:p>
    <w:p w14:paraId="0EF56A1F" w14:textId="77777777" w:rsidR="00E72F21" w:rsidRPr="005C470C" w:rsidRDefault="00E72F21" w:rsidP="00E72F21">
      <w:pPr>
        <w:spacing w:line="360" w:lineRule="auto"/>
        <w:ind w:left="567" w:right="424"/>
        <w:rPr>
          <w:rFonts w:cs="Arial"/>
          <w:sz w:val="22"/>
          <w:szCs w:val="22"/>
          <w:lang w:val="es-ES"/>
        </w:rPr>
      </w:pPr>
    </w:p>
    <w:p w14:paraId="77F4D856" w14:textId="77777777" w:rsidR="00E72F21" w:rsidRPr="005C470C" w:rsidRDefault="00E72F21" w:rsidP="00E72F21">
      <w:pPr>
        <w:spacing w:line="360" w:lineRule="auto"/>
        <w:ind w:left="567" w:right="424"/>
        <w:rPr>
          <w:rFonts w:cs="Arial"/>
          <w:i/>
          <w:iCs/>
          <w:sz w:val="22"/>
          <w:szCs w:val="22"/>
          <w:lang w:val="es-ES"/>
        </w:rPr>
      </w:pPr>
      <w:r w:rsidRPr="005C470C">
        <w:rPr>
          <w:rFonts w:cs="Arial"/>
          <w:sz w:val="22"/>
          <w:szCs w:val="22"/>
          <w:lang w:val="es-ES"/>
        </w:rPr>
        <w:t>“</w:t>
      </w:r>
      <w:r w:rsidRPr="005C470C">
        <w:rPr>
          <w:rFonts w:cs="Arial"/>
          <w:b/>
          <w:bCs/>
          <w:i/>
          <w:iCs/>
          <w:sz w:val="22"/>
          <w:szCs w:val="22"/>
          <w:lang w:val="es-ES"/>
        </w:rPr>
        <w:t xml:space="preserve">debe ser tomado como referencia es el tipo medio aplicado a las operaciones de crédito mediante tarjetas de crédito y </w:t>
      </w:r>
      <w:proofErr w:type="spellStart"/>
      <w:r w:rsidRPr="005C470C">
        <w:rPr>
          <w:rFonts w:cs="Arial"/>
          <w:b/>
          <w:bCs/>
          <w:i/>
          <w:iCs/>
          <w:sz w:val="22"/>
          <w:szCs w:val="22"/>
          <w:lang w:val="es-ES"/>
        </w:rPr>
        <w:t>revolving</w:t>
      </w:r>
      <w:proofErr w:type="spellEnd"/>
      <w:r w:rsidRPr="005C470C">
        <w:rPr>
          <w:rFonts w:cs="Arial"/>
          <w:i/>
          <w:iCs/>
          <w:sz w:val="22"/>
          <w:szCs w:val="22"/>
          <w:lang w:val="es-ES"/>
        </w:rPr>
        <w:t xml:space="preserve"> con las que más específicamente comparte características la operación de crédito objeto de la demanda</w:t>
      </w:r>
      <w:r w:rsidRPr="005C470C">
        <w:rPr>
          <w:rFonts w:cs="Arial"/>
          <w:sz w:val="22"/>
          <w:szCs w:val="22"/>
          <w:lang w:val="es-ES"/>
        </w:rPr>
        <w:t xml:space="preserve">” (el destacado es nuestro). </w:t>
      </w:r>
    </w:p>
    <w:p w14:paraId="071C5A79" w14:textId="77777777" w:rsidR="00E72F21" w:rsidRPr="005C470C" w:rsidRDefault="00E72F21" w:rsidP="00E72F21">
      <w:pPr>
        <w:spacing w:line="360" w:lineRule="auto"/>
        <w:rPr>
          <w:rFonts w:eastAsia="Calibri" w:cs="Arial"/>
          <w:bCs/>
          <w:sz w:val="22"/>
          <w:szCs w:val="22"/>
          <w:lang w:val="es-ES" w:eastAsia="en-US"/>
        </w:rPr>
      </w:pPr>
    </w:p>
    <w:p w14:paraId="65C797EA" w14:textId="77777777" w:rsidR="00E72F21" w:rsidRPr="005C470C" w:rsidRDefault="00E72F21" w:rsidP="00E72F21">
      <w:pPr>
        <w:spacing w:line="360" w:lineRule="auto"/>
        <w:ind w:left="567"/>
        <w:rPr>
          <w:rFonts w:eastAsia="Calibri" w:cs="Arial"/>
          <w:bCs/>
          <w:sz w:val="22"/>
          <w:szCs w:val="22"/>
          <w:lang w:val="es-ES" w:eastAsia="en-US"/>
        </w:rPr>
      </w:pPr>
      <w:r w:rsidRPr="005C470C">
        <w:rPr>
          <w:rFonts w:eastAsia="Calibri" w:cs="Arial"/>
          <w:bCs/>
          <w:sz w:val="22"/>
          <w:szCs w:val="22"/>
          <w:lang w:val="es-ES" w:eastAsia="en-US"/>
        </w:rPr>
        <w:t xml:space="preserve">Y continúa negando taxativamente que el interés de referencia para </w:t>
      </w:r>
      <w:proofErr w:type="gramStart"/>
      <w:r w:rsidRPr="005C470C">
        <w:rPr>
          <w:rFonts w:eastAsia="Calibri" w:cs="Arial"/>
          <w:bCs/>
          <w:sz w:val="22"/>
          <w:szCs w:val="22"/>
          <w:lang w:val="es-ES" w:eastAsia="en-US"/>
        </w:rPr>
        <w:t>el test</w:t>
      </w:r>
      <w:proofErr w:type="gramEnd"/>
      <w:r w:rsidRPr="005C470C">
        <w:rPr>
          <w:rFonts w:eastAsia="Calibri" w:cs="Arial"/>
          <w:bCs/>
          <w:sz w:val="22"/>
          <w:szCs w:val="22"/>
          <w:lang w:val="es-ES" w:eastAsia="en-US"/>
        </w:rPr>
        <w:t xml:space="preserve"> de usura sea el interés general de los créditos al consumo, tal y como pretende la Demandante: </w:t>
      </w:r>
    </w:p>
    <w:p w14:paraId="544887DF" w14:textId="77777777" w:rsidR="00E93500" w:rsidRPr="005C470C" w:rsidRDefault="00E93500" w:rsidP="00596BAC">
      <w:pPr>
        <w:spacing w:line="360" w:lineRule="auto"/>
        <w:ind w:right="424"/>
        <w:rPr>
          <w:rFonts w:eastAsia="Calibri" w:cs="Arial"/>
          <w:bCs/>
          <w:i/>
          <w:iCs/>
          <w:sz w:val="22"/>
          <w:szCs w:val="22"/>
          <w:lang w:val="es-ES" w:eastAsia="en-US"/>
        </w:rPr>
      </w:pPr>
    </w:p>
    <w:p w14:paraId="09CED5FA" w14:textId="77777777" w:rsidR="00E72F21" w:rsidRPr="005C470C" w:rsidRDefault="00E72F21" w:rsidP="00E72F21">
      <w:pPr>
        <w:spacing w:line="360" w:lineRule="auto"/>
        <w:ind w:left="567" w:right="424"/>
        <w:rPr>
          <w:rFonts w:eastAsia="Calibri" w:cs="Arial"/>
          <w:bCs/>
          <w:i/>
          <w:iCs/>
          <w:sz w:val="22"/>
          <w:szCs w:val="22"/>
          <w:lang w:val="es-ES" w:eastAsia="en-US"/>
        </w:rPr>
      </w:pPr>
      <w:r w:rsidRPr="005C470C">
        <w:rPr>
          <w:rFonts w:eastAsia="Calibri" w:cs="Arial"/>
          <w:bCs/>
          <w:i/>
          <w:iCs/>
          <w:sz w:val="22"/>
          <w:szCs w:val="22"/>
          <w:lang w:val="es-ES" w:eastAsia="en-US"/>
        </w:rPr>
        <w:t>“</w:t>
      </w:r>
      <w:r w:rsidRPr="005C470C">
        <w:rPr>
          <w:rFonts w:eastAsia="Calibri" w:cs="Arial"/>
          <w:b/>
          <w:i/>
          <w:iCs/>
          <w:sz w:val="22"/>
          <w:szCs w:val="22"/>
          <w:lang w:val="es-ES" w:eastAsia="en-US"/>
        </w:rPr>
        <w:t>No puede aceptarse la tesis de la recurrente de que el interés de referencia</w:t>
      </w:r>
      <w:r w:rsidRPr="005C470C">
        <w:rPr>
          <w:rFonts w:eastAsia="Calibri" w:cs="Arial"/>
          <w:bCs/>
          <w:i/>
          <w:iCs/>
          <w:sz w:val="22"/>
          <w:szCs w:val="22"/>
          <w:lang w:val="es-ES" w:eastAsia="en-US"/>
        </w:rPr>
        <w:t xml:space="preserve"> que debe emplearse para decidir si el interés del contrato cuestionado es “notablemente superior al normal del dinero y manifiestamente desproporcionado </w:t>
      </w:r>
      <w:r w:rsidRPr="005C470C">
        <w:rPr>
          <w:rFonts w:eastAsia="Calibri" w:cs="Arial"/>
          <w:bCs/>
          <w:i/>
          <w:iCs/>
          <w:sz w:val="22"/>
          <w:szCs w:val="22"/>
          <w:lang w:val="es-ES" w:eastAsia="en-US"/>
        </w:rPr>
        <w:lastRenderedPageBreak/>
        <w:t xml:space="preserve">con las circunstancias del caso” </w:t>
      </w:r>
      <w:r w:rsidRPr="005C470C">
        <w:rPr>
          <w:rFonts w:eastAsia="Calibri" w:cs="Arial"/>
          <w:b/>
          <w:i/>
          <w:iCs/>
          <w:sz w:val="22"/>
          <w:szCs w:val="22"/>
          <w:lang w:val="es-ES" w:eastAsia="en-US"/>
        </w:rPr>
        <w:t>es el general de los créditos al consumo</w:t>
      </w:r>
      <w:r w:rsidRPr="005C470C">
        <w:rPr>
          <w:rFonts w:eastAsia="Calibri" w:cs="Arial"/>
          <w:bCs/>
          <w:i/>
          <w:iCs/>
          <w:sz w:val="22"/>
          <w:szCs w:val="22"/>
          <w:lang w:val="es-ES" w:eastAsia="en-US"/>
        </w:rPr>
        <w:t xml:space="preserve"> y no el más específico de las tarjetas de crédito y </w:t>
      </w:r>
      <w:proofErr w:type="spellStart"/>
      <w:r w:rsidRPr="005C470C">
        <w:rPr>
          <w:rFonts w:eastAsia="Calibri" w:cs="Arial"/>
          <w:bCs/>
          <w:i/>
          <w:iCs/>
          <w:sz w:val="22"/>
          <w:szCs w:val="22"/>
          <w:lang w:val="es-ES" w:eastAsia="en-US"/>
        </w:rPr>
        <w:t>revolving</w:t>
      </w:r>
      <w:proofErr w:type="spellEnd"/>
      <w:r w:rsidRPr="005C470C">
        <w:rPr>
          <w:rFonts w:eastAsia="Calibri" w:cs="Arial"/>
          <w:bCs/>
          <w:i/>
          <w:iCs/>
          <w:sz w:val="22"/>
          <w:szCs w:val="22"/>
          <w:lang w:val="es-ES" w:eastAsia="en-US"/>
        </w:rPr>
        <w:t xml:space="preserve">” </w:t>
      </w:r>
      <w:r w:rsidRPr="005C470C">
        <w:rPr>
          <w:rFonts w:cs="Arial"/>
          <w:sz w:val="22"/>
          <w:szCs w:val="22"/>
          <w:lang w:val="es-ES"/>
        </w:rPr>
        <w:t>(el destacado es nuestro)</w:t>
      </w:r>
      <w:r w:rsidRPr="005C470C">
        <w:rPr>
          <w:rFonts w:eastAsia="Calibri" w:cs="Arial"/>
          <w:bCs/>
          <w:i/>
          <w:iCs/>
          <w:sz w:val="22"/>
          <w:szCs w:val="22"/>
          <w:lang w:val="es-ES" w:eastAsia="en-US"/>
        </w:rPr>
        <w:t xml:space="preserve"> </w:t>
      </w:r>
    </w:p>
    <w:p w14:paraId="5EF38560" w14:textId="77777777" w:rsidR="00E72F21" w:rsidRPr="005C470C" w:rsidRDefault="00E72F21" w:rsidP="00E72F21">
      <w:pPr>
        <w:spacing w:line="360" w:lineRule="auto"/>
        <w:rPr>
          <w:rFonts w:eastAsia="Calibri" w:cs="Arial"/>
          <w:bCs/>
          <w:sz w:val="22"/>
          <w:szCs w:val="22"/>
          <w:lang w:val="es-ES" w:eastAsia="en-US"/>
        </w:rPr>
      </w:pPr>
    </w:p>
    <w:p w14:paraId="3F509E80" w14:textId="77777777" w:rsidR="00E72F21" w:rsidRPr="005C470C" w:rsidRDefault="00E72F21" w:rsidP="00E72F21">
      <w:pPr>
        <w:spacing w:line="360" w:lineRule="auto"/>
        <w:rPr>
          <w:rFonts w:eastAsia="Calibri" w:cs="Arial"/>
          <w:bCs/>
          <w:sz w:val="22"/>
          <w:szCs w:val="22"/>
          <w:lang w:val="es-ES" w:eastAsia="en-US"/>
        </w:rPr>
      </w:pPr>
      <w:r w:rsidRPr="005C470C">
        <w:rPr>
          <w:rFonts w:eastAsia="Calibri" w:cs="Arial"/>
          <w:bCs/>
          <w:sz w:val="22"/>
          <w:szCs w:val="22"/>
          <w:lang w:val="es-ES" w:eastAsia="en-US"/>
        </w:rPr>
        <w:t xml:space="preserve">Lo cierto es que -a pesar de no existir publicaciones oficiales sobre las </w:t>
      </w:r>
      <w:proofErr w:type="spellStart"/>
      <w:r w:rsidRPr="005C470C">
        <w:rPr>
          <w:rFonts w:eastAsia="Calibri" w:cs="Arial"/>
          <w:bCs/>
          <w:sz w:val="22"/>
          <w:szCs w:val="22"/>
          <w:lang w:val="es-ES" w:eastAsia="en-US"/>
        </w:rPr>
        <w:t>TAEs</w:t>
      </w:r>
      <w:proofErr w:type="spellEnd"/>
      <w:r w:rsidRPr="005C470C">
        <w:rPr>
          <w:rFonts w:eastAsia="Calibri" w:cs="Arial"/>
          <w:bCs/>
          <w:sz w:val="22"/>
          <w:szCs w:val="22"/>
          <w:lang w:val="es-ES" w:eastAsia="en-US"/>
        </w:rPr>
        <w:t xml:space="preserve"> utilizadas por las entidades financieras hasta el 2012- </w:t>
      </w:r>
      <w:proofErr w:type="gramStart"/>
      <w:r w:rsidRPr="005C470C">
        <w:rPr>
          <w:rFonts w:eastAsia="Calibri" w:cs="Arial"/>
          <w:bCs/>
          <w:sz w:val="22"/>
          <w:szCs w:val="22"/>
          <w:highlight w:val="yellow"/>
          <w:lang w:val="es-ES" w:eastAsia="en-US"/>
        </w:rPr>
        <w:t>el test</w:t>
      </w:r>
      <w:proofErr w:type="gramEnd"/>
      <w:r w:rsidRPr="005C470C">
        <w:rPr>
          <w:rFonts w:eastAsia="Calibri" w:cs="Arial"/>
          <w:bCs/>
          <w:sz w:val="22"/>
          <w:szCs w:val="22"/>
          <w:highlight w:val="yellow"/>
          <w:lang w:val="es-ES" w:eastAsia="en-US"/>
        </w:rPr>
        <w:t xml:space="preserve"> de usura no puede hacerse con base a los precios de mercado del crédito al consumo general.</w:t>
      </w:r>
      <w:r w:rsidRPr="005C470C">
        <w:rPr>
          <w:rFonts w:eastAsia="Calibri" w:cs="Arial"/>
          <w:bCs/>
          <w:sz w:val="22"/>
          <w:szCs w:val="22"/>
          <w:lang w:val="es-ES" w:eastAsia="en-US"/>
        </w:rPr>
        <w:t xml:space="preserve"> </w:t>
      </w:r>
    </w:p>
    <w:p w14:paraId="12DD5A30" w14:textId="77777777" w:rsidR="00E72F21" w:rsidRPr="005C470C" w:rsidRDefault="00E72F21" w:rsidP="00E72F21">
      <w:pPr>
        <w:spacing w:line="360" w:lineRule="auto"/>
        <w:rPr>
          <w:rFonts w:eastAsia="Calibri" w:cs="Arial"/>
          <w:bCs/>
          <w:sz w:val="22"/>
          <w:szCs w:val="22"/>
          <w:lang w:val="es-ES" w:eastAsia="en-US"/>
        </w:rPr>
      </w:pPr>
      <w:r w:rsidRPr="005C470C">
        <w:rPr>
          <w:rFonts w:eastAsia="Calibri" w:cs="Arial"/>
          <w:bCs/>
          <w:sz w:val="22"/>
          <w:szCs w:val="22"/>
          <w:lang w:val="es-ES" w:eastAsia="en-US"/>
        </w:rPr>
        <w:t xml:space="preserve"> </w:t>
      </w:r>
    </w:p>
    <w:p w14:paraId="50D99411" w14:textId="77777777" w:rsidR="00E72F21" w:rsidRDefault="00E72F21" w:rsidP="00E72F21">
      <w:pPr>
        <w:spacing w:line="360" w:lineRule="auto"/>
        <w:rPr>
          <w:rFonts w:cs="Arial"/>
          <w:sz w:val="22"/>
          <w:szCs w:val="22"/>
          <w:highlight w:val="yellow"/>
          <w:lang w:val="es-ES"/>
        </w:rPr>
      </w:pPr>
      <w:r w:rsidRPr="005C470C">
        <w:rPr>
          <w:rFonts w:eastAsia="Calibri" w:cs="Arial"/>
          <w:bCs/>
          <w:sz w:val="22"/>
          <w:szCs w:val="22"/>
          <w:highlight w:val="yellow"/>
          <w:lang w:val="es-ES" w:eastAsia="en-US"/>
        </w:rPr>
        <w:t xml:space="preserve">La Sentencia recurrida que toma como referencia el precio del crédito al consumo, esto es </w:t>
      </w:r>
      <w:r w:rsidRPr="00E93500">
        <w:rPr>
          <w:rFonts w:eastAsia="Calibri" w:cs="Arial"/>
          <w:bCs/>
          <w:sz w:val="22"/>
          <w:szCs w:val="22"/>
          <w:highlight w:val="green"/>
          <w:lang w:val="es-ES" w:eastAsia="en-US"/>
        </w:rPr>
        <w:t xml:space="preserve">X%, </w:t>
      </w:r>
      <w:r w:rsidRPr="005C470C">
        <w:rPr>
          <w:rFonts w:eastAsia="Calibri" w:cs="Arial"/>
          <w:bCs/>
          <w:sz w:val="22"/>
          <w:szCs w:val="22"/>
          <w:highlight w:val="yellow"/>
          <w:lang w:val="es-ES" w:eastAsia="en-US"/>
        </w:rPr>
        <w:t>es a todas luces contraria a la doctrina del Tribunal Supremo</w:t>
      </w:r>
      <w:r w:rsidRPr="005C470C">
        <w:rPr>
          <w:rFonts w:cs="Arial"/>
          <w:sz w:val="22"/>
          <w:szCs w:val="22"/>
          <w:highlight w:val="yellow"/>
          <w:lang w:val="es-ES"/>
        </w:rPr>
        <w:t xml:space="preserve">. </w:t>
      </w:r>
    </w:p>
    <w:p w14:paraId="46122598" w14:textId="77777777" w:rsidR="00E72F21" w:rsidRPr="00626B97" w:rsidRDefault="00E72F21" w:rsidP="00E72F21">
      <w:pPr>
        <w:spacing w:line="360" w:lineRule="auto"/>
        <w:rPr>
          <w:rFonts w:cs="Arial"/>
          <w:sz w:val="22"/>
          <w:szCs w:val="22"/>
          <w:highlight w:val="yellow"/>
          <w:lang w:val="es-ES"/>
        </w:rPr>
      </w:pPr>
    </w:p>
    <w:p w14:paraId="413914C1" w14:textId="77777777" w:rsidR="00E72F21" w:rsidRDefault="00E72F21" w:rsidP="00E72F21">
      <w:pPr>
        <w:pStyle w:val="Body1"/>
        <w:spacing w:after="240" w:line="360" w:lineRule="auto"/>
        <w:rPr>
          <w:rFonts w:cs="Arial"/>
          <w:sz w:val="22"/>
          <w:szCs w:val="22"/>
          <w:lang w:val="es-ES_tradnl"/>
        </w:rPr>
      </w:pPr>
      <w:r>
        <w:rPr>
          <w:rFonts w:cs="Arial"/>
          <w:sz w:val="22"/>
          <w:szCs w:val="22"/>
          <w:lang w:val="es-ES_tradnl"/>
        </w:rPr>
        <w:t xml:space="preserve">La sentencia olvida, ello dicho con el máximo respecto y en términos de estricta defensa, ajustar este TEDR a la TAE para que ambos tipos puedan ser comparables según la reiterada jurisprudencia de nuestro Tribunal Supremo -extremo que no discutimos-. </w:t>
      </w:r>
    </w:p>
    <w:p w14:paraId="45DE1677" w14:textId="77777777" w:rsidR="00E72F21" w:rsidRDefault="00E72F21" w:rsidP="00E72F21">
      <w:pPr>
        <w:spacing w:after="160" w:line="360" w:lineRule="auto"/>
        <w:rPr>
          <w:rFonts w:eastAsiaTheme="minorHAnsi" w:cs="Arial"/>
          <w:sz w:val="22"/>
          <w:szCs w:val="22"/>
          <w:lang w:val="es-ES_tradnl" w:eastAsia="en-US"/>
        </w:rPr>
      </w:pPr>
      <w:r>
        <w:rPr>
          <w:rFonts w:cs="Arial"/>
          <w:sz w:val="22"/>
          <w:szCs w:val="22"/>
          <w:lang w:val="es-ES_tradnl"/>
        </w:rPr>
        <w:t xml:space="preserve">Así las cosas, el juzgador </w:t>
      </w:r>
      <w:r>
        <w:rPr>
          <w:rFonts w:cs="Arial"/>
          <w:i/>
          <w:iCs/>
          <w:sz w:val="22"/>
          <w:szCs w:val="22"/>
          <w:lang w:val="es-ES_tradnl"/>
        </w:rPr>
        <w:t xml:space="preserve">a quo </w:t>
      </w:r>
      <w:r>
        <w:rPr>
          <w:rFonts w:cs="Arial"/>
          <w:sz w:val="22"/>
          <w:szCs w:val="22"/>
          <w:lang w:val="es-ES_tradnl"/>
        </w:rPr>
        <w:t xml:space="preserve">yerra a la hora de concluir que la TAE del contrato resultaría usuraria </w:t>
      </w:r>
      <w:r w:rsidRPr="00B1591C">
        <w:rPr>
          <w:rFonts w:cs="Arial"/>
          <w:sz w:val="22"/>
          <w:szCs w:val="22"/>
          <w:highlight w:val="yellow"/>
          <w:lang w:val="es-ES_tradnl"/>
        </w:rPr>
        <w:t xml:space="preserve">por superar en más de </w:t>
      </w:r>
      <w:r w:rsidRPr="00E93500">
        <w:rPr>
          <w:rFonts w:cs="Arial"/>
          <w:sz w:val="22"/>
          <w:szCs w:val="22"/>
          <w:highlight w:val="green"/>
          <w:lang w:val="es-ES_tradnl"/>
        </w:rPr>
        <w:t xml:space="preserve">***** puntos porcentuales </w:t>
      </w:r>
      <w:r w:rsidRPr="00B1591C">
        <w:rPr>
          <w:rFonts w:cs="Arial"/>
          <w:sz w:val="22"/>
          <w:szCs w:val="22"/>
          <w:highlight w:val="yellow"/>
          <w:lang w:val="es-ES_tradnl"/>
        </w:rPr>
        <w:t xml:space="preserve">el </w:t>
      </w:r>
      <w:r>
        <w:rPr>
          <w:rFonts w:cs="Arial"/>
          <w:sz w:val="22"/>
          <w:szCs w:val="22"/>
          <w:highlight w:val="yellow"/>
          <w:lang w:val="es-ES_tradnl"/>
        </w:rPr>
        <w:t xml:space="preserve">INDICE DE CREDITOS AL CONSUMO / por ser notablemente </w:t>
      </w:r>
      <w:r w:rsidRPr="00E93500">
        <w:rPr>
          <w:rFonts w:cs="Arial"/>
          <w:sz w:val="22"/>
          <w:szCs w:val="22"/>
          <w:highlight w:val="green"/>
          <w:lang w:val="es-ES_tradnl"/>
        </w:rPr>
        <w:t xml:space="preserve">superior al INDICE </w:t>
      </w:r>
      <w:r>
        <w:rPr>
          <w:rFonts w:cs="Arial"/>
          <w:sz w:val="22"/>
          <w:szCs w:val="22"/>
          <w:highlight w:val="yellow"/>
          <w:lang w:val="es-ES_tradnl"/>
        </w:rPr>
        <w:t>DE CREDITOS AL CONSUMO de la anualidad en cuestión</w:t>
      </w:r>
      <w:r w:rsidRPr="00B1591C">
        <w:rPr>
          <w:rFonts w:cs="Arial"/>
          <w:sz w:val="22"/>
          <w:szCs w:val="22"/>
          <w:highlight w:val="yellow"/>
          <w:lang w:val="es-ES_tradnl"/>
        </w:rPr>
        <w:t>.</w:t>
      </w:r>
      <w:r>
        <w:rPr>
          <w:rFonts w:cs="Arial"/>
          <w:sz w:val="22"/>
          <w:szCs w:val="22"/>
          <w:lang w:val="es-ES_tradnl"/>
        </w:rPr>
        <w:t xml:space="preserve"> Y esto es así porque el propio Tribunal Supremo, con la </w:t>
      </w:r>
      <w:r w:rsidRPr="00626B97">
        <w:rPr>
          <w:rFonts w:cs="Arial"/>
          <w:bCs/>
          <w:sz w:val="22"/>
          <w:szCs w:val="22"/>
          <w:lang w:val="es-ES"/>
        </w:rPr>
        <w:t xml:space="preserve">sentencia de 4 de mayo de 2022 </w:t>
      </w:r>
      <w:r>
        <w:rPr>
          <w:rFonts w:cs="Arial"/>
          <w:bCs/>
          <w:sz w:val="22"/>
          <w:szCs w:val="22"/>
          <w:lang w:val="es-ES"/>
        </w:rPr>
        <w:t>núm. 367/022, antes mencionada, así como,</w:t>
      </w:r>
      <w:r>
        <w:rPr>
          <w:rFonts w:cs="Arial"/>
          <w:sz w:val="22"/>
          <w:szCs w:val="22"/>
          <w:lang w:val="es-ES_tradnl"/>
        </w:rPr>
        <w:t xml:space="preserve"> </w:t>
      </w:r>
      <w:r w:rsidRPr="005B14A5">
        <w:rPr>
          <w:rFonts w:cs="Arial"/>
          <w:b/>
          <w:bCs/>
          <w:sz w:val="22"/>
          <w:szCs w:val="22"/>
          <w:lang w:val="es-ES_tradnl"/>
        </w:rPr>
        <w:t xml:space="preserve">la sentencia </w:t>
      </w:r>
      <w:proofErr w:type="spellStart"/>
      <w:r w:rsidRPr="005B14A5">
        <w:rPr>
          <w:rFonts w:cs="Arial"/>
          <w:b/>
          <w:bCs/>
          <w:sz w:val="22"/>
          <w:szCs w:val="22"/>
          <w:lang w:val="es-ES_tradnl"/>
        </w:rPr>
        <w:t>revolving</w:t>
      </w:r>
      <w:proofErr w:type="spellEnd"/>
      <w:r w:rsidRPr="005B14A5">
        <w:rPr>
          <w:rFonts w:cs="Arial"/>
          <w:b/>
          <w:bCs/>
          <w:sz w:val="22"/>
          <w:szCs w:val="22"/>
          <w:lang w:val="es-ES_tradnl"/>
        </w:rPr>
        <w:t xml:space="preserve"> 2023, </w:t>
      </w:r>
      <w:r>
        <w:rPr>
          <w:rFonts w:cs="Arial"/>
          <w:b/>
          <w:bCs/>
          <w:sz w:val="22"/>
          <w:szCs w:val="22"/>
          <w:u w:val="single"/>
          <w:lang w:val="es-ES_tradnl"/>
        </w:rPr>
        <w:t>determina</w:t>
      </w:r>
      <w:r w:rsidRPr="005B14A5">
        <w:rPr>
          <w:rFonts w:cs="Arial"/>
          <w:b/>
          <w:bCs/>
          <w:sz w:val="22"/>
          <w:szCs w:val="22"/>
          <w:u w:val="single"/>
          <w:lang w:val="es-ES_tradnl"/>
        </w:rPr>
        <w:t xml:space="preserve"> que</w:t>
      </w:r>
      <w:r>
        <w:rPr>
          <w:rFonts w:cs="Arial"/>
          <w:b/>
          <w:bCs/>
          <w:sz w:val="22"/>
          <w:szCs w:val="22"/>
          <w:u w:val="single"/>
          <w:lang w:val="es-ES_tradnl"/>
        </w:rPr>
        <w:t xml:space="preserve">, el TEDR debe ser incrementado ligeramente en las comisiones y gastos para equiparlo a la TAE, </w:t>
      </w:r>
      <w:r w:rsidRPr="003414C5">
        <w:rPr>
          <w:rFonts w:eastAsiaTheme="minorHAnsi" w:cs="Arial"/>
          <w:sz w:val="22"/>
          <w:szCs w:val="22"/>
          <w:lang w:val="es-ES_tradnl" w:eastAsia="en-US"/>
        </w:rPr>
        <w:t>y una vez se ten</w:t>
      </w:r>
      <w:r>
        <w:rPr>
          <w:rFonts w:eastAsiaTheme="minorHAnsi" w:cs="Arial"/>
          <w:sz w:val="22"/>
          <w:szCs w:val="22"/>
          <w:lang w:val="es-ES_tradnl" w:eastAsia="en-US"/>
        </w:rPr>
        <w:t>ga dicho termino de referencia, concluye que</w:t>
      </w:r>
      <w:r>
        <w:rPr>
          <w:rFonts w:cs="Arial"/>
          <w:sz w:val="22"/>
          <w:szCs w:val="22"/>
          <w:lang w:val="es-ES"/>
        </w:rPr>
        <w:t xml:space="preserve"> </w:t>
      </w:r>
      <w:r w:rsidRPr="00BE2A91">
        <w:rPr>
          <w:rFonts w:eastAsiaTheme="minorHAnsi" w:cs="Arial"/>
          <w:b/>
          <w:bCs/>
          <w:sz w:val="22"/>
          <w:szCs w:val="22"/>
          <w:u w:val="single"/>
          <w:lang w:val="es-ES_tradnl" w:eastAsia="en-US"/>
        </w:rPr>
        <w:t>una diferencia de 6 puntos entre el tipo de mercado y el tipo convenido no se puede considerar notablemente superior</w:t>
      </w:r>
      <w:r w:rsidRPr="00BE2A91">
        <w:rPr>
          <w:rFonts w:eastAsiaTheme="minorHAnsi" w:cs="Arial"/>
          <w:sz w:val="22"/>
          <w:szCs w:val="22"/>
          <w:lang w:val="es-ES_tradnl" w:eastAsia="en-US"/>
        </w:rPr>
        <w:t>.</w:t>
      </w:r>
    </w:p>
    <w:p w14:paraId="50D916AA" w14:textId="77777777" w:rsidR="009A7412" w:rsidRPr="00BE2A91" w:rsidRDefault="009A7412" w:rsidP="00E72F21">
      <w:pPr>
        <w:spacing w:after="160" w:line="360" w:lineRule="auto"/>
        <w:rPr>
          <w:rFonts w:eastAsiaTheme="minorHAnsi" w:cs="Arial"/>
          <w:sz w:val="22"/>
          <w:szCs w:val="22"/>
          <w:lang w:val="es-ES_tradnl" w:eastAsia="en-US"/>
        </w:rPr>
      </w:pPr>
    </w:p>
    <w:p w14:paraId="79560D5D" w14:textId="7359CBFA" w:rsidR="00E93500" w:rsidRDefault="00E72F21" w:rsidP="00E72F21">
      <w:pPr>
        <w:spacing w:after="240" w:line="360" w:lineRule="auto"/>
        <w:rPr>
          <w:rFonts w:cs="Arial"/>
          <w:sz w:val="22"/>
          <w:szCs w:val="22"/>
          <w:lang w:val="es-ES_tradnl"/>
        </w:rPr>
      </w:pPr>
      <w:r>
        <w:rPr>
          <w:rFonts w:cs="Arial"/>
          <w:sz w:val="22"/>
          <w:szCs w:val="22"/>
          <w:lang w:val="es-ES_tradnl"/>
        </w:rPr>
        <w:t xml:space="preserve">Es por ello </w:t>
      </w:r>
      <w:proofErr w:type="gramStart"/>
      <w:r>
        <w:rPr>
          <w:rFonts w:cs="Arial"/>
          <w:sz w:val="22"/>
          <w:szCs w:val="22"/>
          <w:lang w:val="es-ES_tradnl"/>
        </w:rPr>
        <w:t>que</w:t>
      </w:r>
      <w:proofErr w:type="gramEnd"/>
      <w:r>
        <w:rPr>
          <w:rFonts w:cs="Arial"/>
          <w:sz w:val="22"/>
          <w:szCs w:val="22"/>
          <w:lang w:val="es-ES_tradnl"/>
        </w:rPr>
        <w:t xml:space="preserve"> esta parte se alzará contra la conclusión alcanzada por la sentencia de instancia</w:t>
      </w:r>
      <w:r w:rsidRPr="0035774E">
        <w:rPr>
          <w:rFonts w:cs="Arial"/>
          <w:sz w:val="22"/>
          <w:szCs w:val="22"/>
          <w:lang w:val="es-ES_tradnl"/>
        </w:rPr>
        <w:t xml:space="preserve">, </w:t>
      </w:r>
      <w:r>
        <w:rPr>
          <w:rFonts w:cs="Arial"/>
          <w:sz w:val="22"/>
          <w:szCs w:val="22"/>
          <w:lang w:val="es-ES_tradnl"/>
        </w:rPr>
        <w:t>por no considerar</w:t>
      </w:r>
      <w:r w:rsidRPr="0035774E" w:rsidDel="003B2B47">
        <w:rPr>
          <w:rFonts w:cs="Arial"/>
          <w:sz w:val="22"/>
          <w:szCs w:val="22"/>
          <w:lang w:val="es-ES_tradnl"/>
        </w:rPr>
        <w:t xml:space="preserve"> </w:t>
      </w:r>
      <w:r>
        <w:rPr>
          <w:rFonts w:cs="Arial"/>
          <w:sz w:val="22"/>
          <w:szCs w:val="22"/>
          <w:lang w:val="es-ES_tradnl"/>
        </w:rPr>
        <w:t>(o no haber podido considerar por motivos temporales) la más reciente jurisprudencia del Tribunal Supremo en la materia, esto es, la S</w:t>
      </w:r>
      <w:r w:rsidRPr="00F91164">
        <w:rPr>
          <w:rFonts w:cs="Arial"/>
          <w:sz w:val="22"/>
          <w:szCs w:val="22"/>
          <w:lang w:val="es-ES_tradnl"/>
        </w:rPr>
        <w:t>entencia del Tribunal Supremo núm. 258/2023, de 15 de febrero</w:t>
      </w:r>
      <w:r>
        <w:rPr>
          <w:rFonts w:cs="Arial"/>
          <w:sz w:val="22"/>
          <w:szCs w:val="22"/>
          <w:lang w:val="es-ES_tradnl"/>
        </w:rPr>
        <w:t>,</w:t>
      </w:r>
      <w:r w:rsidRPr="00F91164">
        <w:rPr>
          <w:rFonts w:cs="Arial"/>
          <w:sz w:val="22"/>
          <w:szCs w:val="22"/>
          <w:lang w:val="es-ES_tradnl"/>
        </w:rPr>
        <w:t xml:space="preserve"> </w:t>
      </w:r>
      <w:r>
        <w:rPr>
          <w:rFonts w:cs="Arial"/>
          <w:sz w:val="22"/>
          <w:szCs w:val="22"/>
          <w:lang w:val="es-ES_tradnl"/>
        </w:rPr>
        <w:t xml:space="preserve">según la cual, </w:t>
      </w:r>
      <w:r w:rsidRPr="00F91164">
        <w:rPr>
          <w:rFonts w:cs="Arial"/>
          <w:sz w:val="22"/>
          <w:szCs w:val="22"/>
          <w:lang w:val="es-ES_tradnl"/>
        </w:rPr>
        <w:t>la tarjeta no supera en más de 6 puntos el interés medio del mercado para el año de contratación y, por tanto, el contrato no resulta usurari</w:t>
      </w:r>
      <w:r>
        <w:rPr>
          <w:rFonts w:cs="Arial"/>
          <w:sz w:val="22"/>
          <w:szCs w:val="22"/>
          <w:lang w:val="es-ES_tradnl"/>
        </w:rPr>
        <w:t>o</w:t>
      </w:r>
      <w:r w:rsidRPr="00F91164">
        <w:rPr>
          <w:rFonts w:cs="Arial"/>
          <w:sz w:val="22"/>
          <w:szCs w:val="22"/>
          <w:lang w:val="es-ES_tradnl"/>
        </w:rPr>
        <w:t>.</w:t>
      </w:r>
    </w:p>
    <w:p w14:paraId="4B35B84F" w14:textId="77777777" w:rsidR="009A7412" w:rsidRDefault="009A7412" w:rsidP="00E72F21">
      <w:pPr>
        <w:spacing w:after="240" w:line="360" w:lineRule="auto"/>
        <w:rPr>
          <w:rFonts w:cs="Arial"/>
          <w:sz w:val="22"/>
          <w:szCs w:val="22"/>
          <w:lang w:val="es-ES_tradnl"/>
        </w:rPr>
      </w:pPr>
    </w:p>
    <w:p w14:paraId="1B6A05DE" w14:textId="77777777" w:rsidR="009A7412" w:rsidRDefault="009A7412" w:rsidP="00E72F21">
      <w:pPr>
        <w:spacing w:after="240" w:line="360" w:lineRule="auto"/>
        <w:rPr>
          <w:rFonts w:cs="Arial"/>
          <w:sz w:val="22"/>
          <w:szCs w:val="22"/>
          <w:lang w:val="es-ES_tradnl"/>
        </w:rPr>
      </w:pPr>
    </w:p>
    <w:p w14:paraId="56AE6956" w14:textId="77777777" w:rsidR="009A7412" w:rsidRPr="009A7412" w:rsidRDefault="009A7412" w:rsidP="00E72F21">
      <w:pPr>
        <w:spacing w:after="240" w:line="360" w:lineRule="auto"/>
        <w:rPr>
          <w:rFonts w:cs="Arial"/>
          <w:sz w:val="22"/>
          <w:szCs w:val="22"/>
          <w:lang w:val="es-ES_tradnl"/>
        </w:rPr>
      </w:pPr>
    </w:p>
    <w:p w14:paraId="3F7E9531" w14:textId="77777777" w:rsidR="00E72F21" w:rsidRDefault="00E72F21" w:rsidP="00E72F21">
      <w:pPr>
        <w:spacing w:after="210" w:line="360" w:lineRule="auto"/>
        <w:rPr>
          <w:rFonts w:cs="Arial"/>
          <w:b/>
          <w:sz w:val="22"/>
          <w:szCs w:val="22"/>
          <w:lang w:val="es-ES"/>
        </w:rPr>
      </w:pPr>
      <w:r>
        <w:rPr>
          <w:rFonts w:cs="Arial"/>
          <w:b/>
          <w:sz w:val="22"/>
          <w:szCs w:val="22"/>
          <w:u w:val="single"/>
          <w:lang w:val="es-ES"/>
        </w:rPr>
        <w:lastRenderedPageBreak/>
        <w:t>SEGUNDO</w:t>
      </w:r>
      <w:r w:rsidRPr="00DF5F32">
        <w:rPr>
          <w:rFonts w:cs="Arial"/>
          <w:b/>
          <w:sz w:val="22"/>
          <w:szCs w:val="22"/>
          <w:lang w:val="es-ES"/>
        </w:rPr>
        <w:t>. -</w:t>
      </w:r>
      <w:r w:rsidRPr="00AA01F5">
        <w:rPr>
          <w:rFonts w:cs="Arial"/>
          <w:b/>
          <w:sz w:val="22"/>
          <w:szCs w:val="22"/>
          <w:lang w:val="es-ES"/>
        </w:rPr>
        <w:t xml:space="preserve"> EL PRECIO DE LA TARJETA NO ES USURARIO</w:t>
      </w:r>
      <w:r>
        <w:rPr>
          <w:rFonts w:cs="Arial"/>
          <w:b/>
          <w:sz w:val="22"/>
          <w:szCs w:val="22"/>
          <w:lang w:val="es-ES"/>
        </w:rPr>
        <w:t xml:space="preserve">. LA TAE DEL CONTRATO NO SUPERA EN MÁS DE 6 PUNTOS EL TIPO DE INTERÉS DEL MERCADO PARA EL AÑO DE CONTRATACIÓN. </w:t>
      </w:r>
    </w:p>
    <w:p w14:paraId="762E5F3A" w14:textId="74EF49FC" w:rsidR="00E72F21" w:rsidRDefault="00E72F21" w:rsidP="00E72F21">
      <w:pPr>
        <w:spacing w:line="360" w:lineRule="auto"/>
        <w:rPr>
          <w:rFonts w:cs="Arial"/>
          <w:sz w:val="22"/>
          <w:szCs w:val="22"/>
          <w:lang w:val="es-ES"/>
        </w:rPr>
      </w:pPr>
      <w:r>
        <w:rPr>
          <w:rFonts w:cs="Arial"/>
          <w:sz w:val="22"/>
          <w:szCs w:val="22"/>
          <w:lang w:val="es-ES"/>
        </w:rPr>
        <w:t xml:space="preserve">El contrato cuya nulidad por usura declara la sentencia de instancia, fue suscrito entre las partes el </w:t>
      </w:r>
      <w:r w:rsidR="00E93500">
        <w:rPr>
          <w:rFonts w:cs="Arial"/>
          <w:b/>
          <w:bCs/>
          <w:sz w:val="22"/>
          <w:szCs w:val="22"/>
          <w:highlight w:val="yellow"/>
          <w:lang w:val="es-ES"/>
        </w:rPr>
        <w:fldChar w:fldCharType="begin"/>
      </w:r>
      <w:r w:rsidR="00E93500">
        <w:rPr>
          <w:rFonts w:cs="Arial"/>
          <w:b/>
          <w:bCs/>
          <w:sz w:val="22"/>
          <w:szCs w:val="22"/>
          <w:highlight w:val="yellow"/>
          <w:lang w:val="es-ES"/>
        </w:rPr>
        <w:instrText>persovalores_personalizable1375</w:instrText>
      </w:r>
      <w:r w:rsidR="00E93500">
        <w:rPr>
          <w:rFonts w:cs="Arial"/>
          <w:b/>
          <w:bCs/>
          <w:sz w:val="22"/>
          <w:szCs w:val="22"/>
          <w:highlight w:val="yellow"/>
          <w:lang w:val="es-ES"/>
        </w:rPr>
        <w:fldChar w:fldCharType="separate"/>
      </w:r>
      <w:r w:rsidR="00E93500">
        <w:rPr>
          <w:rFonts w:cs="Arial"/>
          <w:b/>
          <w:bCs/>
          <w:noProof/>
          <w:sz w:val="22"/>
          <w:szCs w:val="22"/>
          <w:highlight w:val="yellow"/>
          <w:lang w:val="es-ES"/>
        </w:rPr>
        <w:t>«RECURSOS_APELACION_Fecha_contrato»</w:t>
      </w:r>
      <w:r w:rsidR="00E93500">
        <w:rPr>
          <w:rFonts w:cs="Arial"/>
          <w:b/>
          <w:bCs/>
          <w:sz w:val="22"/>
          <w:szCs w:val="22"/>
          <w:highlight w:val="yellow"/>
          <w:lang w:val="es-ES"/>
        </w:rPr>
        <w:fldChar w:fldCharType="end"/>
      </w:r>
      <w:r w:rsidR="00E93500">
        <w:rPr>
          <w:rFonts w:cs="Arial"/>
          <w:b/>
          <w:bCs/>
          <w:sz w:val="22"/>
          <w:szCs w:val="22"/>
          <w:lang w:val="es-ES"/>
        </w:rPr>
        <w:t xml:space="preserve"> </w:t>
      </w:r>
      <w:r>
        <w:rPr>
          <w:rFonts w:cs="Arial"/>
          <w:sz w:val="22"/>
          <w:szCs w:val="22"/>
          <w:lang w:val="es-ES"/>
        </w:rPr>
        <w:t xml:space="preserve">y contiene una </w:t>
      </w:r>
      <w:r w:rsidRPr="005B14A5">
        <w:rPr>
          <w:rFonts w:cs="Arial"/>
          <w:b/>
          <w:bCs/>
          <w:sz w:val="22"/>
          <w:szCs w:val="22"/>
          <w:lang w:val="es-ES"/>
        </w:rPr>
        <w:t xml:space="preserve">TAE del </w:t>
      </w:r>
      <w:r w:rsidR="00EA2926">
        <w:rPr>
          <w:rFonts w:cs="Arial"/>
          <w:b/>
          <w:bCs/>
          <w:sz w:val="22"/>
          <w:szCs w:val="22"/>
          <w:highlight w:val="yellow"/>
          <w:lang w:val="es-ES"/>
        </w:rPr>
        <w:fldChar w:fldCharType="begin"/>
      </w:r>
      <w:r w:rsidR="00EA2926">
        <w:rPr>
          <w:rFonts w:cs="Arial"/>
          <w:b/>
          <w:bCs/>
          <w:sz w:val="22"/>
          <w:szCs w:val="22"/>
          <w:highlight w:val="yellow"/>
          <w:lang w:val="es-ES"/>
        </w:rPr>
        <w:instrText>persovalores_personalizable1381</w:instrText>
      </w:r>
      <w:r w:rsidR="00EA2926">
        <w:rPr>
          <w:rFonts w:cs="Arial"/>
          <w:b/>
          <w:bCs/>
          <w:sz w:val="22"/>
          <w:szCs w:val="22"/>
          <w:highlight w:val="yellow"/>
          <w:lang w:val="es-ES"/>
        </w:rPr>
        <w:fldChar w:fldCharType="separate"/>
      </w:r>
      <w:r w:rsidR="00EA2926">
        <w:rPr>
          <w:rFonts w:cs="Arial"/>
          <w:b/>
          <w:bCs/>
          <w:noProof/>
          <w:sz w:val="22"/>
          <w:szCs w:val="22"/>
          <w:highlight w:val="yellow"/>
          <w:lang w:val="es-ES"/>
        </w:rPr>
        <w:t>«RECURSOS_APELACION_TAE»</w:t>
      </w:r>
      <w:r w:rsidR="00EA2926">
        <w:rPr>
          <w:rFonts w:cs="Arial"/>
          <w:b/>
          <w:bCs/>
          <w:sz w:val="22"/>
          <w:szCs w:val="22"/>
          <w:highlight w:val="yellow"/>
          <w:lang w:val="es-ES"/>
        </w:rPr>
        <w:fldChar w:fldCharType="end"/>
      </w:r>
      <w:r>
        <w:rPr>
          <w:rFonts w:cs="Arial"/>
          <w:b/>
          <w:bCs/>
          <w:sz w:val="22"/>
          <w:szCs w:val="22"/>
          <w:highlight w:val="yellow"/>
          <w:lang w:val="es-ES"/>
        </w:rPr>
        <w:t xml:space="preserve"> </w:t>
      </w:r>
      <w:r w:rsidRPr="00316BEA">
        <w:rPr>
          <w:rFonts w:cs="Arial"/>
          <w:b/>
          <w:bCs/>
          <w:sz w:val="22"/>
          <w:szCs w:val="22"/>
          <w:highlight w:val="yellow"/>
          <w:lang w:val="es-ES"/>
        </w:rPr>
        <w:t>%</w:t>
      </w:r>
      <w:r w:rsidRPr="00316BEA">
        <w:rPr>
          <w:rFonts w:cs="Arial"/>
          <w:sz w:val="22"/>
          <w:szCs w:val="22"/>
          <w:highlight w:val="yellow"/>
          <w:lang w:val="es-ES"/>
        </w:rPr>
        <w:t>,</w:t>
      </w:r>
      <w:r>
        <w:rPr>
          <w:rFonts w:cs="Arial"/>
          <w:sz w:val="22"/>
          <w:szCs w:val="22"/>
          <w:lang w:val="es-ES"/>
        </w:rPr>
        <w:t xml:space="preserve"> reflejado tanto en la primera página -junto a la firma del cliente-, como en el reglamento de la propia tarjeta. </w:t>
      </w:r>
    </w:p>
    <w:p w14:paraId="6C081985" w14:textId="77777777" w:rsidR="00E72F21" w:rsidRDefault="00E72F21" w:rsidP="00E72F21">
      <w:pPr>
        <w:spacing w:line="360" w:lineRule="auto"/>
        <w:rPr>
          <w:rFonts w:cs="Arial"/>
          <w:sz w:val="22"/>
          <w:szCs w:val="22"/>
          <w:lang w:val="es-ES"/>
        </w:rPr>
      </w:pPr>
    </w:p>
    <w:p w14:paraId="0DC8016D" w14:textId="2E3D9343" w:rsidR="00E72F21" w:rsidRPr="00AA01F5" w:rsidRDefault="00E72F21" w:rsidP="00E72F21">
      <w:pPr>
        <w:spacing w:line="360" w:lineRule="auto"/>
        <w:rPr>
          <w:rFonts w:cs="Arial"/>
          <w:b/>
          <w:bCs/>
          <w:sz w:val="22"/>
          <w:szCs w:val="22"/>
          <w:lang w:val="es-ES"/>
        </w:rPr>
      </w:pPr>
      <w:r w:rsidRPr="00B2709B">
        <w:rPr>
          <w:rFonts w:cs="Arial"/>
          <w:sz w:val="22"/>
          <w:szCs w:val="22"/>
          <w:lang w:val="es-ES"/>
        </w:rPr>
        <w:t xml:space="preserve">Pues bien, </w:t>
      </w:r>
      <w:r>
        <w:rPr>
          <w:rFonts w:cs="Arial"/>
          <w:sz w:val="22"/>
          <w:szCs w:val="22"/>
          <w:lang w:val="es-ES"/>
        </w:rPr>
        <w:t xml:space="preserve">tras la notificación de la </w:t>
      </w:r>
      <w:r>
        <w:rPr>
          <w:rFonts w:cs="Arial"/>
          <w:i/>
          <w:iCs/>
          <w:sz w:val="22"/>
          <w:szCs w:val="22"/>
          <w:lang w:val="es-ES"/>
        </w:rPr>
        <w:t>ut supra</w:t>
      </w:r>
      <w:r>
        <w:rPr>
          <w:rFonts w:cs="Arial"/>
          <w:sz w:val="22"/>
          <w:szCs w:val="22"/>
          <w:lang w:val="es-ES"/>
        </w:rPr>
        <w:t xml:space="preserve"> mencionada </w:t>
      </w:r>
      <w:r w:rsidRPr="005B14A5">
        <w:rPr>
          <w:rFonts w:cs="Arial"/>
          <w:sz w:val="22"/>
          <w:szCs w:val="22"/>
          <w:lang w:val="es-ES"/>
        </w:rPr>
        <w:t xml:space="preserve">Sentencia Del Pleno del Tribunal Supremo, Sala de lo Civil, </w:t>
      </w:r>
      <w:proofErr w:type="spellStart"/>
      <w:r w:rsidRPr="005B14A5">
        <w:rPr>
          <w:rFonts w:cs="Arial"/>
          <w:sz w:val="22"/>
          <w:szCs w:val="22"/>
          <w:lang w:val="es-ES"/>
        </w:rPr>
        <w:t>núm</w:t>
      </w:r>
      <w:proofErr w:type="spellEnd"/>
      <w:r w:rsidRPr="005B14A5">
        <w:rPr>
          <w:rFonts w:cs="Arial"/>
          <w:sz w:val="22"/>
          <w:szCs w:val="22"/>
          <w:lang w:val="es-ES"/>
        </w:rPr>
        <w:t xml:space="preserve"> 258/2023</w:t>
      </w:r>
      <w:r w:rsidRPr="005C375F">
        <w:rPr>
          <w:rFonts w:cs="Arial"/>
          <w:sz w:val="22"/>
          <w:szCs w:val="22"/>
          <w:lang w:val="es-ES"/>
        </w:rPr>
        <w:t>,</w:t>
      </w:r>
      <w:r>
        <w:rPr>
          <w:rFonts w:cs="Arial"/>
          <w:sz w:val="22"/>
          <w:szCs w:val="22"/>
          <w:lang w:val="es-ES"/>
        </w:rPr>
        <w:t xml:space="preserve"> </w:t>
      </w:r>
      <w:r>
        <w:rPr>
          <w:rFonts w:cs="Arial"/>
          <w:b/>
          <w:bCs/>
          <w:sz w:val="22"/>
          <w:szCs w:val="22"/>
          <w:u w:val="single"/>
          <w:lang w:val="es-ES"/>
        </w:rPr>
        <w:t>la</w:t>
      </w:r>
      <w:r w:rsidRPr="005B14A5">
        <w:rPr>
          <w:rFonts w:cs="Arial"/>
          <w:b/>
          <w:bCs/>
          <w:sz w:val="22"/>
          <w:szCs w:val="22"/>
          <w:u w:val="single"/>
          <w:lang w:val="es-ES"/>
        </w:rPr>
        <w:t xml:space="preserve"> TAE de la tarjeta de </w:t>
      </w:r>
      <w:r w:rsidR="00EA2926">
        <w:rPr>
          <w:rFonts w:cs="Arial"/>
          <w:b/>
          <w:bCs/>
          <w:sz w:val="22"/>
          <w:szCs w:val="22"/>
          <w:highlight w:val="yellow"/>
          <w:u w:val="single"/>
          <w:lang w:val="es-ES"/>
        </w:rPr>
        <w:fldChar w:fldCharType="begin"/>
      </w:r>
      <w:r w:rsidR="00EA2926">
        <w:rPr>
          <w:rFonts w:cs="Arial"/>
          <w:b/>
          <w:bCs/>
          <w:sz w:val="22"/>
          <w:szCs w:val="22"/>
          <w:highlight w:val="yellow"/>
          <w:u w:val="single"/>
          <w:lang w:val="es-ES"/>
        </w:rPr>
        <w:instrText>persovalores_personalizable1381</w:instrText>
      </w:r>
      <w:r w:rsidR="00EA2926">
        <w:rPr>
          <w:rFonts w:cs="Arial"/>
          <w:b/>
          <w:bCs/>
          <w:sz w:val="22"/>
          <w:szCs w:val="22"/>
          <w:highlight w:val="yellow"/>
          <w:u w:val="single"/>
          <w:lang w:val="es-ES"/>
        </w:rPr>
        <w:fldChar w:fldCharType="separate"/>
      </w:r>
      <w:r w:rsidR="00EA2926">
        <w:rPr>
          <w:rFonts w:cs="Arial"/>
          <w:b/>
          <w:bCs/>
          <w:noProof/>
          <w:sz w:val="22"/>
          <w:szCs w:val="22"/>
          <w:highlight w:val="yellow"/>
          <w:u w:val="single"/>
          <w:lang w:val="es-ES"/>
        </w:rPr>
        <w:t>«RECURSOS_APELACION_TAE»</w:t>
      </w:r>
      <w:r w:rsidR="00EA2926">
        <w:rPr>
          <w:rFonts w:cs="Arial"/>
          <w:b/>
          <w:bCs/>
          <w:sz w:val="22"/>
          <w:szCs w:val="22"/>
          <w:highlight w:val="yellow"/>
          <w:u w:val="single"/>
          <w:lang w:val="es-ES"/>
        </w:rPr>
        <w:fldChar w:fldCharType="end"/>
      </w:r>
      <w:r w:rsidR="00EA2926">
        <w:rPr>
          <w:rFonts w:cs="Arial"/>
          <w:b/>
          <w:bCs/>
          <w:sz w:val="22"/>
          <w:szCs w:val="22"/>
          <w:u w:val="single"/>
          <w:lang w:val="es-ES"/>
        </w:rPr>
        <w:t xml:space="preserve"> </w:t>
      </w:r>
      <w:r w:rsidRPr="00316BEA">
        <w:rPr>
          <w:rFonts w:cs="Arial"/>
          <w:b/>
          <w:bCs/>
          <w:sz w:val="22"/>
          <w:szCs w:val="22"/>
          <w:u w:val="single"/>
          <w:lang w:val="es-ES"/>
        </w:rPr>
        <w:t>% no</w:t>
      </w:r>
      <w:r w:rsidRPr="005B14A5">
        <w:rPr>
          <w:rFonts w:cs="Arial"/>
          <w:b/>
          <w:bCs/>
          <w:sz w:val="22"/>
          <w:szCs w:val="22"/>
          <w:u w:val="single"/>
          <w:lang w:val="es-ES"/>
        </w:rPr>
        <w:t xml:space="preserve"> resulta usurari</w:t>
      </w:r>
      <w:r>
        <w:rPr>
          <w:rFonts w:cs="Arial"/>
          <w:b/>
          <w:bCs/>
          <w:sz w:val="22"/>
          <w:szCs w:val="22"/>
          <w:u w:val="single"/>
          <w:lang w:val="es-ES"/>
        </w:rPr>
        <w:t>a</w:t>
      </w:r>
      <w:r w:rsidRPr="00AA01F5">
        <w:rPr>
          <w:rFonts w:cs="Arial"/>
          <w:b/>
          <w:bCs/>
          <w:sz w:val="22"/>
          <w:szCs w:val="22"/>
          <w:lang w:val="es-ES"/>
        </w:rPr>
        <w:t xml:space="preserve"> pues el Alto Tribunal </w:t>
      </w:r>
      <w:r>
        <w:rPr>
          <w:rFonts w:cs="Arial"/>
          <w:b/>
          <w:bCs/>
          <w:sz w:val="22"/>
          <w:szCs w:val="22"/>
          <w:lang w:val="es-ES"/>
        </w:rPr>
        <w:t>aclara</w:t>
      </w:r>
      <w:r w:rsidRPr="00AA01F5">
        <w:rPr>
          <w:rFonts w:cs="Arial"/>
          <w:b/>
          <w:bCs/>
          <w:sz w:val="22"/>
          <w:szCs w:val="22"/>
          <w:lang w:val="es-ES"/>
        </w:rPr>
        <w:t xml:space="preserve"> que </w:t>
      </w:r>
      <w:r>
        <w:rPr>
          <w:rFonts w:cs="Arial"/>
          <w:b/>
          <w:bCs/>
          <w:sz w:val="22"/>
          <w:szCs w:val="22"/>
          <w:lang w:val="es-ES"/>
        </w:rPr>
        <w:t xml:space="preserve">para que lo sea, la TAE del mismo debe </w:t>
      </w:r>
      <w:r w:rsidRPr="00AA01F5">
        <w:rPr>
          <w:rFonts w:cs="Arial"/>
          <w:b/>
          <w:bCs/>
          <w:sz w:val="22"/>
          <w:szCs w:val="22"/>
          <w:lang w:val="es-ES"/>
        </w:rPr>
        <w:t>supera</w:t>
      </w:r>
      <w:r>
        <w:rPr>
          <w:rFonts w:cs="Arial"/>
          <w:b/>
          <w:bCs/>
          <w:sz w:val="22"/>
          <w:szCs w:val="22"/>
          <w:lang w:val="es-ES"/>
        </w:rPr>
        <w:t>r</w:t>
      </w:r>
      <w:r w:rsidRPr="00AA01F5">
        <w:rPr>
          <w:rFonts w:cs="Arial"/>
          <w:b/>
          <w:bCs/>
          <w:sz w:val="22"/>
          <w:szCs w:val="22"/>
          <w:lang w:val="es-ES"/>
        </w:rPr>
        <w:t xml:space="preserve"> en más de 6 PUNTOS el interés del mercado para el año de la contratación.</w:t>
      </w:r>
      <w:r>
        <w:rPr>
          <w:rFonts w:cs="Arial"/>
          <w:b/>
          <w:bCs/>
          <w:sz w:val="22"/>
          <w:szCs w:val="22"/>
          <w:lang w:val="es-ES"/>
        </w:rPr>
        <w:t xml:space="preserve"> Y, como veremos, en este caso no ocurre. </w:t>
      </w:r>
    </w:p>
    <w:p w14:paraId="4CEB5AAF" w14:textId="77777777" w:rsidR="00E72F21" w:rsidRDefault="00E72F21" w:rsidP="00E72F21">
      <w:pPr>
        <w:spacing w:line="360" w:lineRule="auto"/>
        <w:rPr>
          <w:rFonts w:cs="Arial"/>
          <w:sz w:val="22"/>
          <w:szCs w:val="22"/>
          <w:lang w:val="es-ES"/>
        </w:rPr>
      </w:pPr>
    </w:p>
    <w:p w14:paraId="7C02CC3A" w14:textId="77777777" w:rsidR="00E72F21" w:rsidRDefault="00E72F21" w:rsidP="00E72F21">
      <w:pPr>
        <w:spacing w:line="360" w:lineRule="auto"/>
        <w:rPr>
          <w:rFonts w:cs="Arial"/>
          <w:sz w:val="22"/>
          <w:szCs w:val="22"/>
          <w:lang w:val="es-ES"/>
        </w:rPr>
      </w:pPr>
      <w:r>
        <w:rPr>
          <w:rFonts w:cs="Arial"/>
          <w:sz w:val="22"/>
          <w:szCs w:val="22"/>
          <w:lang w:val="es-ES"/>
        </w:rPr>
        <w:t xml:space="preserve">En la reciente Sentencia </w:t>
      </w:r>
      <w:proofErr w:type="spellStart"/>
      <w:r w:rsidRPr="005B14A5">
        <w:rPr>
          <w:rFonts w:cs="Arial"/>
          <w:i/>
          <w:iCs/>
          <w:sz w:val="22"/>
          <w:szCs w:val="22"/>
          <w:lang w:val="es-ES"/>
        </w:rPr>
        <w:t>Revolving</w:t>
      </w:r>
      <w:proofErr w:type="spellEnd"/>
      <w:r w:rsidRPr="007471A1">
        <w:rPr>
          <w:rFonts w:cs="Arial"/>
          <w:sz w:val="22"/>
          <w:szCs w:val="22"/>
          <w:lang w:val="es-ES"/>
        </w:rPr>
        <w:t xml:space="preserve"> 2023</w:t>
      </w:r>
      <w:r w:rsidRPr="00912680">
        <w:rPr>
          <w:rFonts w:cs="Arial"/>
          <w:sz w:val="22"/>
          <w:szCs w:val="22"/>
          <w:lang w:val="es-ES"/>
        </w:rPr>
        <w:t>, el Alto Tribunal realiza un previo repaso por las Sentencias que ya ha dictado en esta materia y sus principales conclusiones.</w:t>
      </w:r>
    </w:p>
    <w:p w14:paraId="1261D96A" w14:textId="77777777" w:rsidR="00E72F21" w:rsidRPr="00912680" w:rsidRDefault="00E72F21" w:rsidP="00E72F21">
      <w:pPr>
        <w:spacing w:line="360" w:lineRule="auto"/>
        <w:rPr>
          <w:rFonts w:cs="Arial"/>
          <w:sz w:val="22"/>
          <w:szCs w:val="22"/>
          <w:lang w:val="es-ES"/>
        </w:rPr>
      </w:pPr>
    </w:p>
    <w:p w14:paraId="4EDE733A" w14:textId="77777777" w:rsidR="00E72F21" w:rsidRPr="00912680" w:rsidRDefault="00E72F21" w:rsidP="00E72F21">
      <w:pPr>
        <w:spacing w:line="360" w:lineRule="auto"/>
        <w:rPr>
          <w:rFonts w:cs="Arial"/>
          <w:sz w:val="22"/>
          <w:szCs w:val="22"/>
          <w:lang w:val="es-ES"/>
        </w:rPr>
      </w:pPr>
      <w:r w:rsidRPr="00912680">
        <w:rPr>
          <w:rFonts w:cs="Arial"/>
          <w:sz w:val="22"/>
          <w:szCs w:val="22"/>
          <w:lang w:val="es-ES"/>
        </w:rPr>
        <w:t xml:space="preserve">Como punto de partida, </w:t>
      </w:r>
      <w:r w:rsidRPr="00AA01F5">
        <w:rPr>
          <w:rFonts w:cs="Arial"/>
          <w:b/>
          <w:bCs/>
          <w:sz w:val="22"/>
          <w:szCs w:val="22"/>
          <w:lang w:val="es-ES"/>
        </w:rPr>
        <w:t>la Sentencia 628/2015, de 25 de noviembre</w:t>
      </w:r>
      <w:r>
        <w:rPr>
          <w:rFonts w:cs="Arial"/>
          <w:sz w:val="22"/>
          <w:szCs w:val="22"/>
          <w:lang w:val="es-ES"/>
        </w:rPr>
        <w:t>, en la que el</w:t>
      </w:r>
      <w:r w:rsidRPr="00912680">
        <w:rPr>
          <w:rFonts w:cs="Arial"/>
          <w:sz w:val="22"/>
          <w:szCs w:val="22"/>
          <w:lang w:val="es-ES"/>
        </w:rPr>
        <w:t xml:space="preserve"> Tribunal Supremo estableció que para juzgar si el interés es notablemente superior al normal del dinero, había que hacer dos consideraciones, a saber</w:t>
      </w:r>
      <w:r>
        <w:rPr>
          <w:rFonts w:cs="Arial"/>
          <w:sz w:val="22"/>
          <w:szCs w:val="22"/>
          <w:lang w:val="es-ES"/>
        </w:rPr>
        <w:t>:</w:t>
      </w:r>
      <w:r w:rsidRPr="00912680">
        <w:rPr>
          <w:rFonts w:cs="Arial"/>
          <w:sz w:val="22"/>
          <w:szCs w:val="22"/>
          <w:lang w:val="es-ES"/>
        </w:rPr>
        <w:t xml:space="preserve"> </w:t>
      </w:r>
      <w:r w:rsidRPr="00AA01F5">
        <w:rPr>
          <w:rFonts w:cs="Arial"/>
          <w:b/>
          <w:bCs/>
          <w:sz w:val="22"/>
          <w:szCs w:val="22"/>
          <w:lang w:val="es-ES"/>
        </w:rPr>
        <w:t>(i)</w:t>
      </w:r>
      <w:r w:rsidRPr="00912680">
        <w:rPr>
          <w:rFonts w:cs="Arial"/>
          <w:sz w:val="22"/>
          <w:szCs w:val="22"/>
          <w:lang w:val="es-ES"/>
        </w:rPr>
        <w:t xml:space="preserve"> el porcentaje que ha de tomarse en consideración para determinar si el interés es notablemente superior al normal del dinero no es el nominal, sino </w:t>
      </w:r>
      <w:r w:rsidRPr="00AA01F5">
        <w:rPr>
          <w:rFonts w:cs="Arial"/>
          <w:b/>
          <w:bCs/>
          <w:sz w:val="22"/>
          <w:szCs w:val="22"/>
          <w:lang w:val="es-ES"/>
        </w:rPr>
        <w:t>la Tasa Anual Equivalente (TAE)</w:t>
      </w:r>
      <w:r w:rsidRPr="00912680">
        <w:rPr>
          <w:rFonts w:cs="Arial"/>
          <w:sz w:val="22"/>
          <w:szCs w:val="22"/>
          <w:lang w:val="es-ES"/>
        </w:rPr>
        <w:t xml:space="preserve"> y </w:t>
      </w:r>
      <w:r w:rsidRPr="00AA01F5">
        <w:rPr>
          <w:rFonts w:cs="Arial"/>
          <w:b/>
          <w:bCs/>
          <w:sz w:val="22"/>
          <w:szCs w:val="22"/>
          <w:lang w:val="es-ES"/>
        </w:rPr>
        <w:t>(</w:t>
      </w:r>
      <w:proofErr w:type="spellStart"/>
      <w:r w:rsidRPr="00AA01F5">
        <w:rPr>
          <w:rFonts w:cs="Arial"/>
          <w:b/>
          <w:bCs/>
          <w:sz w:val="22"/>
          <w:szCs w:val="22"/>
          <w:lang w:val="es-ES"/>
        </w:rPr>
        <w:t>ii</w:t>
      </w:r>
      <w:proofErr w:type="spellEnd"/>
      <w:r w:rsidRPr="00AA01F5">
        <w:rPr>
          <w:rFonts w:cs="Arial"/>
          <w:b/>
          <w:bCs/>
          <w:sz w:val="22"/>
          <w:szCs w:val="22"/>
          <w:lang w:val="es-ES"/>
        </w:rPr>
        <w:t>)</w:t>
      </w:r>
      <w:r w:rsidRPr="00912680">
        <w:rPr>
          <w:rFonts w:cs="Arial"/>
          <w:sz w:val="22"/>
          <w:szCs w:val="22"/>
          <w:lang w:val="es-ES"/>
        </w:rPr>
        <w:t xml:space="preserve"> la comparación de la TAE no debía hacerse con el interés legal del dinero, sino con </w:t>
      </w:r>
      <w:r w:rsidRPr="00AA01F5">
        <w:rPr>
          <w:rFonts w:cs="Arial"/>
          <w:b/>
          <w:bCs/>
          <w:sz w:val="22"/>
          <w:szCs w:val="22"/>
          <w:lang w:val="es-ES"/>
        </w:rPr>
        <w:t>el interés normal o habitual</w:t>
      </w:r>
      <w:r w:rsidRPr="00912680">
        <w:rPr>
          <w:rFonts w:cs="Arial"/>
          <w:sz w:val="22"/>
          <w:szCs w:val="22"/>
          <w:lang w:val="es-ES"/>
        </w:rPr>
        <w:t xml:space="preserve">. </w:t>
      </w:r>
    </w:p>
    <w:p w14:paraId="46F748FE" w14:textId="77777777" w:rsidR="00E72F21" w:rsidRPr="00912680" w:rsidRDefault="00E72F21" w:rsidP="00E72F21">
      <w:pPr>
        <w:spacing w:line="360" w:lineRule="auto"/>
        <w:rPr>
          <w:rFonts w:cs="Arial"/>
          <w:sz w:val="22"/>
          <w:szCs w:val="22"/>
          <w:lang w:val="es-ES"/>
        </w:rPr>
      </w:pPr>
    </w:p>
    <w:p w14:paraId="17B818B5" w14:textId="77777777" w:rsidR="00E72F21" w:rsidRPr="00AA01F5" w:rsidRDefault="00E72F21" w:rsidP="00E72F21">
      <w:pPr>
        <w:spacing w:line="360" w:lineRule="auto"/>
        <w:rPr>
          <w:rFonts w:cs="Arial"/>
          <w:b/>
          <w:bCs/>
          <w:sz w:val="22"/>
          <w:szCs w:val="22"/>
          <w:lang w:val="es-ES"/>
        </w:rPr>
      </w:pPr>
      <w:r w:rsidRPr="00912680">
        <w:rPr>
          <w:rFonts w:cs="Arial"/>
          <w:sz w:val="22"/>
          <w:szCs w:val="22"/>
          <w:lang w:val="es-ES"/>
        </w:rPr>
        <w:t xml:space="preserve">Tras lo anterior, se dictó </w:t>
      </w:r>
      <w:r w:rsidRPr="00AA01F5">
        <w:rPr>
          <w:rFonts w:cs="Arial"/>
          <w:b/>
          <w:bCs/>
          <w:sz w:val="22"/>
          <w:szCs w:val="22"/>
          <w:lang w:val="es-ES"/>
        </w:rPr>
        <w:t>la Sentencia 149/2020, de 4 de marzo</w:t>
      </w:r>
      <w:r w:rsidRPr="00912680">
        <w:rPr>
          <w:rFonts w:cs="Arial"/>
          <w:sz w:val="22"/>
          <w:szCs w:val="22"/>
          <w:lang w:val="es-ES"/>
        </w:rPr>
        <w:t xml:space="preserve">, en la que declaró que para la comparación debía utilizarse el tipo medio de interés, </w:t>
      </w:r>
      <w:r w:rsidRPr="00AA01F5">
        <w:rPr>
          <w:rFonts w:cs="Arial"/>
          <w:b/>
          <w:bCs/>
          <w:sz w:val="22"/>
          <w:szCs w:val="22"/>
          <w:lang w:val="es-ES"/>
        </w:rPr>
        <w:t>en el momento de la celebración del contrato</w:t>
      </w:r>
      <w:r w:rsidRPr="00912680">
        <w:rPr>
          <w:rFonts w:cs="Arial"/>
          <w:sz w:val="22"/>
          <w:szCs w:val="22"/>
          <w:lang w:val="es-ES"/>
        </w:rPr>
        <w:t xml:space="preserve">, que correspondiera a la </w:t>
      </w:r>
      <w:r w:rsidRPr="00AA01F5">
        <w:rPr>
          <w:rFonts w:cs="Arial"/>
          <w:b/>
          <w:bCs/>
          <w:sz w:val="22"/>
          <w:szCs w:val="22"/>
          <w:lang w:val="es-ES"/>
        </w:rPr>
        <w:t xml:space="preserve">operación crediticia cuestionada, en concreto la tarjeta de crédito </w:t>
      </w:r>
      <w:proofErr w:type="spellStart"/>
      <w:r w:rsidRPr="00AA01F5">
        <w:rPr>
          <w:rFonts w:cs="Arial"/>
          <w:b/>
          <w:bCs/>
          <w:sz w:val="22"/>
          <w:szCs w:val="22"/>
          <w:lang w:val="es-ES"/>
        </w:rPr>
        <w:t>revolving</w:t>
      </w:r>
      <w:proofErr w:type="spellEnd"/>
      <w:r w:rsidRPr="00AA01F5">
        <w:rPr>
          <w:rFonts w:cs="Arial"/>
          <w:b/>
          <w:bCs/>
          <w:sz w:val="22"/>
          <w:szCs w:val="22"/>
          <w:lang w:val="es-ES"/>
        </w:rPr>
        <w:t>.</w:t>
      </w:r>
    </w:p>
    <w:p w14:paraId="0C98A8D4" w14:textId="77777777" w:rsidR="00E72F21" w:rsidRPr="00912680" w:rsidRDefault="00E72F21" w:rsidP="00E72F21">
      <w:pPr>
        <w:spacing w:line="360" w:lineRule="auto"/>
        <w:rPr>
          <w:rFonts w:cs="Arial"/>
          <w:sz w:val="22"/>
          <w:szCs w:val="22"/>
          <w:lang w:val="es-ES"/>
        </w:rPr>
      </w:pPr>
    </w:p>
    <w:p w14:paraId="57919505" w14:textId="77777777" w:rsidR="00E72F21" w:rsidRPr="00912680" w:rsidRDefault="00E72F21" w:rsidP="00E72F21">
      <w:pPr>
        <w:spacing w:line="360" w:lineRule="auto"/>
        <w:rPr>
          <w:rFonts w:cs="Arial"/>
          <w:sz w:val="22"/>
          <w:szCs w:val="22"/>
          <w:lang w:val="es-ES"/>
        </w:rPr>
      </w:pPr>
      <w:r w:rsidRPr="00912680">
        <w:rPr>
          <w:rFonts w:cs="Arial"/>
          <w:sz w:val="22"/>
          <w:szCs w:val="22"/>
          <w:lang w:val="es-ES"/>
        </w:rPr>
        <w:t>Casi un año y medio después</w:t>
      </w:r>
      <w:r>
        <w:rPr>
          <w:rFonts w:cs="Arial"/>
          <w:sz w:val="22"/>
          <w:szCs w:val="22"/>
          <w:lang w:val="es-ES"/>
        </w:rPr>
        <w:t xml:space="preserve">, nuestro Alto Tribunal </w:t>
      </w:r>
      <w:r w:rsidRPr="00912680">
        <w:rPr>
          <w:rFonts w:cs="Arial"/>
          <w:sz w:val="22"/>
          <w:szCs w:val="22"/>
          <w:lang w:val="es-ES"/>
        </w:rPr>
        <w:t xml:space="preserve">se pronuncia en </w:t>
      </w:r>
      <w:r w:rsidRPr="00AA01F5">
        <w:rPr>
          <w:rFonts w:cs="Arial"/>
          <w:b/>
          <w:bCs/>
          <w:sz w:val="22"/>
          <w:szCs w:val="22"/>
          <w:lang w:val="es-ES"/>
        </w:rPr>
        <w:t>la Sentencia 367/2022, de 4 de mayo</w:t>
      </w:r>
      <w:r w:rsidRPr="00912680">
        <w:rPr>
          <w:rFonts w:cs="Arial"/>
          <w:sz w:val="22"/>
          <w:szCs w:val="22"/>
          <w:lang w:val="es-ES"/>
        </w:rPr>
        <w:t xml:space="preserve"> </w:t>
      </w:r>
      <w:r>
        <w:rPr>
          <w:rFonts w:cs="Arial"/>
          <w:sz w:val="22"/>
          <w:szCs w:val="22"/>
          <w:lang w:val="es-ES"/>
        </w:rPr>
        <w:t>de</w:t>
      </w:r>
      <w:r w:rsidRPr="00912680">
        <w:rPr>
          <w:rFonts w:cs="Arial"/>
          <w:sz w:val="22"/>
          <w:szCs w:val="22"/>
          <w:lang w:val="es-ES"/>
        </w:rPr>
        <w:t xml:space="preserve"> la que se extrajo que, en las fechas próximas a la suscripción del contrato litigioso (2006 en ese caso</w:t>
      </w:r>
      <w:r>
        <w:rPr>
          <w:rFonts w:cs="Arial"/>
          <w:sz w:val="22"/>
          <w:szCs w:val="22"/>
          <w:lang w:val="es-ES"/>
        </w:rPr>
        <w:t>):</w:t>
      </w:r>
      <w:r w:rsidRPr="00912680">
        <w:rPr>
          <w:rFonts w:cs="Arial"/>
          <w:sz w:val="22"/>
          <w:szCs w:val="22"/>
          <w:lang w:val="es-ES"/>
        </w:rPr>
        <w:t xml:space="preserve"> </w:t>
      </w:r>
      <w:r w:rsidRPr="00AA01F5">
        <w:rPr>
          <w:rFonts w:cs="Arial"/>
          <w:b/>
          <w:bCs/>
          <w:sz w:val="22"/>
          <w:szCs w:val="22"/>
          <w:lang w:val="es-ES"/>
        </w:rPr>
        <w:t>(i)</w:t>
      </w:r>
      <w:r w:rsidRPr="00912680">
        <w:rPr>
          <w:rFonts w:cs="Arial"/>
          <w:sz w:val="22"/>
          <w:szCs w:val="22"/>
          <w:lang w:val="es-ES"/>
        </w:rPr>
        <w:t xml:space="preserve"> la TAE aplicada por las entidades bancarias a las operaciones de tarjeta de crédito con pago aplazado era </w:t>
      </w:r>
      <w:r w:rsidRPr="00AA01F5">
        <w:rPr>
          <w:rFonts w:cs="Arial"/>
          <w:b/>
          <w:bCs/>
          <w:sz w:val="22"/>
          <w:szCs w:val="22"/>
          <w:lang w:val="es-ES"/>
        </w:rPr>
        <w:t>frecuentemente superior al 20%</w:t>
      </w:r>
      <w:r w:rsidRPr="00912680">
        <w:rPr>
          <w:rFonts w:cs="Arial"/>
          <w:sz w:val="22"/>
          <w:szCs w:val="22"/>
          <w:lang w:val="es-ES"/>
        </w:rPr>
        <w:t>; (</w:t>
      </w:r>
      <w:proofErr w:type="spellStart"/>
      <w:r w:rsidRPr="00912680">
        <w:rPr>
          <w:rFonts w:cs="Arial"/>
          <w:sz w:val="22"/>
          <w:szCs w:val="22"/>
          <w:lang w:val="es-ES"/>
        </w:rPr>
        <w:t>ii</w:t>
      </w:r>
      <w:proofErr w:type="spellEnd"/>
      <w:r w:rsidRPr="00912680">
        <w:rPr>
          <w:rFonts w:cs="Arial"/>
          <w:sz w:val="22"/>
          <w:szCs w:val="22"/>
          <w:lang w:val="es-ES"/>
        </w:rPr>
        <w:t xml:space="preserve">) también era habitual que las tarjetas </w:t>
      </w:r>
      <w:proofErr w:type="spellStart"/>
      <w:r w:rsidRPr="00912680">
        <w:rPr>
          <w:rFonts w:cs="Arial"/>
          <w:sz w:val="22"/>
          <w:szCs w:val="22"/>
          <w:lang w:val="es-ES"/>
        </w:rPr>
        <w:t>revolving</w:t>
      </w:r>
      <w:proofErr w:type="spellEnd"/>
      <w:r w:rsidRPr="00912680">
        <w:rPr>
          <w:rFonts w:cs="Arial"/>
          <w:sz w:val="22"/>
          <w:szCs w:val="22"/>
          <w:lang w:val="es-ES"/>
        </w:rPr>
        <w:t xml:space="preserve"> contratadas con grandes entidades bancarias </w:t>
      </w:r>
      <w:r w:rsidRPr="00AA01F5">
        <w:rPr>
          <w:rFonts w:cs="Arial"/>
          <w:b/>
          <w:bCs/>
          <w:sz w:val="22"/>
          <w:szCs w:val="22"/>
          <w:lang w:val="es-ES"/>
        </w:rPr>
        <w:t>superasen el 23%, 24%, el 25% y hasta el 26% anual</w:t>
      </w:r>
      <w:r w:rsidRPr="00912680">
        <w:rPr>
          <w:rFonts w:cs="Arial"/>
          <w:sz w:val="22"/>
          <w:szCs w:val="22"/>
          <w:lang w:val="es-ES"/>
        </w:rPr>
        <w:t>.</w:t>
      </w:r>
    </w:p>
    <w:p w14:paraId="070ED004" w14:textId="77777777" w:rsidR="00E72F21" w:rsidRPr="00912680" w:rsidRDefault="00E72F21" w:rsidP="00E72F21">
      <w:pPr>
        <w:spacing w:line="360" w:lineRule="auto"/>
        <w:rPr>
          <w:rFonts w:cs="Arial"/>
          <w:sz w:val="22"/>
          <w:szCs w:val="22"/>
          <w:lang w:val="es-ES"/>
        </w:rPr>
      </w:pPr>
    </w:p>
    <w:p w14:paraId="5E4ECBD8" w14:textId="77777777" w:rsidR="00E72F21" w:rsidRDefault="00E72F21" w:rsidP="00E72F21">
      <w:pPr>
        <w:spacing w:line="360" w:lineRule="auto"/>
        <w:rPr>
          <w:rFonts w:cs="Arial"/>
          <w:sz w:val="22"/>
          <w:szCs w:val="22"/>
          <w:lang w:val="es-ES"/>
        </w:rPr>
      </w:pPr>
      <w:r w:rsidRPr="00912680">
        <w:rPr>
          <w:rFonts w:cs="Arial"/>
          <w:sz w:val="22"/>
          <w:szCs w:val="22"/>
          <w:lang w:val="es-ES"/>
        </w:rPr>
        <w:lastRenderedPageBreak/>
        <w:t xml:space="preserve">Finalmente, en la </w:t>
      </w:r>
      <w:r w:rsidRPr="00AA01F5">
        <w:rPr>
          <w:rFonts w:cs="Arial"/>
          <w:b/>
          <w:bCs/>
          <w:sz w:val="22"/>
          <w:szCs w:val="22"/>
          <w:lang w:val="es-ES"/>
        </w:rPr>
        <w:t>Sentencia núm. 643/2022, de 4 de octubre</w:t>
      </w:r>
      <w:r w:rsidRPr="00912680">
        <w:rPr>
          <w:rFonts w:cs="Arial"/>
          <w:sz w:val="22"/>
          <w:szCs w:val="22"/>
          <w:lang w:val="es-ES"/>
        </w:rPr>
        <w:t xml:space="preserve"> el Tribunal Supremo reconocía que </w:t>
      </w:r>
      <w:r w:rsidRPr="00AA01F5">
        <w:rPr>
          <w:rFonts w:cs="Arial"/>
          <w:b/>
          <w:bCs/>
          <w:sz w:val="22"/>
          <w:szCs w:val="22"/>
          <w:lang w:val="es-ES"/>
        </w:rPr>
        <w:t>para la década 1999/2009 el interés medio anual para este tipo de productos osciló entre el 23% y el 26%.</w:t>
      </w:r>
    </w:p>
    <w:p w14:paraId="0FEF059F" w14:textId="77777777" w:rsidR="00E72F21" w:rsidRPr="00912680" w:rsidRDefault="00E72F21" w:rsidP="00E72F21">
      <w:pPr>
        <w:spacing w:line="360" w:lineRule="auto"/>
        <w:rPr>
          <w:rFonts w:cs="Arial"/>
          <w:sz w:val="22"/>
          <w:szCs w:val="22"/>
          <w:lang w:val="es-ES"/>
        </w:rPr>
      </w:pPr>
    </w:p>
    <w:p w14:paraId="5FB76AAB" w14:textId="77777777" w:rsidR="00E72F21" w:rsidRDefault="00E72F21" w:rsidP="00E72F21">
      <w:pPr>
        <w:spacing w:line="360" w:lineRule="auto"/>
        <w:rPr>
          <w:rFonts w:cs="Arial"/>
          <w:sz w:val="22"/>
          <w:szCs w:val="22"/>
          <w:lang w:val="es-ES"/>
        </w:rPr>
      </w:pPr>
      <w:r w:rsidRPr="00912680">
        <w:rPr>
          <w:rFonts w:cs="Arial"/>
          <w:sz w:val="22"/>
          <w:szCs w:val="22"/>
          <w:lang w:val="es-ES"/>
        </w:rPr>
        <w:t xml:space="preserve">Pues bien, con todo lo anterior, el Tribunal Supremo ahora en su </w:t>
      </w:r>
      <w:r w:rsidRPr="009A0F03">
        <w:rPr>
          <w:rFonts w:cs="Arial"/>
          <w:sz w:val="22"/>
          <w:szCs w:val="22"/>
          <w:lang w:val="es-ES"/>
        </w:rPr>
        <w:t xml:space="preserve">Sentencia </w:t>
      </w:r>
      <w:r>
        <w:rPr>
          <w:rFonts w:cs="Arial"/>
          <w:sz w:val="22"/>
          <w:szCs w:val="22"/>
          <w:lang w:val="es-ES"/>
        </w:rPr>
        <w:t xml:space="preserve">núm. </w:t>
      </w:r>
      <w:r w:rsidRPr="009A0F03">
        <w:rPr>
          <w:rFonts w:cs="Arial"/>
          <w:sz w:val="22"/>
          <w:szCs w:val="22"/>
          <w:lang w:val="es-ES"/>
        </w:rPr>
        <w:t>258/2023, de 15 de febrero</w:t>
      </w:r>
      <w:r>
        <w:rPr>
          <w:rFonts w:cs="Arial"/>
          <w:sz w:val="22"/>
          <w:szCs w:val="22"/>
          <w:lang w:val="es-ES"/>
        </w:rPr>
        <w:t xml:space="preserve"> </w:t>
      </w:r>
      <w:r w:rsidRPr="00AA01F5">
        <w:rPr>
          <w:rFonts w:cs="Arial"/>
          <w:b/>
          <w:bCs/>
          <w:sz w:val="22"/>
          <w:szCs w:val="22"/>
          <w:lang w:val="es-ES"/>
        </w:rPr>
        <w:t xml:space="preserve">Sentencia </w:t>
      </w:r>
      <w:proofErr w:type="spellStart"/>
      <w:r w:rsidRPr="005B14A5">
        <w:rPr>
          <w:rFonts w:cs="Arial"/>
          <w:b/>
          <w:bCs/>
          <w:i/>
          <w:iCs/>
          <w:sz w:val="22"/>
          <w:szCs w:val="22"/>
          <w:lang w:val="es-ES"/>
        </w:rPr>
        <w:t>Revolving</w:t>
      </w:r>
      <w:proofErr w:type="spellEnd"/>
      <w:r w:rsidRPr="00AA01F5">
        <w:rPr>
          <w:rFonts w:cs="Arial"/>
          <w:b/>
          <w:bCs/>
          <w:sz w:val="22"/>
          <w:szCs w:val="22"/>
          <w:lang w:val="es-ES"/>
        </w:rPr>
        <w:t xml:space="preserve"> 2023</w:t>
      </w:r>
      <w:r>
        <w:rPr>
          <w:rFonts w:cs="Arial"/>
          <w:sz w:val="22"/>
          <w:szCs w:val="22"/>
          <w:lang w:val="es-ES"/>
        </w:rPr>
        <w:t>)</w:t>
      </w:r>
      <w:r w:rsidRPr="00912680">
        <w:rPr>
          <w:rFonts w:cs="Arial"/>
          <w:sz w:val="22"/>
          <w:szCs w:val="22"/>
          <w:lang w:val="es-ES"/>
        </w:rPr>
        <w:t>, ha establecido una regla aritmética para la determinación de la usura que sería la siguiente:</w:t>
      </w:r>
    </w:p>
    <w:p w14:paraId="1A840E05" w14:textId="77777777" w:rsidR="00E72F21" w:rsidRPr="00912680" w:rsidRDefault="00E72F21" w:rsidP="00E72F21">
      <w:pPr>
        <w:spacing w:line="360" w:lineRule="auto"/>
        <w:rPr>
          <w:rFonts w:cs="Arial"/>
          <w:sz w:val="22"/>
          <w:szCs w:val="22"/>
          <w:lang w:val="es-ES"/>
        </w:rPr>
      </w:pPr>
    </w:p>
    <w:p w14:paraId="571A9EDF" w14:textId="77777777" w:rsidR="00E72F21" w:rsidRDefault="00E72F21" w:rsidP="00E72F21">
      <w:pPr>
        <w:spacing w:line="360" w:lineRule="auto"/>
        <w:rPr>
          <w:rFonts w:cs="Arial"/>
          <w:sz w:val="22"/>
          <w:szCs w:val="22"/>
          <w:lang w:val="es-ES"/>
        </w:rPr>
      </w:pPr>
      <w:r w:rsidRPr="00912680">
        <w:rPr>
          <w:rFonts w:cs="Arial"/>
          <w:sz w:val="22"/>
          <w:szCs w:val="22"/>
          <w:lang w:val="es-ES"/>
        </w:rPr>
        <w:t xml:space="preserve">Tomar el TEDR publicado por el Boletín Estadístico como término de referencia válido, </w:t>
      </w:r>
      <w:r w:rsidRPr="003414C5">
        <w:rPr>
          <w:rFonts w:eastAsiaTheme="minorHAnsi" w:cs="Arial"/>
          <w:sz w:val="22"/>
          <w:szCs w:val="22"/>
          <w:lang w:val="es-ES_tradnl" w:eastAsia="en-US"/>
        </w:rPr>
        <w:t xml:space="preserve">(asumiendo que el TEDR </w:t>
      </w:r>
      <w:r>
        <w:rPr>
          <w:rFonts w:eastAsiaTheme="minorHAnsi" w:cs="Arial"/>
          <w:sz w:val="22"/>
          <w:szCs w:val="22"/>
          <w:lang w:val="es-ES_tradnl" w:eastAsia="en-US"/>
        </w:rPr>
        <w:t>es</w:t>
      </w:r>
      <w:r w:rsidRPr="003414C5">
        <w:rPr>
          <w:rFonts w:eastAsiaTheme="minorHAnsi" w:cs="Arial"/>
          <w:sz w:val="22"/>
          <w:szCs w:val="22"/>
          <w:lang w:val="es-ES_tradnl" w:eastAsia="en-US"/>
        </w:rPr>
        <w:t xml:space="preserve"> la referencia óptima a efectos comparativos, lo que merecería un análisis más detallado teniendo en cuenta la falta de homogeneidad de los productos con los que se obtiene)</w:t>
      </w:r>
      <w:r>
        <w:rPr>
          <w:rFonts w:eastAsiaTheme="minorHAnsi" w:cs="Arial"/>
          <w:sz w:val="22"/>
          <w:szCs w:val="22"/>
          <w:lang w:val="es-ES_tradnl" w:eastAsia="en-US"/>
        </w:rPr>
        <w:t xml:space="preserve">, </w:t>
      </w:r>
      <w:r w:rsidRPr="00912680">
        <w:rPr>
          <w:rFonts w:cs="Arial"/>
          <w:sz w:val="22"/>
          <w:szCs w:val="22"/>
          <w:lang w:val="es-ES"/>
        </w:rPr>
        <w:t>aumentándolo ligeramente en las comisiones para equipararlo a TAE, y una vez se tenga dicho termino de referencia (en opinión de esta parte</w:t>
      </w:r>
      <w:r>
        <w:rPr>
          <w:rFonts w:cs="Arial"/>
          <w:sz w:val="22"/>
          <w:szCs w:val="22"/>
          <w:lang w:val="es-ES"/>
        </w:rPr>
        <w:t>,</w:t>
      </w:r>
      <w:r w:rsidRPr="00912680">
        <w:rPr>
          <w:rFonts w:cs="Arial"/>
          <w:sz w:val="22"/>
          <w:szCs w:val="22"/>
          <w:lang w:val="es-ES"/>
        </w:rPr>
        <w:t xml:space="preserve"> bastante alejado de la realidad), se incrementa el resultado en seis puntos para concluir que todo dato TAE superior a ese número es usurario.</w:t>
      </w:r>
    </w:p>
    <w:p w14:paraId="334DAEAC" w14:textId="77777777" w:rsidR="00E72F21" w:rsidRPr="00912680" w:rsidRDefault="00E72F21" w:rsidP="00E72F21">
      <w:pPr>
        <w:spacing w:line="360" w:lineRule="auto"/>
        <w:rPr>
          <w:rFonts w:cs="Arial"/>
          <w:sz w:val="22"/>
          <w:szCs w:val="22"/>
          <w:lang w:val="es-ES"/>
        </w:rPr>
      </w:pPr>
    </w:p>
    <w:p w14:paraId="4632D845" w14:textId="77777777" w:rsidR="00E72F21" w:rsidRDefault="00E72F21" w:rsidP="00E72F21">
      <w:pPr>
        <w:spacing w:line="360" w:lineRule="auto"/>
        <w:rPr>
          <w:rFonts w:cs="Arial"/>
          <w:sz w:val="22"/>
          <w:szCs w:val="22"/>
          <w:lang w:val="es-ES"/>
        </w:rPr>
      </w:pPr>
      <w:r w:rsidRPr="00AA01F5">
        <w:rPr>
          <w:rFonts w:cs="Arial"/>
          <w:b/>
          <w:bCs/>
          <w:sz w:val="22"/>
          <w:szCs w:val="22"/>
          <w:u w:val="single"/>
          <w:lang w:val="es-ES"/>
        </w:rPr>
        <w:t xml:space="preserve">Confirma así el Tribunal Supremo que una diferencia de 6 puntos entre el tipo de mercado y </w:t>
      </w:r>
      <w:r>
        <w:rPr>
          <w:rFonts w:cs="Arial"/>
          <w:b/>
          <w:bCs/>
          <w:sz w:val="22"/>
          <w:szCs w:val="22"/>
          <w:u w:val="single"/>
          <w:lang w:val="es-ES"/>
        </w:rPr>
        <w:t>la TAE</w:t>
      </w:r>
      <w:r w:rsidRPr="00AA01F5">
        <w:rPr>
          <w:rFonts w:cs="Arial"/>
          <w:b/>
          <w:bCs/>
          <w:sz w:val="22"/>
          <w:szCs w:val="22"/>
          <w:u w:val="single"/>
          <w:lang w:val="es-ES"/>
        </w:rPr>
        <w:t xml:space="preserve"> convenid</w:t>
      </w:r>
      <w:r>
        <w:rPr>
          <w:rFonts w:cs="Arial"/>
          <w:b/>
          <w:bCs/>
          <w:sz w:val="22"/>
          <w:szCs w:val="22"/>
          <w:u w:val="single"/>
          <w:lang w:val="es-ES"/>
        </w:rPr>
        <w:t>a</w:t>
      </w:r>
      <w:r w:rsidRPr="00AA01F5">
        <w:rPr>
          <w:rFonts w:cs="Arial"/>
          <w:b/>
          <w:bCs/>
          <w:sz w:val="22"/>
          <w:szCs w:val="22"/>
          <w:u w:val="single"/>
          <w:lang w:val="es-ES"/>
        </w:rPr>
        <w:t xml:space="preserve"> no se puede considerar notablemente superior</w:t>
      </w:r>
      <w:r w:rsidRPr="00912680">
        <w:rPr>
          <w:rFonts w:cs="Arial"/>
          <w:sz w:val="22"/>
          <w:szCs w:val="22"/>
          <w:lang w:val="es-ES"/>
        </w:rPr>
        <w:t>.</w:t>
      </w:r>
    </w:p>
    <w:p w14:paraId="279FBC77" w14:textId="77777777" w:rsidR="00E72F21" w:rsidRPr="00912680" w:rsidRDefault="00E72F21" w:rsidP="00E72F21">
      <w:pPr>
        <w:spacing w:line="360" w:lineRule="auto"/>
        <w:rPr>
          <w:rFonts w:cs="Arial"/>
          <w:sz w:val="22"/>
          <w:szCs w:val="22"/>
          <w:lang w:val="es-ES"/>
        </w:rPr>
      </w:pPr>
    </w:p>
    <w:p w14:paraId="360DDC33" w14:textId="77777777" w:rsidR="00E72F21" w:rsidRDefault="00E72F21" w:rsidP="00E72F21">
      <w:pPr>
        <w:spacing w:line="360" w:lineRule="auto"/>
        <w:rPr>
          <w:rFonts w:cs="Arial"/>
          <w:sz w:val="22"/>
          <w:szCs w:val="22"/>
          <w:lang w:val="es-ES"/>
        </w:rPr>
      </w:pPr>
      <w:r w:rsidRPr="00912680">
        <w:rPr>
          <w:rFonts w:cs="Arial"/>
          <w:sz w:val="22"/>
          <w:szCs w:val="22"/>
          <w:lang w:val="es-ES"/>
        </w:rPr>
        <w:t xml:space="preserve">Pues bien, aplicando la doctrina del Tribunal Supremo a nuestro caso concreto, el esquema </w:t>
      </w:r>
      <w:proofErr w:type="gramStart"/>
      <w:r w:rsidRPr="00912680">
        <w:rPr>
          <w:rFonts w:cs="Arial"/>
          <w:sz w:val="22"/>
          <w:szCs w:val="22"/>
          <w:lang w:val="es-ES"/>
        </w:rPr>
        <w:t>del test</w:t>
      </w:r>
      <w:proofErr w:type="gramEnd"/>
      <w:r w:rsidRPr="00912680">
        <w:rPr>
          <w:rFonts w:cs="Arial"/>
          <w:sz w:val="22"/>
          <w:szCs w:val="22"/>
          <w:lang w:val="es-ES"/>
        </w:rPr>
        <w:t xml:space="preserve"> de usura sería</w:t>
      </w:r>
      <w:r>
        <w:rPr>
          <w:rFonts w:cs="Arial"/>
          <w:sz w:val="22"/>
          <w:szCs w:val="22"/>
          <w:lang w:val="es-ES"/>
        </w:rPr>
        <w:t xml:space="preserve"> el </w:t>
      </w:r>
      <w:r w:rsidRPr="00912680">
        <w:rPr>
          <w:rFonts w:cs="Arial"/>
          <w:sz w:val="22"/>
          <w:szCs w:val="22"/>
          <w:lang w:val="es-ES"/>
        </w:rPr>
        <w:t>siguiente</w:t>
      </w:r>
      <w:r>
        <w:rPr>
          <w:rFonts w:cs="Arial"/>
          <w:sz w:val="22"/>
          <w:szCs w:val="22"/>
          <w:lang w:val="es-ES"/>
        </w:rPr>
        <w:t xml:space="preserve">, distinguiendo la aproximación entre TEDR y TAE que el Tribunal Supremo realiza en su Sentencia </w:t>
      </w:r>
      <w:proofErr w:type="spellStart"/>
      <w:r w:rsidRPr="005B14A5">
        <w:rPr>
          <w:rFonts w:cs="Arial"/>
          <w:i/>
          <w:iCs/>
          <w:sz w:val="22"/>
          <w:szCs w:val="22"/>
          <w:lang w:val="es-ES"/>
        </w:rPr>
        <w:t>Revolving</w:t>
      </w:r>
      <w:proofErr w:type="spellEnd"/>
      <w:r>
        <w:rPr>
          <w:rFonts w:cs="Arial"/>
          <w:sz w:val="22"/>
          <w:szCs w:val="22"/>
          <w:lang w:val="es-ES"/>
        </w:rPr>
        <w:t xml:space="preserve"> 2023</w:t>
      </w:r>
      <w:r w:rsidRPr="00912680">
        <w:rPr>
          <w:rFonts w:cs="Arial"/>
          <w:sz w:val="22"/>
          <w:szCs w:val="22"/>
          <w:lang w:val="es-ES"/>
        </w:rPr>
        <w:t>:</w:t>
      </w:r>
    </w:p>
    <w:p w14:paraId="4CC5687E" w14:textId="77777777" w:rsidR="00E72F21" w:rsidRDefault="00E72F21" w:rsidP="00E72F21">
      <w:pPr>
        <w:spacing w:line="360" w:lineRule="auto"/>
        <w:rPr>
          <w:rFonts w:cs="Arial"/>
          <w:sz w:val="22"/>
          <w:szCs w:val="22"/>
          <w:lang w:val="es-ES"/>
        </w:rPr>
      </w:pPr>
    </w:p>
    <w:p w14:paraId="4C468D0E" w14:textId="77777777" w:rsidR="00E72F21" w:rsidRPr="00316BEA" w:rsidRDefault="00E72F21" w:rsidP="00E72F21">
      <w:pPr>
        <w:spacing w:line="360" w:lineRule="auto"/>
        <w:rPr>
          <w:rFonts w:cs="Arial"/>
          <w:b/>
          <w:sz w:val="22"/>
          <w:szCs w:val="22"/>
          <w:lang w:val="es-ES"/>
        </w:rPr>
      </w:pPr>
      <w:r w:rsidRPr="00316BEA">
        <w:rPr>
          <w:rFonts w:cs="Arial"/>
          <w:b/>
          <w:sz w:val="22"/>
          <w:szCs w:val="22"/>
          <w:lang w:val="es-ES"/>
        </w:rPr>
        <w:t xml:space="preserve">Test de usura con TEDR aplicable según STS </w:t>
      </w:r>
      <w:proofErr w:type="spellStart"/>
      <w:r w:rsidRPr="00316BEA">
        <w:rPr>
          <w:rFonts w:cs="Arial"/>
          <w:b/>
          <w:i/>
          <w:iCs/>
          <w:sz w:val="22"/>
          <w:szCs w:val="22"/>
          <w:lang w:val="es-ES"/>
        </w:rPr>
        <w:t>Revolving</w:t>
      </w:r>
      <w:proofErr w:type="spellEnd"/>
      <w:r w:rsidRPr="00316BEA">
        <w:rPr>
          <w:rFonts w:cs="Arial"/>
          <w:b/>
          <w:sz w:val="22"/>
          <w:szCs w:val="22"/>
          <w:lang w:val="es-ES"/>
        </w:rPr>
        <w:t xml:space="preserve"> 2023:</w:t>
      </w:r>
    </w:p>
    <w:p w14:paraId="499E1F69" w14:textId="27C0F4B9" w:rsidR="00E72F21" w:rsidRPr="004F1C5E" w:rsidRDefault="00E72F21" w:rsidP="00E72F21">
      <w:pPr>
        <w:pBdr>
          <w:top w:val="single" w:sz="4" w:space="1" w:color="auto"/>
          <w:left w:val="single" w:sz="4" w:space="4" w:color="auto"/>
          <w:bottom w:val="single" w:sz="4" w:space="1" w:color="auto"/>
          <w:right w:val="single" w:sz="4" w:space="31" w:color="auto"/>
        </w:pBdr>
        <w:spacing w:line="360" w:lineRule="auto"/>
        <w:rPr>
          <w:rFonts w:cs="Arial"/>
          <w:sz w:val="22"/>
          <w:szCs w:val="22"/>
          <w:lang w:val="es-ES"/>
        </w:rPr>
      </w:pPr>
      <w:r w:rsidRPr="004F1C5E">
        <w:rPr>
          <w:rFonts w:cs="Arial"/>
          <w:sz w:val="22"/>
          <w:szCs w:val="22"/>
          <w:lang w:val="es-ES"/>
        </w:rPr>
        <w:t xml:space="preserve">Año contrato: </w:t>
      </w:r>
      <w:r w:rsidR="00EA2926">
        <w:rPr>
          <w:rFonts w:cs="Arial"/>
          <w:b/>
          <w:bCs/>
          <w:sz w:val="22"/>
          <w:szCs w:val="22"/>
          <w:highlight w:val="yellow"/>
          <w:lang w:val="es-ES"/>
        </w:rPr>
        <w:fldChar w:fldCharType="begin"/>
      </w:r>
      <w:r w:rsidR="00EA2926">
        <w:rPr>
          <w:rFonts w:cs="Arial"/>
          <w:b/>
          <w:bCs/>
          <w:sz w:val="22"/>
          <w:szCs w:val="22"/>
          <w:highlight w:val="yellow"/>
          <w:lang w:val="es-ES"/>
        </w:rPr>
        <w:instrText>persovalores_personalizable1382</w:instrText>
      </w:r>
      <w:r w:rsidR="00EA2926">
        <w:rPr>
          <w:rFonts w:cs="Arial"/>
          <w:b/>
          <w:bCs/>
          <w:sz w:val="22"/>
          <w:szCs w:val="22"/>
          <w:highlight w:val="yellow"/>
          <w:lang w:val="es-ES"/>
        </w:rPr>
        <w:fldChar w:fldCharType="separate"/>
      </w:r>
      <w:r w:rsidR="00EA2926">
        <w:rPr>
          <w:rFonts w:cs="Arial"/>
          <w:b/>
          <w:bCs/>
          <w:noProof/>
          <w:sz w:val="22"/>
          <w:szCs w:val="22"/>
          <w:highlight w:val="yellow"/>
          <w:lang w:val="es-ES"/>
        </w:rPr>
        <w:t>«RECURSOS_APELACION_Año_contrato»</w:t>
      </w:r>
      <w:r w:rsidR="00EA2926">
        <w:rPr>
          <w:rFonts w:cs="Arial"/>
          <w:b/>
          <w:bCs/>
          <w:sz w:val="22"/>
          <w:szCs w:val="22"/>
          <w:highlight w:val="yellow"/>
          <w:lang w:val="es-ES"/>
        </w:rPr>
        <w:fldChar w:fldCharType="end"/>
      </w:r>
    </w:p>
    <w:p w14:paraId="5227EA5E" w14:textId="48D58664" w:rsidR="00E72F21" w:rsidRPr="00912680" w:rsidRDefault="00E72F21" w:rsidP="00E72F21">
      <w:pPr>
        <w:pBdr>
          <w:top w:val="single" w:sz="4" w:space="1" w:color="auto"/>
          <w:left w:val="single" w:sz="4" w:space="4" w:color="auto"/>
          <w:bottom w:val="single" w:sz="4" w:space="1" w:color="auto"/>
          <w:right w:val="single" w:sz="4" w:space="31" w:color="auto"/>
        </w:pBdr>
        <w:spacing w:line="360" w:lineRule="auto"/>
        <w:rPr>
          <w:rFonts w:cs="Arial"/>
          <w:sz w:val="22"/>
          <w:szCs w:val="22"/>
          <w:lang w:val="es-ES"/>
        </w:rPr>
      </w:pPr>
      <w:r w:rsidRPr="004F1C5E">
        <w:rPr>
          <w:rFonts w:cs="Arial"/>
          <w:sz w:val="22"/>
          <w:szCs w:val="22"/>
          <w:lang w:val="es-ES"/>
        </w:rPr>
        <w:t xml:space="preserve">TAE contrato: </w:t>
      </w:r>
      <w:r w:rsidR="00EA2926">
        <w:rPr>
          <w:rFonts w:cs="Arial"/>
          <w:b/>
          <w:bCs/>
          <w:sz w:val="22"/>
          <w:szCs w:val="22"/>
          <w:highlight w:val="yellow"/>
          <w:u w:val="single"/>
          <w:lang w:val="es-ES"/>
        </w:rPr>
        <w:fldChar w:fldCharType="begin"/>
      </w:r>
      <w:r w:rsidR="00EA2926">
        <w:rPr>
          <w:rFonts w:cs="Arial"/>
          <w:b/>
          <w:bCs/>
          <w:sz w:val="22"/>
          <w:szCs w:val="22"/>
          <w:highlight w:val="yellow"/>
          <w:u w:val="single"/>
          <w:lang w:val="es-ES"/>
        </w:rPr>
        <w:instrText>persovalores_personalizable1381</w:instrText>
      </w:r>
      <w:r w:rsidR="00EA2926">
        <w:rPr>
          <w:rFonts w:cs="Arial"/>
          <w:b/>
          <w:bCs/>
          <w:sz w:val="22"/>
          <w:szCs w:val="22"/>
          <w:highlight w:val="yellow"/>
          <w:u w:val="single"/>
          <w:lang w:val="es-ES"/>
        </w:rPr>
        <w:fldChar w:fldCharType="separate"/>
      </w:r>
      <w:r w:rsidR="00EA2926">
        <w:rPr>
          <w:rFonts w:cs="Arial"/>
          <w:b/>
          <w:bCs/>
          <w:noProof/>
          <w:sz w:val="22"/>
          <w:szCs w:val="22"/>
          <w:highlight w:val="yellow"/>
          <w:u w:val="single"/>
          <w:lang w:val="es-ES"/>
        </w:rPr>
        <w:t>«RECURSOS_APELACION_TAE»</w:t>
      </w:r>
      <w:r w:rsidR="00EA2926">
        <w:rPr>
          <w:rFonts w:cs="Arial"/>
          <w:b/>
          <w:bCs/>
          <w:sz w:val="22"/>
          <w:szCs w:val="22"/>
          <w:highlight w:val="yellow"/>
          <w:u w:val="single"/>
          <w:lang w:val="es-ES"/>
        </w:rPr>
        <w:fldChar w:fldCharType="end"/>
      </w:r>
      <w:r w:rsidRPr="004F1C5E">
        <w:rPr>
          <w:rFonts w:cs="Arial"/>
          <w:b/>
          <w:bCs/>
          <w:sz w:val="22"/>
          <w:szCs w:val="22"/>
          <w:lang w:val="es-ES"/>
        </w:rPr>
        <w:t>%</w:t>
      </w:r>
    </w:p>
    <w:p w14:paraId="6056EF37" w14:textId="5D013585" w:rsidR="00E72F21" w:rsidRPr="00912680" w:rsidRDefault="00E72F21" w:rsidP="00E72F21">
      <w:pPr>
        <w:pBdr>
          <w:top w:val="single" w:sz="4" w:space="1" w:color="auto"/>
          <w:left w:val="single" w:sz="4" w:space="4" w:color="auto"/>
          <w:bottom w:val="single" w:sz="4" w:space="1" w:color="auto"/>
          <w:right w:val="single" w:sz="4" w:space="31" w:color="auto"/>
        </w:pBdr>
        <w:spacing w:line="360" w:lineRule="auto"/>
        <w:rPr>
          <w:rFonts w:cs="Arial"/>
          <w:sz w:val="22"/>
          <w:szCs w:val="22"/>
          <w:lang w:val="es-ES"/>
        </w:rPr>
      </w:pPr>
      <w:r w:rsidRPr="00912680">
        <w:rPr>
          <w:rFonts w:cs="Arial"/>
          <w:sz w:val="22"/>
          <w:szCs w:val="22"/>
          <w:lang w:val="es-ES"/>
        </w:rPr>
        <w:t xml:space="preserve">TEDR aplicable: Boletín Estadístico para el año </w:t>
      </w:r>
      <w:r w:rsidR="00EA2926">
        <w:rPr>
          <w:rFonts w:cs="Arial"/>
          <w:b/>
          <w:bCs/>
          <w:sz w:val="22"/>
          <w:szCs w:val="22"/>
          <w:highlight w:val="yellow"/>
          <w:lang w:val="es-ES"/>
        </w:rPr>
        <w:fldChar w:fldCharType="begin"/>
      </w:r>
      <w:r w:rsidR="00EA2926">
        <w:rPr>
          <w:rFonts w:cs="Arial"/>
          <w:b/>
          <w:bCs/>
          <w:sz w:val="22"/>
          <w:szCs w:val="22"/>
          <w:highlight w:val="yellow"/>
          <w:lang w:val="es-ES"/>
        </w:rPr>
        <w:instrText>persovalores_personalizable1382</w:instrText>
      </w:r>
      <w:r w:rsidR="00EA2926">
        <w:rPr>
          <w:rFonts w:cs="Arial"/>
          <w:b/>
          <w:bCs/>
          <w:sz w:val="22"/>
          <w:szCs w:val="22"/>
          <w:highlight w:val="yellow"/>
          <w:lang w:val="es-ES"/>
        </w:rPr>
        <w:fldChar w:fldCharType="separate"/>
      </w:r>
      <w:r w:rsidR="00EA2926">
        <w:rPr>
          <w:rFonts w:cs="Arial"/>
          <w:b/>
          <w:bCs/>
          <w:noProof/>
          <w:sz w:val="22"/>
          <w:szCs w:val="22"/>
          <w:highlight w:val="yellow"/>
          <w:lang w:val="es-ES"/>
        </w:rPr>
        <w:t>«RECURSOS_APELACION_Año_contrato»</w:t>
      </w:r>
      <w:r w:rsidR="00EA2926">
        <w:rPr>
          <w:rFonts w:cs="Arial"/>
          <w:b/>
          <w:bCs/>
          <w:sz w:val="22"/>
          <w:szCs w:val="22"/>
          <w:highlight w:val="yellow"/>
          <w:lang w:val="es-ES"/>
        </w:rPr>
        <w:fldChar w:fldCharType="end"/>
      </w:r>
      <w:r w:rsidR="00D41828">
        <w:rPr>
          <w:rFonts w:cs="Arial"/>
          <w:b/>
          <w:bCs/>
          <w:sz w:val="22"/>
          <w:szCs w:val="22"/>
          <w:lang w:val="es-ES"/>
        </w:rPr>
        <w:t xml:space="preserve"> </w:t>
      </w:r>
      <w:r w:rsidRPr="00912680">
        <w:rPr>
          <w:rFonts w:cs="Arial"/>
          <w:sz w:val="22"/>
          <w:szCs w:val="22"/>
          <w:lang w:val="es-ES"/>
        </w:rPr>
        <w:t xml:space="preserve">= </w:t>
      </w:r>
      <w:r w:rsidRPr="00D41828">
        <w:rPr>
          <w:rFonts w:cs="Arial"/>
          <w:sz w:val="22"/>
          <w:szCs w:val="22"/>
          <w:highlight w:val="green"/>
          <w:lang w:val="es-ES"/>
        </w:rPr>
        <w:t xml:space="preserve">***** </w:t>
      </w:r>
      <w:r w:rsidRPr="00D41828">
        <w:rPr>
          <w:rFonts w:cs="Arial"/>
          <w:sz w:val="22"/>
          <w:szCs w:val="22"/>
          <w:lang w:val="es-ES"/>
        </w:rPr>
        <w:t>%</w:t>
      </w:r>
      <w:r w:rsidRPr="00912680">
        <w:rPr>
          <w:rFonts w:cs="Arial"/>
          <w:sz w:val="22"/>
          <w:szCs w:val="22"/>
          <w:lang w:val="es-ES"/>
        </w:rPr>
        <w:t xml:space="preserve"> + </w:t>
      </w:r>
      <w:r>
        <w:rPr>
          <w:rFonts w:cs="Arial"/>
          <w:sz w:val="22"/>
          <w:szCs w:val="22"/>
          <w:lang w:val="es-ES"/>
        </w:rPr>
        <w:t>0.3% (</w:t>
      </w:r>
      <w:r w:rsidRPr="00912680">
        <w:rPr>
          <w:rFonts w:cs="Arial"/>
          <w:sz w:val="22"/>
          <w:szCs w:val="22"/>
          <w:lang w:val="es-ES"/>
        </w:rPr>
        <w:t>comisiones</w:t>
      </w:r>
      <w:r>
        <w:rPr>
          <w:rFonts w:cs="Arial"/>
          <w:sz w:val="22"/>
          <w:szCs w:val="22"/>
          <w:lang w:val="es-ES"/>
        </w:rPr>
        <w:t>)</w:t>
      </w:r>
      <w:r w:rsidRPr="00912680">
        <w:rPr>
          <w:rFonts w:cs="Arial"/>
          <w:sz w:val="22"/>
          <w:szCs w:val="22"/>
          <w:lang w:val="es-ES"/>
        </w:rPr>
        <w:t xml:space="preserve"> </w:t>
      </w:r>
      <w:r>
        <w:rPr>
          <w:rFonts w:cs="Arial"/>
          <w:sz w:val="22"/>
          <w:szCs w:val="22"/>
          <w:lang w:val="es-ES"/>
        </w:rPr>
        <w:t>=</w:t>
      </w:r>
      <w:r w:rsidRPr="00912680">
        <w:rPr>
          <w:rFonts w:cs="Arial"/>
          <w:sz w:val="22"/>
          <w:szCs w:val="22"/>
          <w:lang w:val="es-ES"/>
        </w:rPr>
        <w:t xml:space="preserve"> </w:t>
      </w:r>
      <w:r w:rsidRPr="00D41828">
        <w:rPr>
          <w:rFonts w:cs="Arial"/>
          <w:b/>
          <w:bCs/>
          <w:sz w:val="22"/>
          <w:szCs w:val="22"/>
          <w:highlight w:val="green"/>
          <w:lang w:val="es-ES"/>
        </w:rPr>
        <w:t>****</w:t>
      </w:r>
      <w:proofErr w:type="gramStart"/>
      <w:r w:rsidRPr="00D41828">
        <w:rPr>
          <w:rFonts w:cs="Arial"/>
          <w:b/>
          <w:bCs/>
          <w:sz w:val="22"/>
          <w:szCs w:val="22"/>
          <w:highlight w:val="green"/>
          <w:lang w:val="es-ES"/>
        </w:rPr>
        <w:t xml:space="preserve">*  </w:t>
      </w:r>
      <w:r w:rsidRPr="00D41828">
        <w:rPr>
          <w:rFonts w:cs="Arial"/>
          <w:b/>
          <w:bCs/>
          <w:sz w:val="22"/>
          <w:szCs w:val="22"/>
          <w:lang w:val="es-ES"/>
        </w:rPr>
        <w:t>%</w:t>
      </w:r>
      <w:proofErr w:type="gramEnd"/>
      <w:r w:rsidRPr="00D41828">
        <w:rPr>
          <w:rFonts w:cs="Arial"/>
          <w:b/>
          <w:bCs/>
          <w:sz w:val="22"/>
          <w:szCs w:val="22"/>
          <w:lang w:val="es-ES"/>
        </w:rPr>
        <w:t>.</w:t>
      </w:r>
    </w:p>
    <w:p w14:paraId="0223ED5F" w14:textId="77777777" w:rsidR="00E72F21" w:rsidRDefault="00E72F21" w:rsidP="00E72F21">
      <w:pPr>
        <w:pBdr>
          <w:top w:val="single" w:sz="4" w:space="1" w:color="auto"/>
          <w:left w:val="single" w:sz="4" w:space="4" w:color="auto"/>
          <w:bottom w:val="single" w:sz="4" w:space="1" w:color="auto"/>
          <w:right w:val="single" w:sz="4" w:space="31" w:color="auto"/>
        </w:pBdr>
        <w:spacing w:line="360" w:lineRule="auto"/>
        <w:rPr>
          <w:rFonts w:cs="Arial"/>
          <w:b/>
          <w:bCs/>
          <w:sz w:val="22"/>
          <w:szCs w:val="22"/>
          <w:lang w:val="es-ES"/>
        </w:rPr>
      </w:pPr>
      <w:r w:rsidRPr="00AA01F5">
        <w:rPr>
          <w:rFonts w:cs="Arial"/>
          <w:b/>
          <w:bCs/>
          <w:sz w:val="22"/>
          <w:szCs w:val="22"/>
          <w:lang w:val="es-ES"/>
        </w:rPr>
        <w:t xml:space="preserve">Diferencia entre TAE y TEDR (ajustado con comisiones) = </w:t>
      </w:r>
    </w:p>
    <w:p w14:paraId="37560791" w14:textId="745A9AD2" w:rsidR="00E72F21" w:rsidRPr="00AA01F5" w:rsidRDefault="00E72F21" w:rsidP="00E72F21">
      <w:pPr>
        <w:pBdr>
          <w:top w:val="single" w:sz="4" w:space="1" w:color="auto"/>
          <w:left w:val="single" w:sz="4" w:space="4" w:color="auto"/>
          <w:bottom w:val="single" w:sz="4" w:space="1" w:color="auto"/>
          <w:right w:val="single" w:sz="4" w:space="31" w:color="auto"/>
        </w:pBdr>
        <w:spacing w:line="360" w:lineRule="auto"/>
        <w:rPr>
          <w:rFonts w:cs="Arial"/>
          <w:b/>
          <w:bCs/>
          <w:sz w:val="22"/>
          <w:szCs w:val="22"/>
          <w:lang w:val="es-ES"/>
        </w:rPr>
      </w:pPr>
      <w:r>
        <w:rPr>
          <w:rFonts w:cs="Arial"/>
          <w:b/>
          <w:bCs/>
          <w:sz w:val="22"/>
          <w:szCs w:val="22"/>
          <w:lang w:val="es-ES"/>
        </w:rPr>
        <w:t xml:space="preserve">= </w:t>
      </w:r>
      <w:r w:rsidR="00D41828">
        <w:rPr>
          <w:rFonts w:cs="Arial"/>
          <w:b/>
          <w:bCs/>
          <w:sz w:val="22"/>
          <w:szCs w:val="22"/>
          <w:highlight w:val="yellow"/>
          <w:u w:val="single"/>
          <w:lang w:val="es-ES"/>
        </w:rPr>
        <w:fldChar w:fldCharType="begin"/>
      </w:r>
      <w:r w:rsidR="00D41828">
        <w:rPr>
          <w:rFonts w:cs="Arial"/>
          <w:b/>
          <w:bCs/>
          <w:sz w:val="22"/>
          <w:szCs w:val="22"/>
          <w:highlight w:val="yellow"/>
          <w:u w:val="single"/>
          <w:lang w:val="es-ES"/>
        </w:rPr>
        <w:instrText>persovalores_personalizable1381</w:instrText>
      </w:r>
      <w:r w:rsidR="00D41828">
        <w:rPr>
          <w:rFonts w:cs="Arial"/>
          <w:b/>
          <w:bCs/>
          <w:sz w:val="22"/>
          <w:szCs w:val="22"/>
          <w:highlight w:val="yellow"/>
          <w:u w:val="single"/>
          <w:lang w:val="es-ES"/>
        </w:rPr>
        <w:fldChar w:fldCharType="separate"/>
      </w:r>
      <w:r w:rsidR="00D41828">
        <w:rPr>
          <w:rFonts w:cs="Arial"/>
          <w:b/>
          <w:bCs/>
          <w:noProof/>
          <w:sz w:val="22"/>
          <w:szCs w:val="22"/>
          <w:highlight w:val="yellow"/>
          <w:u w:val="single"/>
          <w:lang w:val="es-ES"/>
        </w:rPr>
        <w:t>«RECURSOS_APELACION_TAE»</w:t>
      </w:r>
      <w:r w:rsidR="00D41828">
        <w:rPr>
          <w:rFonts w:cs="Arial"/>
          <w:b/>
          <w:bCs/>
          <w:sz w:val="22"/>
          <w:szCs w:val="22"/>
          <w:highlight w:val="yellow"/>
          <w:u w:val="single"/>
          <w:lang w:val="es-ES"/>
        </w:rPr>
        <w:fldChar w:fldCharType="end"/>
      </w:r>
      <w:r w:rsidRPr="00AA01F5">
        <w:rPr>
          <w:rFonts w:cs="Arial"/>
          <w:b/>
          <w:bCs/>
          <w:sz w:val="22"/>
          <w:szCs w:val="22"/>
          <w:highlight w:val="yellow"/>
          <w:lang w:val="es-ES"/>
        </w:rPr>
        <w:t xml:space="preserve">% </w:t>
      </w:r>
      <w:proofErr w:type="gramStart"/>
      <w:r w:rsidRPr="00AA01F5">
        <w:rPr>
          <w:rFonts w:cs="Arial"/>
          <w:b/>
          <w:bCs/>
          <w:sz w:val="22"/>
          <w:szCs w:val="22"/>
          <w:highlight w:val="yellow"/>
          <w:lang w:val="es-ES"/>
        </w:rPr>
        <w:t xml:space="preserve">- </w:t>
      </w:r>
      <w:r>
        <w:rPr>
          <w:rFonts w:cs="Arial"/>
          <w:b/>
          <w:bCs/>
          <w:sz w:val="22"/>
          <w:szCs w:val="22"/>
          <w:highlight w:val="yellow"/>
          <w:lang w:val="es-ES"/>
        </w:rPr>
        <w:t xml:space="preserve"> </w:t>
      </w:r>
      <w:r w:rsidRPr="00D41828">
        <w:rPr>
          <w:rFonts w:cs="Arial"/>
          <w:b/>
          <w:bCs/>
          <w:sz w:val="22"/>
          <w:szCs w:val="22"/>
          <w:highlight w:val="green"/>
          <w:lang w:val="es-ES"/>
        </w:rPr>
        <w:t>TEDR</w:t>
      </w:r>
      <w:proofErr w:type="gramEnd"/>
      <w:r w:rsidR="00D41828" w:rsidRPr="00D41828">
        <w:rPr>
          <w:rFonts w:cs="Arial"/>
          <w:b/>
          <w:bCs/>
          <w:sz w:val="22"/>
          <w:szCs w:val="22"/>
          <w:highlight w:val="green"/>
          <w:lang w:val="es-ES"/>
        </w:rPr>
        <w:t xml:space="preserve"> </w:t>
      </w:r>
      <w:r w:rsidRPr="00D41828">
        <w:rPr>
          <w:rFonts w:cs="Arial"/>
          <w:b/>
          <w:bCs/>
          <w:sz w:val="22"/>
          <w:szCs w:val="22"/>
          <w:highlight w:val="green"/>
          <w:lang w:val="es-ES"/>
        </w:rPr>
        <w:t>+</w:t>
      </w:r>
      <w:r w:rsidR="00D41828" w:rsidRPr="00D41828">
        <w:rPr>
          <w:rFonts w:cs="Arial"/>
          <w:b/>
          <w:bCs/>
          <w:sz w:val="22"/>
          <w:szCs w:val="22"/>
          <w:highlight w:val="green"/>
          <w:lang w:val="es-ES"/>
        </w:rPr>
        <w:t xml:space="preserve"> </w:t>
      </w:r>
      <w:r w:rsidRPr="00D41828">
        <w:rPr>
          <w:rFonts w:cs="Arial"/>
          <w:b/>
          <w:bCs/>
          <w:sz w:val="22"/>
          <w:szCs w:val="22"/>
          <w:highlight w:val="green"/>
          <w:lang w:val="es-ES"/>
        </w:rPr>
        <w:t xml:space="preserve">0,3 % </w:t>
      </w:r>
      <w:r w:rsidRPr="00AA01F5">
        <w:rPr>
          <w:rFonts w:cs="Arial"/>
          <w:b/>
          <w:bCs/>
          <w:sz w:val="22"/>
          <w:szCs w:val="22"/>
          <w:highlight w:val="yellow"/>
          <w:lang w:val="es-ES"/>
        </w:rPr>
        <w:t xml:space="preserve">= </w:t>
      </w:r>
      <w:r w:rsidR="00D41828" w:rsidRPr="00D41828">
        <w:rPr>
          <w:rFonts w:cs="Arial"/>
          <w:b/>
          <w:bCs/>
          <w:sz w:val="22"/>
          <w:szCs w:val="22"/>
          <w:highlight w:val="green"/>
          <w:u w:val="single"/>
          <w:lang w:val="es-ES"/>
        </w:rPr>
        <w:t>XXX</w:t>
      </w:r>
      <w:r>
        <w:rPr>
          <w:rFonts w:cs="Arial"/>
          <w:b/>
          <w:bCs/>
          <w:sz w:val="22"/>
          <w:szCs w:val="22"/>
          <w:u w:val="single"/>
          <w:lang w:val="es-ES"/>
        </w:rPr>
        <w:t xml:space="preserve"> </w:t>
      </w:r>
      <w:r w:rsidRPr="00AA01F5">
        <w:rPr>
          <w:rFonts w:cs="Arial"/>
          <w:b/>
          <w:bCs/>
          <w:sz w:val="22"/>
          <w:szCs w:val="22"/>
          <w:u w:val="single"/>
          <w:lang w:val="es-ES"/>
        </w:rPr>
        <w:t xml:space="preserve"> </w:t>
      </w:r>
      <w:r>
        <w:rPr>
          <w:rFonts w:cs="Arial"/>
          <w:b/>
          <w:bCs/>
          <w:sz w:val="22"/>
          <w:szCs w:val="22"/>
          <w:u w:val="single"/>
          <w:lang w:val="es-ES"/>
        </w:rPr>
        <w:t>≤</w:t>
      </w:r>
      <w:r w:rsidRPr="00AA01F5">
        <w:rPr>
          <w:rFonts w:cs="Arial"/>
          <w:b/>
          <w:bCs/>
          <w:sz w:val="22"/>
          <w:szCs w:val="22"/>
          <w:u w:val="single"/>
          <w:lang w:val="es-ES"/>
        </w:rPr>
        <w:t xml:space="preserve"> 6 PUNTOS</w:t>
      </w:r>
    </w:p>
    <w:p w14:paraId="7A6D060A" w14:textId="77777777" w:rsidR="00E72F21" w:rsidRDefault="00E72F21" w:rsidP="00E72F21">
      <w:pPr>
        <w:pBdr>
          <w:left w:val="single" w:sz="4" w:space="4" w:color="auto"/>
          <w:bottom w:val="single" w:sz="4" w:space="1" w:color="auto"/>
          <w:right w:val="single" w:sz="4" w:space="31" w:color="auto"/>
          <w:between w:val="single" w:sz="4" w:space="1" w:color="auto"/>
          <w:bar w:val="single" w:sz="4" w:color="auto"/>
        </w:pBdr>
        <w:spacing w:line="360" w:lineRule="auto"/>
        <w:rPr>
          <w:rFonts w:eastAsia="Times New Roman" w:cs="Arial"/>
          <w:b/>
          <w:bCs/>
          <w:sz w:val="22"/>
          <w:szCs w:val="22"/>
          <w:lang w:val="es-ES" w:eastAsia="en-US"/>
        </w:rPr>
      </w:pPr>
    </w:p>
    <w:p w14:paraId="438D9F99" w14:textId="77777777" w:rsidR="00E72F21" w:rsidRPr="00AA01F5" w:rsidRDefault="00E72F21" w:rsidP="00E72F21">
      <w:pPr>
        <w:pBdr>
          <w:left w:val="single" w:sz="4" w:space="4" w:color="auto"/>
          <w:bottom w:val="single" w:sz="4" w:space="1" w:color="auto"/>
          <w:right w:val="single" w:sz="4" w:space="31" w:color="auto"/>
          <w:between w:val="single" w:sz="4" w:space="1" w:color="auto"/>
          <w:bar w:val="single" w:sz="4" w:color="auto"/>
        </w:pBdr>
        <w:spacing w:line="360" w:lineRule="auto"/>
        <w:rPr>
          <w:rFonts w:eastAsia="Times New Roman" w:cs="Arial"/>
          <w:b/>
          <w:bCs/>
          <w:sz w:val="22"/>
          <w:szCs w:val="22"/>
          <w:lang w:val="es-ES" w:eastAsia="en-US"/>
        </w:rPr>
      </w:pPr>
      <w:r w:rsidRPr="00AA01F5">
        <w:rPr>
          <w:rFonts w:eastAsia="Times New Roman" w:cs="Arial"/>
          <w:b/>
          <w:bCs/>
          <w:sz w:val="22"/>
          <w:szCs w:val="22"/>
          <w:lang w:val="es-ES" w:eastAsia="en-US"/>
        </w:rPr>
        <w:t>CONCLUSIÓN Tribunal Supremo: la TAE del contrato no es notablemente superior al interés normal del dinero y, por ende, el contrato no es usurario.</w:t>
      </w:r>
    </w:p>
    <w:p w14:paraId="2B309510" w14:textId="77777777" w:rsidR="00E72F21" w:rsidRDefault="00E72F21" w:rsidP="00E72F21">
      <w:pPr>
        <w:spacing w:after="210" w:line="360" w:lineRule="auto"/>
        <w:rPr>
          <w:rFonts w:cs="Arial"/>
          <w:b/>
          <w:sz w:val="22"/>
          <w:szCs w:val="22"/>
          <w:lang w:val="es-ES"/>
        </w:rPr>
      </w:pPr>
    </w:p>
    <w:p w14:paraId="01D3508C" w14:textId="77777777" w:rsidR="00E72F21" w:rsidRDefault="00E72F21" w:rsidP="00E72F21">
      <w:pPr>
        <w:spacing w:after="210" w:line="360" w:lineRule="auto"/>
        <w:rPr>
          <w:rFonts w:cs="Arial"/>
          <w:b/>
          <w:sz w:val="22"/>
          <w:szCs w:val="22"/>
          <w:lang w:val="es-ES"/>
        </w:rPr>
      </w:pPr>
      <w:r w:rsidRPr="007A0AFD">
        <w:rPr>
          <w:rFonts w:cs="Arial"/>
          <w:b/>
          <w:sz w:val="22"/>
          <w:szCs w:val="22"/>
          <w:highlight w:val="green"/>
          <w:lang w:val="es-ES"/>
        </w:rPr>
        <w:t>[OJO AQUÍ DIRECTAMENTE COMPARAMOS TEDR CON TAE DE NUESTRO CONTRATO, CRITERIO STS REVOLVING 2023]</w:t>
      </w:r>
    </w:p>
    <w:p w14:paraId="22C5B426" w14:textId="77777777" w:rsidR="00E72F21" w:rsidRPr="00AA01F5" w:rsidRDefault="00E72F21" w:rsidP="00E72F21">
      <w:pPr>
        <w:spacing w:after="210" w:line="360" w:lineRule="auto"/>
        <w:rPr>
          <w:rFonts w:cs="Arial"/>
          <w:b/>
          <w:sz w:val="22"/>
          <w:szCs w:val="22"/>
          <w:lang w:val="es-ES"/>
        </w:rPr>
      </w:pPr>
      <w:r>
        <w:rPr>
          <w:rFonts w:cs="Arial"/>
          <w:b/>
          <w:sz w:val="22"/>
          <w:szCs w:val="22"/>
          <w:lang w:val="es-ES"/>
        </w:rPr>
        <w:lastRenderedPageBreak/>
        <w:t xml:space="preserve">Por todo la anterior, la tarjeta siempre supera </w:t>
      </w:r>
      <w:proofErr w:type="gramStart"/>
      <w:r>
        <w:rPr>
          <w:rFonts w:cs="Arial"/>
          <w:b/>
          <w:sz w:val="22"/>
          <w:szCs w:val="22"/>
          <w:lang w:val="es-ES"/>
        </w:rPr>
        <w:t>el test</w:t>
      </w:r>
      <w:proofErr w:type="gramEnd"/>
      <w:r>
        <w:rPr>
          <w:rFonts w:cs="Arial"/>
          <w:b/>
          <w:sz w:val="22"/>
          <w:szCs w:val="22"/>
          <w:lang w:val="es-ES"/>
        </w:rPr>
        <w:t xml:space="preserve"> de usura y la sentencia de instancia debe ser revocada. </w:t>
      </w:r>
    </w:p>
    <w:p w14:paraId="159CCC82" w14:textId="77777777" w:rsidR="00E72F21" w:rsidRDefault="00E72F21" w:rsidP="00E72F21">
      <w:pPr>
        <w:spacing w:line="360" w:lineRule="auto"/>
        <w:rPr>
          <w:rFonts w:cs="Arial"/>
          <w:b/>
          <w:bCs/>
          <w:sz w:val="22"/>
          <w:szCs w:val="22"/>
          <w:u w:val="single"/>
          <w:lang w:val="es-ES_tradnl" w:eastAsia="en-US"/>
        </w:rPr>
      </w:pPr>
    </w:p>
    <w:p w14:paraId="41DDA8AA" w14:textId="3B34D875" w:rsidR="00D72A94" w:rsidRDefault="00E72F21" w:rsidP="00D72A94">
      <w:pPr>
        <w:widowControl w:val="0"/>
        <w:spacing w:after="360" w:line="360" w:lineRule="auto"/>
        <w:rPr>
          <w:rFonts w:cs="Arial"/>
          <w:b/>
          <w:bCs/>
          <w:sz w:val="22"/>
          <w:szCs w:val="22"/>
          <w:lang w:val="es-ES_tradnl"/>
        </w:rPr>
      </w:pPr>
      <w:r>
        <w:rPr>
          <w:rFonts w:cs="Arial"/>
          <w:b/>
          <w:sz w:val="22"/>
          <w:szCs w:val="22"/>
          <w:u w:val="single"/>
          <w:lang w:val="es-ES"/>
        </w:rPr>
        <w:t>TERCERO</w:t>
      </w:r>
      <w:r w:rsidRPr="009226CA">
        <w:rPr>
          <w:rFonts w:cs="Arial"/>
          <w:b/>
          <w:sz w:val="22"/>
          <w:szCs w:val="22"/>
          <w:lang w:val="es-ES"/>
        </w:rPr>
        <w:t xml:space="preserve">. – </w:t>
      </w:r>
      <w:r w:rsidR="00D72A94">
        <w:rPr>
          <w:rFonts w:cs="Arial"/>
          <w:b/>
          <w:bCs/>
          <w:sz w:val="22"/>
          <w:szCs w:val="22"/>
          <w:lang w:val="es-ES_tradnl"/>
        </w:rPr>
        <w:t>IMPROCEDENCIA DE LA CONDENA EN COSTAS DE PRIMERA INSTANCIA A MI REPRESENTADA</w:t>
      </w:r>
    </w:p>
    <w:p w14:paraId="6F9C480A" w14:textId="77777777" w:rsidR="00D72A94" w:rsidRDefault="00D72A94" w:rsidP="00D72A94">
      <w:pPr>
        <w:widowControl w:val="0"/>
        <w:spacing w:after="360" w:line="360" w:lineRule="auto"/>
        <w:rPr>
          <w:rFonts w:cs="Arial"/>
          <w:b/>
          <w:bCs/>
          <w:sz w:val="22"/>
          <w:szCs w:val="22"/>
          <w:lang w:val="es-ES_tradnl"/>
        </w:rPr>
      </w:pPr>
      <w:r>
        <w:rPr>
          <w:rFonts w:cs="Arial"/>
          <w:b/>
          <w:bCs/>
          <w:sz w:val="22"/>
          <w:szCs w:val="22"/>
          <w:highlight w:val="yellow"/>
          <w:lang w:val="es-ES_tradnl"/>
        </w:rPr>
        <w:t>[si se estima acción usura caso verde]</w:t>
      </w:r>
    </w:p>
    <w:p w14:paraId="59849002" w14:textId="48FA866F" w:rsidR="00D72A94" w:rsidRDefault="00D72A94" w:rsidP="00D72A94">
      <w:pPr>
        <w:widowControl w:val="0"/>
        <w:spacing w:after="360" w:line="360" w:lineRule="auto"/>
        <w:rPr>
          <w:rFonts w:cs="Arial"/>
          <w:sz w:val="22"/>
          <w:szCs w:val="22"/>
          <w:lang w:val="es-ES_tradnl"/>
        </w:rPr>
      </w:pPr>
      <w:r>
        <w:rPr>
          <w:rFonts w:cs="Arial"/>
          <w:sz w:val="22"/>
          <w:szCs w:val="22"/>
          <w:lang w:val="es-ES_tradnl"/>
        </w:rPr>
        <w:t xml:space="preserve">En el Fundamento de Derecho </w:t>
      </w:r>
      <w:r>
        <w:rPr>
          <w:rFonts w:cs="Arial"/>
          <w:sz w:val="22"/>
          <w:szCs w:val="22"/>
          <w:highlight w:val="yellow"/>
          <w:lang w:val="es-ES_tradnl"/>
        </w:rPr>
        <w:fldChar w:fldCharType="begin"/>
      </w:r>
      <w:r>
        <w:rPr>
          <w:rFonts w:cs="Arial"/>
          <w:sz w:val="22"/>
          <w:szCs w:val="22"/>
          <w:highlight w:val="yellow"/>
          <w:lang w:val="es-ES_tradnl"/>
        </w:rPr>
        <w:instrText>persovalores_personalizable1388</w:instrText>
      </w:r>
      <w:r>
        <w:rPr>
          <w:rFonts w:cs="Arial"/>
          <w:sz w:val="22"/>
          <w:szCs w:val="22"/>
          <w:highlight w:val="yellow"/>
          <w:lang w:val="es-ES_tradnl"/>
        </w:rPr>
        <w:fldChar w:fldCharType="separate"/>
      </w:r>
      <w:r>
        <w:rPr>
          <w:rFonts w:cs="Arial"/>
          <w:noProof/>
          <w:sz w:val="22"/>
          <w:szCs w:val="22"/>
          <w:highlight w:val="yellow"/>
          <w:lang w:val="es-ES_tradnl"/>
        </w:rPr>
        <w:t>«RECURSOS_APELACION_Fundamento_sentencia_»</w:t>
      </w:r>
      <w:r>
        <w:rPr>
          <w:rFonts w:cs="Arial"/>
          <w:sz w:val="22"/>
          <w:szCs w:val="22"/>
          <w:highlight w:val="yellow"/>
          <w:lang w:val="es-ES_tradnl"/>
        </w:rPr>
        <w:fldChar w:fldCharType="end"/>
      </w:r>
      <w:r>
        <w:rPr>
          <w:rFonts w:cs="Arial"/>
          <w:sz w:val="22"/>
          <w:szCs w:val="22"/>
          <w:lang w:val="es-ES_tradnl"/>
        </w:rPr>
        <w:t xml:space="preserve"> de la Sentencia recurrida se acuerda imponer las costas de la primera instancia a mi representada.</w:t>
      </w:r>
    </w:p>
    <w:p w14:paraId="4D95779D" w14:textId="77777777" w:rsidR="00D72A94" w:rsidRDefault="00D72A94" w:rsidP="00D72A94">
      <w:pPr>
        <w:widowControl w:val="0"/>
        <w:spacing w:after="360" w:line="360" w:lineRule="auto"/>
        <w:rPr>
          <w:rFonts w:eastAsia="Times New Roman" w:cs="Arial"/>
          <w:sz w:val="22"/>
          <w:szCs w:val="22"/>
          <w:lang w:val="es-ES"/>
        </w:rPr>
      </w:pPr>
      <w:r>
        <w:rPr>
          <w:rFonts w:cs="Arial"/>
          <w:sz w:val="22"/>
          <w:szCs w:val="22"/>
          <w:lang w:val="es-ES_tradnl"/>
        </w:rPr>
        <w:t xml:space="preserve">Pues bien, </w:t>
      </w:r>
      <w:r>
        <w:rPr>
          <w:rFonts w:eastAsia="Times New Roman" w:cs="Arial"/>
          <w:sz w:val="22"/>
          <w:szCs w:val="22"/>
          <w:lang w:val="es-ES"/>
        </w:rPr>
        <w:t>en aplicación del criterio del vencimiento objetivo del art. 394.1 LEC, y dado que procede la íntegra estimación del presente recurso de apelación, las costas de la primera instancia habrán de ser impuestas a la parte actora, ahora Recurrida.</w:t>
      </w:r>
    </w:p>
    <w:p w14:paraId="7A1AA889" w14:textId="77777777" w:rsidR="00D72A94" w:rsidRDefault="00D72A94" w:rsidP="00D72A94">
      <w:pPr>
        <w:widowControl w:val="0"/>
        <w:spacing w:after="360" w:line="360" w:lineRule="auto"/>
        <w:rPr>
          <w:rFonts w:eastAsia="Times New Roman" w:cs="Arial"/>
          <w:sz w:val="22"/>
          <w:szCs w:val="22"/>
          <w:lang w:val="es-ES"/>
        </w:rPr>
      </w:pPr>
      <w:r>
        <w:rPr>
          <w:rFonts w:eastAsia="Times New Roman" w:cs="Arial"/>
          <w:sz w:val="22"/>
          <w:szCs w:val="22"/>
          <w:lang w:val="es-ES"/>
        </w:rPr>
        <w:t xml:space="preserve">En este punto resulta preciso llamar la atención del Juzgador </w:t>
      </w:r>
      <w:r>
        <w:rPr>
          <w:rFonts w:eastAsia="Times New Roman" w:cs="Arial"/>
          <w:i/>
          <w:iCs/>
          <w:sz w:val="22"/>
          <w:szCs w:val="22"/>
          <w:lang w:val="es-ES"/>
        </w:rPr>
        <w:t xml:space="preserve">ad </w:t>
      </w:r>
      <w:proofErr w:type="spellStart"/>
      <w:r>
        <w:rPr>
          <w:rFonts w:eastAsia="Times New Roman" w:cs="Arial"/>
          <w:i/>
          <w:iCs/>
          <w:sz w:val="22"/>
          <w:szCs w:val="22"/>
          <w:lang w:val="es-ES"/>
        </w:rPr>
        <w:t>quem</w:t>
      </w:r>
      <w:proofErr w:type="spellEnd"/>
      <w:r>
        <w:rPr>
          <w:rFonts w:eastAsia="Times New Roman" w:cs="Arial"/>
          <w:sz w:val="22"/>
          <w:szCs w:val="22"/>
          <w:lang w:val="es-ES"/>
        </w:rPr>
        <w:t xml:space="preserve"> sobre la </w:t>
      </w:r>
      <w:r>
        <w:rPr>
          <w:rFonts w:eastAsia="Times New Roman" w:cs="Arial"/>
          <w:b/>
          <w:bCs/>
          <w:sz w:val="22"/>
          <w:szCs w:val="22"/>
          <w:u w:val="single"/>
          <w:lang w:val="es-ES"/>
        </w:rPr>
        <w:t>temeridad y mala fe manifiesta</w:t>
      </w:r>
      <w:r>
        <w:rPr>
          <w:rFonts w:eastAsia="Times New Roman" w:cs="Arial"/>
          <w:sz w:val="22"/>
          <w:szCs w:val="22"/>
          <w:lang w:val="es-ES"/>
        </w:rPr>
        <w:t xml:space="preserve"> de la parte Recurrida, al iniciar un procedimiento cuando de antemano es plenamente </w:t>
      </w:r>
      <w:r>
        <w:rPr>
          <w:rFonts w:eastAsia="Times New Roman" w:cs="Arial"/>
          <w:b/>
          <w:bCs/>
          <w:sz w:val="22"/>
          <w:szCs w:val="22"/>
          <w:u w:val="single"/>
          <w:lang w:val="es-ES"/>
        </w:rPr>
        <w:t>conocedora de que la TAE objeto del contrato no es usuraria</w:t>
      </w:r>
      <w:r>
        <w:rPr>
          <w:rFonts w:eastAsia="Times New Roman" w:cs="Arial"/>
          <w:sz w:val="22"/>
          <w:szCs w:val="22"/>
          <w:lang w:val="es-ES"/>
        </w:rPr>
        <w:t>, de conformidad con la doctrina ya asentada por el Tribunal Supremo en su sentencia de 15 de febrero de 2023, anteriormente desarrollada.</w:t>
      </w:r>
    </w:p>
    <w:p w14:paraId="6BC07C30" w14:textId="4748FEC0" w:rsidR="00D72A94" w:rsidRDefault="00D72A94" w:rsidP="00D72A94">
      <w:pPr>
        <w:widowControl w:val="0"/>
        <w:spacing w:after="360" w:line="360" w:lineRule="auto"/>
        <w:rPr>
          <w:rFonts w:eastAsia="Times New Roman" w:cs="Arial"/>
          <w:sz w:val="22"/>
          <w:szCs w:val="22"/>
          <w:lang w:val="es-ES"/>
        </w:rPr>
      </w:pPr>
      <w:r>
        <w:rPr>
          <w:rFonts w:eastAsia="Times New Roman" w:cs="Arial"/>
          <w:sz w:val="22"/>
          <w:szCs w:val="22"/>
          <w:lang w:val="es-ES"/>
        </w:rPr>
        <w:t xml:space="preserve">De esta forma, </w:t>
      </w:r>
      <w:r>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Pr>
          <w:rFonts w:eastAsia="Times New Roman" w:cs="Arial"/>
          <w:sz w:val="22"/>
          <w:szCs w:val="22"/>
          <w:lang w:val="es-ES"/>
        </w:rPr>
        <w:t xml:space="preserve">, </w:t>
      </w:r>
      <w:r w:rsidRPr="00FD639F">
        <w:rPr>
          <w:rFonts w:eastAsia="Times New Roman" w:cs="Arial"/>
          <w:sz w:val="22"/>
          <w:szCs w:val="22"/>
          <w:highlight w:val="green"/>
          <w:lang w:val="es-ES"/>
        </w:rPr>
        <w:t xml:space="preserve">cuando se ha dictado sentencia con fecha </w:t>
      </w:r>
      <w:r w:rsidR="00FD639F" w:rsidRPr="00FD639F">
        <w:rPr>
          <w:rFonts w:eastAsia="Times New Roman" w:cs="Arial"/>
          <w:sz w:val="22"/>
          <w:szCs w:val="22"/>
          <w:highlight w:val="green"/>
          <w:lang w:val="es-ES"/>
        </w:rPr>
        <w:fldChar w:fldCharType="begin"/>
      </w:r>
      <w:r w:rsidR="00FD639F" w:rsidRPr="00FD639F">
        <w:rPr>
          <w:rFonts w:eastAsia="Times New Roman" w:cs="Arial"/>
          <w:sz w:val="22"/>
          <w:szCs w:val="22"/>
          <w:highlight w:val="green"/>
          <w:lang w:val="es-ES"/>
        </w:rPr>
        <w:instrText>persovalores_personalizable1348</w:instrText>
      </w:r>
      <w:r w:rsidR="00FD639F" w:rsidRPr="00FD639F">
        <w:rPr>
          <w:rFonts w:eastAsia="Times New Roman" w:cs="Arial"/>
          <w:sz w:val="22"/>
          <w:szCs w:val="22"/>
          <w:highlight w:val="green"/>
          <w:lang w:val="es-ES"/>
        </w:rPr>
        <w:fldChar w:fldCharType="separate"/>
      </w:r>
      <w:r w:rsidR="00FD639F" w:rsidRPr="00FD639F">
        <w:rPr>
          <w:rFonts w:eastAsia="Times New Roman" w:cs="Arial"/>
          <w:noProof/>
          <w:sz w:val="22"/>
          <w:szCs w:val="22"/>
          <w:highlight w:val="green"/>
          <w:lang w:val="es-ES"/>
        </w:rPr>
        <w:t>«RECURSOS_APELACION_Fecha_Sentencia»</w:t>
      </w:r>
      <w:r w:rsidR="00FD639F" w:rsidRPr="00FD639F">
        <w:rPr>
          <w:rFonts w:eastAsia="Times New Roman" w:cs="Arial"/>
          <w:sz w:val="22"/>
          <w:szCs w:val="22"/>
          <w:highlight w:val="green"/>
          <w:lang w:val="es-ES"/>
        </w:rPr>
        <w:fldChar w:fldCharType="end"/>
      </w:r>
      <w:r w:rsidR="00FD639F" w:rsidRPr="00FD639F">
        <w:rPr>
          <w:rFonts w:eastAsia="Times New Roman" w:cs="Arial"/>
          <w:sz w:val="22"/>
          <w:szCs w:val="22"/>
          <w:highlight w:val="green"/>
          <w:lang w:val="es-ES"/>
        </w:rPr>
        <w:t xml:space="preserve"> </w:t>
      </w:r>
      <w:r w:rsidRPr="00FD639F">
        <w:rPr>
          <w:rFonts w:eastAsia="Times New Roman" w:cs="Arial"/>
          <w:sz w:val="22"/>
          <w:szCs w:val="22"/>
          <w:highlight w:val="green"/>
          <w:lang w:val="es-ES"/>
        </w:rPr>
        <w:t xml:space="preserve">/ cuando la parte Recurrida ha interpuesto la demanda con fecha </w:t>
      </w:r>
      <w:r w:rsidR="00FD639F" w:rsidRPr="00FD639F">
        <w:rPr>
          <w:rFonts w:eastAsia="Times New Roman" w:cs="Arial"/>
          <w:sz w:val="22"/>
          <w:szCs w:val="22"/>
          <w:highlight w:val="green"/>
          <w:lang w:val="es-ES"/>
        </w:rPr>
        <w:fldChar w:fldCharType="begin"/>
      </w:r>
      <w:r w:rsidR="00FD639F" w:rsidRPr="00FD639F">
        <w:rPr>
          <w:rFonts w:eastAsia="Times New Roman" w:cs="Arial"/>
          <w:sz w:val="22"/>
          <w:szCs w:val="22"/>
          <w:highlight w:val="green"/>
          <w:lang w:val="es-ES"/>
        </w:rPr>
        <w:instrText>persovalores_personalizable1387</w:instrText>
      </w:r>
      <w:r w:rsidR="00FD639F" w:rsidRPr="00FD639F">
        <w:rPr>
          <w:rFonts w:eastAsia="Times New Roman" w:cs="Arial"/>
          <w:sz w:val="22"/>
          <w:szCs w:val="22"/>
          <w:highlight w:val="green"/>
          <w:lang w:val="es-ES"/>
        </w:rPr>
        <w:fldChar w:fldCharType="separate"/>
      </w:r>
      <w:r w:rsidR="00FD639F" w:rsidRPr="00FD639F">
        <w:rPr>
          <w:rFonts w:eastAsia="Times New Roman" w:cs="Arial"/>
          <w:noProof/>
          <w:sz w:val="22"/>
          <w:szCs w:val="22"/>
          <w:highlight w:val="green"/>
          <w:lang w:val="es-ES"/>
        </w:rPr>
        <w:t>«RECURSOS_APELACION_Fecha_demanda»</w:t>
      </w:r>
      <w:r w:rsidR="00FD639F" w:rsidRPr="00FD639F">
        <w:rPr>
          <w:rFonts w:eastAsia="Times New Roman" w:cs="Arial"/>
          <w:sz w:val="22"/>
          <w:szCs w:val="22"/>
          <w:highlight w:val="green"/>
          <w:lang w:val="es-ES"/>
        </w:rPr>
        <w:fldChar w:fldCharType="end"/>
      </w:r>
      <w:r w:rsidR="00FD639F">
        <w:rPr>
          <w:rFonts w:eastAsia="Times New Roman" w:cs="Arial"/>
          <w:sz w:val="22"/>
          <w:szCs w:val="22"/>
          <w:lang w:val="es-ES"/>
        </w:rPr>
        <w:t xml:space="preserve"> , </w:t>
      </w:r>
      <w:r>
        <w:rPr>
          <w:rFonts w:eastAsia="Times New Roman" w:cs="Arial"/>
          <w:sz w:val="22"/>
          <w:szCs w:val="22"/>
          <w:lang w:val="es-ES"/>
        </w:rPr>
        <w:t xml:space="preserve">es decir, </w:t>
      </w:r>
      <w:r>
        <w:rPr>
          <w:rFonts w:eastAsia="Times New Roman" w:cs="Arial"/>
          <w:sz w:val="22"/>
          <w:szCs w:val="22"/>
          <w:highlight w:val="yellow"/>
          <w:lang w:val="es-ES"/>
        </w:rPr>
        <w:t>X</w:t>
      </w:r>
      <w:r>
        <w:rPr>
          <w:rFonts w:eastAsia="Times New Roman" w:cs="Arial"/>
          <w:sz w:val="22"/>
          <w:szCs w:val="22"/>
          <w:lang w:val="es-ES"/>
        </w:rPr>
        <w:t xml:space="preserve"> meses después de la mencionada sentencia del Alto Tribunal, en la que, como decimos, se fijan los criterios para realizar el juicio de usura.</w:t>
      </w:r>
    </w:p>
    <w:p w14:paraId="52693758" w14:textId="77777777" w:rsidR="00D72A94" w:rsidRDefault="00D72A94" w:rsidP="00D72A94">
      <w:pPr>
        <w:spacing w:line="360" w:lineRule="auto"/>
        <w:rPr>
          <w:rFonts w:eastAsia="Times New Roman" w:cs="Arial"/>
          <w:sz w:val="22"/>
          <w:szCs w:val="22"/>
          <w:lang w:val="es-ES"/>
        </w:rPr>
      </w:pPr>
      <w:r>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Pr>
          <w:rFonts w:eastAsia="Times New Roman" w:cs="Arial"/>
          <w:b/>
          <w:bCs/>
          <w:sz w:val="22"/>
          <w:szCs w:val="22"/>
          <w:u w:val="single"/>
          <w:lang w:val="es-ES"/>
        </w:rPr>
        <w:t>no puede calificarse de usurario</w:t>
      </w:r>
      <w:r>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297D1931" w14:textId="77777777" w:rsidR="00D72A94" w:rsidRDefault="00D72A94" w:rsidP="00D72A94">
      <w:pPr>
        <w:spacing w:line="360" w:lineRule="auto"/>
        <w:rPr>
          <w:rFonts w:eastAsia="Times New Roman" w:cs="Arial"/>
          <w:sz w:val="22"/>
          <w:szCs w:val="22"/>
          <w:lang w:val="es-ES"/>
        </w:rPr>
      </w:pPr>
    </w:p>
    <w:p w14:paraId="3F3C27B2" w14:textId="77777777" w:rsidR="00D72A94" w:rsidRDefault="00D72A94" w:rsidP="00D72A94">
      <w:pPr>
        <w:spacing w:line="360" w:lineRule="auto"/>
        <w:rPr>
          <w:rFonts w:eastAsia="Times New Roman" w:cs="Arial"/>
          <w:sz w:val="22"/>
          <w:szCs w:val="22"/>
          <w:lang w:val="es-ES"/>
        </w:rPr>
      </w:pPr>
      <w:r>
        <w:rPr>
          <w:rFonts w:eastAsia="Times New Roman" w:cs="Arial"/>
          <w:sz w:val="22"/>
          <w:szCs w:val="22"/>
          <w:lang w:val="es-ES"/>
        </w:rPr>
        <w:lastRenderedPageBreak/>
        <w:t xml:space="preserve">A título de ejemplo, podemos citar la </w:t>
      </w:r>
      <w:r>
        <w:rPr>
          <w:rFonts w:eastAsia="Times New Roman" w:cs="Arial"/>
          <w:b/>
          <w:bCs/>
          <w:sz w:val="22"/>
          <w:szCs w:val="22"/>
          <w:lang w:val="es-ES"/>
        </w:rPr>
        <w:t>Sentencia de la Sección 28ª de la Audiencia Provincial de Madrid, núm. 472/2023, de 27 de junio (Rec. 1177/2021)</w:t>
      </w:r>
      <w:r>
        <w:rPr>
          <w:rFonts w:eastAsia="Times New Roman" w:cs="Arial"/>
          <w:sz w:val="22"/>
          <w:szCs w:val="22"/>
          <w:lang w:val="es-ES"/>
        </w:rPr>
        <w:t>, la cual establece lo siguiente:</w:t>
      </w:r>
    </w:p>
    <w:p w14:paraId="01CBA8AA" w14:textId="77777777" w:rsidR="00D72A94" w:rsidRDefault="00D72A94" w:rsidP="00D72A94">
      <w:pPr>
        <w:pStyle w:val="Prrafodelista"/>
        <w:spacing w:line="360" w:lineRule="auto"/>
        <w:ind w:left="567"/>
        <w:rPr>
          <w:rFonts w:eastAsia="Times New Roman" w:cs="Arial"/>
          <w:sz w:val="22"/>
          <w:szCs w:val="22"/>
          <w:lang w:val="es-ES"/>
        </w:rPr>
      </w:pPr>
    </w:p>
    <w:p w14:paraId="7D1242CB" w14:textId="77777777" w:rsidR="00D72A94" w:rsidRDefault="00D72A94" w:rsidP="00D72A94">
      <w:pPr>
        <w:pStyle w:val="Prrafodelista"/>
        <w:spacing w:line="360" w:lineRule="auto"/>
        <w:ind w:left="567"/>
        <w:rPr>
          <w:rFonts w:eastAsia="Times New Roman" w:cs="Arial"/>
          <w:sz w:val="20"/>
          <w:szCs w:val="20"/>
          <w:lang w:val="es-ES"/>
        </w:rPr>
      </w:pPr>
      <w:r>
        <w:rPr>
          <w:rFonts w:eastAsia="Times New Roman" w:cs="Arial"/>
          <w:sz w:val="20"/>
          <w:szCs w:val="20"/>
          <w:lang w:val="es-ES"/>
        </w:rPr>
        <w:t>“</w:t>
      </w:r>
      <w:r>
        <w:rPr>
          <w:rFonts w:eastAsia="Times New Roman" w:cs="Arial"/>
          <w:i/>
          <w:iCs/>
          <w:sz w:val="20"/>
          <w:szCs w:val="20"/>
          <w:lang w:val="es-ES"/>
        </w:rPr>
        <w:t xml:space="preserve">No procede atender a la petición de no imposición de las costas procesales de primera instancia </w:t>
      </w:r>
      <w:r>
        <w:rPr>
          <w:rFonts w:eastAsia="Times New Roman" w:cs="Arial"/>
          <w:b/>
          <w:bCs/>
          <w:i/>
          <w:iCs/>
          <w:sz w:val="20"/>
          <w:szCs w:val="20"/>
          <w:u w:val="single"/>
          <w:lang w:val="es-ES"/>
        </w:rPr>
        <w:t>al no poder apreciarse la concurrencia de dudas de hecho o de derecho pues, atendiendo a la fecha de presentación de la demanda</w:t>
      </w:r>
      <w:r>
        <w:rPr>
          <w:rFonts w:eastAsia="Times New Roman" w:cs="Arial"/>
          <w:i/>
          <w:iCs/>
          <w:sz w:val="20"/>
          <w:szCs w:val="20"/>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Pr>
          <w:rFonts w:eastAsia="Times New Roman" w:cs="Arial"/>
          <w:b/>
          <w:bCs/>
          <w:i/>
          <w:iCs/>
          <w:sz w:val="20"/>
          <w:szCs w:val="20"/>
          <w:u w:val="single"/>
          <w:lang w:val="es-ES"/>
        </w:rPr>
        <w:t>lo que desvanece la concurrencia de cualquier tipo de duda al ser suficientemente conocido por la representación del recurrente cuando, además, esa diferencia ha venido a ser ampliada por la más reciente jurisprudencia</w:t>
      </w:r>
      <w:r>
        <w:rPr>
          <w:rFonts w:eastAsia="Times New Roman" w:cs="Arial"/>
          <w:sz w:val="20"/>
          <w:szCs w:val="20"/>
          <w:lang w:val="es-ES"/>
        </w:rPr>
        <w:t>” [El subrayado y la negrita es nuestro].</w:t>
      </w:r>
    </w:p>
    <w:p w14:paraId="40995910" w14:textId="77777777" w:rsidR="00D72A94" w:rsidRDefault="00D72A94" w:rsidP="00D72A94">
      <w:pPr>
        <w:spacing w:line="360" w:lineRule="auto"/>
        <w:rPr>
          <w:rFonts w:eastAsia="Times New Roman" w:cs="Arial"/>
          <w:sz w:val="22"/>
          <w:szCs w:val="22"/>
          <w:lang w:val="es-ES"/>
        </w:rPr>
      </w:pPr>
    </w:p>
    <w:p w14:paraId="55FA9A32" w14:textId="77777777" w:rsidR="00D72A94" w:rsidRDefault="00D72A94" w:rsidP="00D72A94">
      <w:pPr>
        <w:spacing w:line="360" w:lineRule="auto"/>
        <w:rPr>
          <w:rFonts w:eastAsia="Times New Roman" w:cs="Arial"/>
          <w:sz w:val="22"/>
          <w:szCs w:val="22"/>
          <w:lang w:val="es-ES"/>
        </w:rPr>
      </w:pPr>
      <w:r>
        <w:rPr>
          <w:rFonts w:eastAsia="Times New Roman" w:cs="Arial"/>
          <w:sz w:val="22"/>
          <w:szCs w:val="22"/>
          <w:lang w:val="es-ES"/>
        </w:rPr>
        <w:t xml:space="preserve">Por otro lado, a </w:t>
      </w:r>
      <w:r>
        <w:rPr>
          <w:rFonts w:eastAsia="Times New Roman" w:cs="Arial"/>
          <w:i/>
          <w:iCs/>
          <w:sz w:val="22"/>
          <w:szCs w:val="22"/>
          <w:lang w:val="es-ES"/>
        </w:rPr>
        <w:t>sensu contrario</w:t>
      </w:r>
      <w:r>
        <w:rPr>
          <w:rFonts w:eastAsia="Times New Roman" w:cs="Arial"/>
          <w:sz w:val="22"/>
          <w:szCs w:val="22"/>
          <w:lang w:val="es-ES"/>
        </w:rPr>
        <w:t xml:space="preserve">, la </w:t>
      </w:r>
      <w:r>
        <w:rPr>
          <w:rFonts w:eastAsia="Times New Roman" w:cs="Arial"/>
          <w:b/>
          <w:bCs/>
          <w:sz w:val="22"/>
          <w:szCs w:val="22"/>
          <w:lang w:val="es-ES"/>
        </w:rPr>
        <w:t>Sección 3ª de la Audiencia Provincial de A Coruña, en su sentencia núm. 238/2023, de 14 de junio (Rec. 438/2022)</w:t>
      </w:r>
      <w:r>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09FA52C6" w14:textId="77777777" w:rsidR="00D72A94" w:rsidRDefault="00D72A94" w:rsidP="00D72A94">
      <w:pPr>
        <w:pStyle w:val="Prrafodelista"/>
        <w:spacing w:line="360" w:lineRule="auto"/>
        <w:ind w:left="567"/>
        <w:rPr>
          <w:rFonts w:eastAsia="Times New Roman" w:cs="Arial"/>
          <w:sz w:val="22"/>
          <w:szCs w:val="22"/>
          <w:lang w:val="es-ES"/>
        </w:rPr>
      </w:pPr>
    </w:p>
    <w:p w14:paraId="63462AE7" w14:textId="77777777" w:rsidR="00D72A94" w:rsidRDefault="00D72A94" w:rsidP="00D72A94">
      <w:pPr>
        <w:pStyle w:val="Prrafodelista"/>
        <w:spacing w:line="360" w:lineRule="auto"/>
        <w:ind w:left="567"/>
        <w:rPr>
          <w:rFonts w:eastAsia="Times New Roman" w:cs="Arial"/>
          <w:i/>
          <w:iCs/>
          <w:sz w:val="20"/>
          <w:szCs w:val="20"/>
          <w:lang w:val="es-ES"/>
        </w:rPr>
      </w:pPr>
      <w:r>
        <w:rPr>
          <w:rFonts w:eastAsia="Times New Roman" w:cs="Arial"/>
          <w:sz w:val="20"/>
          <w:szCs w:val="20"/>
          <w:lang w:val="es-ES"/>
        </w:rPr>
        <w:t>“</w:t>
      </w:r>
      <w:r>
        <w:rPr>
          <w:rFonts w:eastAsia="Times New Roman" w:cs="Arial"/>
          <w:b/>
          <w:bCs/>
          <w:i/>
          <w:iCs/>
          <w:sz w:val="20"/>
          <w:szCs w:val="20"/>
          <w:u w:val="single"/>
          <w:lang w:val="es-ES"/>
        </w:rPr>
        <w:t xml:space="preserve">El criterio del T.S. se fijó con </w:t>
      </w:r>
      <w:proofErr w:type="spellStart"/>
      <w:r>
        <w:rPr>
          <w:rFonts w:eastAsia="Times New Roman" w:cs="Arial"/>
          <w:b/>
          <w:bCs/>
          <w:i/>
          <w:iCs/>
          <w:sz w:val="20"/>
          <w:szCs w:val="20"/>
          <w:u w:val="single"/>
          <w:lang w:val="es-ES"/>
        </w:rPr>
        <w:t>ulterioridad</w:t>
      </w:r>
      <w:proofErr w:type="spellEnd"/>
      <w:r>
        <w:rPr>
          <w:rFonts w:eastAsia="Times New Roman" w:cs="Arial"/>
          <w:b/>
          <w:bCs/>
          <w:i/>
          <w:iCs/>
          <w:sz w:val="20"/>
          <w:szCs w:val="20"/>
          <w:u w:val="single"/>
          <w:lang w:val="es-ES"/>
        </w:rPr>
        <w:t xml:space="preserve"> al planteamiento de la litis</w:t>
      </w:r>
      <w:r>
        <w:rPr>
          <w:rFonts w:eastAsia="Times New Roman" w:cs="Arial"/>
          <w:i/>
          <w:iCs/>
          <w:sz w:val="20"/>
          <w:szCs w:val="20"/>
          <w:lang w:val="es-ES"/>
        </w:rPr>
        <w:t xml:space="preserve"> y dictado de la sentencia, siendo correcto el razonamiento de que existían "serias dudas de derecho".</w:t>
      </w:r>
    </w:p>
    <w:p w14:paraId="15E8C9DF" w14:textId="77777777" w:rsidR="00D72A94" w:rsidRDefault="00D72A94" w:rsidP="00D72A94">
      <w:pPr>
        <w:pStyle w:val="Prrafodelista"/>
        <w:spacing w:line="360" w:lineRule="auto"/>
        <w:ind w:left="567"/>
        <w:rPr>
          <w:rFonts w:eastAsia="Times New Roman" w:cs="Arial"/>
          <w:i/>
          <w:iCs/>
          <w:sz w:val="20"/>
          <w:szCs w:val="20"/>
          <w:lang w:val="es-ES"/>
        </w:rPr>
      </w:pPr>
    </w:p>
    <w:p w14:paraId="1E951D59" w14:textId="77777777" w:rsidR="00D72A94" w:rsidRDefault="00D72A94" w:rsidP="00D72A94">
      <w:pPr>
        <w:pStyle w:val="Prrafodelista"/>
        <w:spacing w:line="360" w:lineRule="auto"/>
        <w:ind w:left="567"/>
        <w:rPr>
          <w:rFonts w:eastAsia="Times New Roman" w:cs="Arial"/>
          <w:sz w:val="20"/>
          <w:szCs w:val="20"/>
          <w:lang w:val="es-ES"/>
        </w:rPr>
      </w:pPr>
      <w:r>
        <w:rPr>
          <w:rFonts w:eastAsia="Times New Roman" w:cs="Arial"/>
          <w:i/>
          <w:iCs/>
          <w:sz w:val="20"/>
          <w:szCs w:val="20"/>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Pr>
          <w:rFonts w:eastAsia="Times New Roman" w:cs="Arial"/>
          <w:sz w:val="20"/>
          <w:szCs w:val="20"/>
          <w:lang w:val="es-ES"/>
        </w:rPr>
        <w:t>” [El subrayado y la negrita es nuestro].</w:t>
      </w:r>
    </w:p>
    <w:p w14:paraId="59938EAF" w14:textId="77777777" w:rsidR="00D72A94" w:rsidRDefault="00D72A94" w:rsidP="00D72A94">
      <w:pPr>
        <w:spacing w:line="360" w:lineRule="auto"/>
        <w:rPr>
          <w:rFonts w:eastAsia="Times New Roman" w:cs="Arial"/>
          <w:sz w:val="22"/>
          <w:szCs w:val="22"/>
          <w:lang w:val="es-ES"/>
        </w:rPr>
      </w:pPr>
    </w:p>
    <w:p w14:paraId="0CD5C7FD" w14:textId="77777777" w:rsidR="00D72A94" w:rsidRDefault="00D72A94" w:rsidP="00D72A94">
      <w:pPr>
        <w:widowControl w:val="0"/>
        <w:spacing w:after="360" w:line="360" w:lineRule="auto"/>
        <w:rPr>
          <w:rFonts w:eastAsia="Times New Roman" w:cs="Arial"/>
          <w:sz w:val="22"/>
          <w:szCs w:val="22"/>
          <w:lang w:val="es-ES"/>
        </w:rPr>
      </w:pPr>
      <w:r>
        <w:rPr>
          <w:rFonts w:eastAsia="Times New Roman" w:cs="Arial"/>
          <w:sz w:val="22"/>
          <w:szCs w:val="22"/>
          <w:lang w:val="es-ES"/>
        </w:rPr>
        <w:t xml:space="preserve">En el mismo sentido se pronuncia la </w:t>
      </w:r>
      <w:r>
        <w:rPr>
          <w:rFonts w:eastAsia="Times New Roman" w:cs="Arial"/>
          <w:b/>
          <w:bCs/>
          <w:sz w:val="22"/>
          <w:szCs w:val="22"/>
          <w:lang w:val="es-ES_tradnl"/>
        </w:rPr>
        <w:t>Sección 1ª de la Audiencia Provincial de Murcia, en su Sentencia núm. 396/2023, de 26 de junio de 2023 (Rec. 257/2023):</w:t>
      </w:r>
    </w:p>
    <w:p w14:paraId="0065E46B" w14:textId="77777777" w:rsidR="00D72A94" w:rsidRDefault="00D72A94" w:rsidP="00D72A94">
      <w:pPr>
        <w:pStyle w:val="Prrafodelista"/>
        <w:spacing w:line="360" w:lineRule="auto"/>
        <w:ind w:left="567"/>
        <w:rPr>
          <w:rFonts w:eastAsia="Times New Roman" w:cs="Arial"/>
          <w:sz w:val="20"/>
          <w:szCs w:val="20"/>
          <w:lang w:val="es-ES"/>
        </w:rPr>
      </w:pPr>
      <w:r>
        <w:rPr>
          <w:rFonts w:eastAsia="Times New Roman" w:cs="Arial"/>
          <w:sz w:val="20"/>
          <w:szCs w:val="20"/>
          <w:lang w:val="es-ES"/>
        </w:rPr>
        <w:t>“</w:t>
      </w:r>
      <w:r>
        <w:rPr>
          <w:rFonts w:eastAsia="Times New Roman" w:cs="Arial"/>
          <w:i/>
          <w:iCs/>
          <w:sz w:val="20"/>
          <w:szCs w:val="20"/>
          <w:lang w:val="es-ES"/>
        </w:rPr>
        <w:t xml:space="preserve">No procede verificar expresa imposición en cuanto a las costas procesales de instancia, ni respecto de las de esta alzada, no sólo porque se estima en parte la demanda y también el recurso, </w:t>
      </w:r>
      <w:r>
        <w:rPr>
          <w:rFonts w:eastAsia="Times New Roman" w:cs="Arial"/>
          <w:b/>
          <w:bCs/>
          <w:i/>
          <w:iCs/>
          <w:sz w:val="20"/>
          <w:szCs w:val="20"/>
          <w:u w:val="single"/>
          <w:lang w:val="es-ES"/>
        </w:rPr>
        <w:t>sino también porque estamos aplicando un criterio jurisprudencial dictado con posterioridad a formularse el recurso de apelación y por supuesto la demanda</w:t>
      </w:r>
      <w:r>
        <w:rPr>
          <w:rFonts w:eastAsia="Times New Roman" w:cs="Arial"/>
          <w:i/>
          <w:iCs/>
          <w:sz w:val="20"/>
          <w:szCs w:val="20"/>
          <w:lang w:val="es-ES"/>
        </w:rPr>
        <w:t xml:space="preserve"> (artículo 394 y 398 de la LEC)</w:t>
      </w:r>
      <w:r>
        <w:rPr>
          <w:rFonts w:eastAsia="Times New Roman" w:cs="Arial"/>
          <w:sz w:val="20"/>
          <w:szCs w:val="20"/>
          <w:lang w:val="es-ES"/>
        </w:rPr>
        <w:t>” [El subrayado y la negrita es nuestro].</w:t>
      </w:r>
    </w:p>
    <w:p w14:paraId="5EB22D66" w14:textId="77777777" w:rsidR="00D72A94" w:rsidRDefault="00D72A94" w:rsidP="00D72A94">
      <w:pPr>
        <w:widowControl w:val="0"/>
        <w:spacing w:after="360" w:line="360" w:lineRule="auto"/>
        <w:rPr>
          <w:rFonts w:eastAsia="Times New Roman" w:cs="Arial"/>
          <w:sz w:val="22"/>
          <w:szCs w:val="22"/>
          <w:lang w:val="es-ES"/>
        </w:rPr>
      </w:pPr>
    </w:p>
    <w:p w14:paraId="7484912C" w14:textId="77777777" w:rsidR="00D72A94" w:rsidRDefault="00D72A94" w:rsidP="00D72A94">
      <w:pPr>
        <w:widowControl w:val="0"/>
        <w:spacing w:after="360" w:line="360" w:lineRule="auto"/>
        <w:rPr>
          <w:rFonts w:eastAsia="Times New Roman" w:cs="Arial"/>
          <w:sz w:val="22"/>
          <w:szCs w:val="22"/>
          <w:lang w:val="es-ES"/>
        </w:rPr>
      </w:pPr>
      <w:r>
        <w:rPr>
          <w:rFonts w:eastAsia="Times New Roman" w:cs="Arial"/>
          <w:sz w:val="22"/>
          <w:szCs w:val="22"/>
          <w:lang w:val="es-ES"/>
        </w:rPr>
        <w:lastRenderedPageBreak/>
        <w:t>Por todo ello, y resultando patente la mala fe y temeridad de la parte Recurrida al interponer la demanda a sabiendas de que el contrato litigioso no puede calificarse de usurario, solicitamos la expresa imposición de las costas de primera instancia a la contraparte.</w:t>
      </w:r>
    </w:p>
    <w:p w14:paraId="1CC22D23" w14:textId="77777777" w:rsidR="00D72A94" w:rsidRDefault="00D72A94" w:rsidP="00D72A94">
      <w:pPr>
        <w:widowControl w:val="0"/>
        <w:spacing w:after="360" w:line="360" w:lineRule="auto"/>
        <w:rPr>
          <w:rFonts w:cs="Arial"/>
          <w:b/>
          <w:bCs/>
          <w:sz w:val="22"/>
          <w:szCs w:val="22"/>
          <w:lang w:val="es-ES_tradnl"/>
        </w:rPr>
      </w:pPr>
      <w:r>
        <w:rPr>
          <w:rFonts w:cs="Arial"/>
          <w:b/>
          <w:bCs/>
          <w:sz w:val="22"/>
          <w:szCs w:val="22"/>
          <w:highlight w:val="yellow"/>
          <w:lang w:val="es-ES_tradnl"/>
        </w:rPr>
        <w:t>[si se estima acción usura caso rojo]</w:t>
      </w:r>
    </w:p>
    <w:p w14:paraId="604A5DC5" w14:textId="262106CD" w:rsidR="00D72A94" w:rsidRDefault="00D72A94" w:rsidP="00D72A94">
      <w:pPr>
        <w:spacing w:line="360" w:lineRule="auto"/>
        <w:rPr>
          <w:rFonts w:eastAsia="Times New Roman" w:cs="Arial"/>
          <w:sz w:val="22"/>
          <w:szCs w:val="22"/>
          <w:lang w:val="es-ES"/>
        </w:rPr>
      </w:pPr>
      <w:r>
        <w:rPr>
          <w:rFonts w:cs="Arial"/>
          <w:sz w:val="22"/>
          <w:szCs w:val="22"/>
          <w:lang w:val="es-ES_tradnl"/>
        </w:rPr>
        <w:t xml:space="preserve">En el Fundamento de Derecho </w:t>
      </w:r>
      <w:r w:rsidR="00926C6A">
        <w:rPr>
          <w:rFonts w:cs="Arial"/>
          <w:sz w:val="22"/>
          <w:szCs w:val="22"/>
          <w:highlight w:val="yellow"/>
          <w:lang w:val="es-ES_tradnl"/>
        </w:rPr>
        <w:fldChar w:fldCharType="begin"/>
      </w:r>
      <w:r w:rsidR="00926C6A">
        <w:rPr>
          <w:rFonts w:cs="Arial"/>
          <w:sz w:val="22"/>
          <w:szCs w:val="22"/>
          <w:highlight w:val="yellow"/>
          <w:lang w:val="es-ES_tradnl"/>
        </w:rPr>
        <w:instrText>persovalores_personalizable1388</w:instrText>
      </w:r>
      <w:r w:rsidR="00926C6A">
        <w:rPr>
          <w:rFonts w:cs="Arial"/>
          <w:sz w:val="22"/>
          <w:szCs w:val="22"/>
          <w:highlight w:val="yellow"/>
          <w:lang w:val="es-ES_tradnl"/>
        </w:rPr>
        <w:fldChar w:fldCharType="separate"/>
      </w:r>
      <w:r w:rsidR="00926C6A">
        <w:rPr>
          <w:rFonts w:cs="Arial"/>
          <w:noProof/>
          <w:sz w:val="22"/>
          <w:szCs w:val="22"/>
          <w:highlight w:val="yellow"/>
          <w:lang w:val="es-ES_tradnl"/>
        </w:rPr>
        <w:t>«RECURSOS_APELACION_Fundamento_sentencia_»</w:t>
      </w:r>
      <w:r w:rsidR="00926C6A">
        <w:rPr>
          <w:rFonts w:cs="Arial"/>
          <w:sz w:val="22"/>
          <w:szCs w:val="22"/>
          <w:highlight w:val="yellow"/>
          <w:lang w:val="es-ES_tradnl"/>
        </w:rPr>
        <w:fldChar w:fldCharType="end"/>
      </w:r>
      <w:r w:rsidR="00926C6A">
        <w:rPr>
          <w:rFonts w:cs="Arial"/>
          <w:sz w:val="22"/>
          <w:szCs w:val="22"/>
          <w:lang w:val="es-ES_tradnl"/>
        </w:rPr>
        <w:t xml:space="preserve"> </w:t>
      </w:r>
      <w:r>
        <w:rPr>
          <w:rFonts w:cs="Arial"/>
          <w:sz w:val="22"/>
          <w:szCs w:val="22"/>
          <w:lang w:val="es-ES_tradnl"/>
        </w:rPr>
        <w:t>de la Sentencia recurrida se acuerda imponer las costas de la primera instancia a mi representada.</w:t>
      </w:r>
    </w:p>
    <w:p w14:paraId="1FFC4867" w14:textId="77777777" w:rsidR="00D72A94" w:rsidRDefault="00D72A94" w:rsidP="00D72A94">
      <w:pPr>
        <w:spacing w:line="360" w:lineRule="auto"/>
        <w:rPr>
          <w:rFonts w:eastAsia="Times New Roman" w:cs="Arial"/>
          <w:sz w:val="22"/>
          <w:szCs w:val="22"/>
          <w:lang w:val="es-ES"/>
        </w:rPr>
      </w:pPr>
    </w:p>
    <w:p w14:paraId="2C72583C" w14:textId="77777777" w:rsidR="00D72A94" w:rsidRDefault="00D72A94" w:rsidP="00D72A94">
      <w:pPr>
        <w:spacing w:line="360" w:lineRule="auto"/>
        <w:rPr>
          <w:rFonts w:eastAsia="Times New Roman" w:cs="Arial"/>
          <w:sz w:val="22"/>
          <w:szCs w:val="22"/>
          <w:lang w:val="es-ES"/>
        </w:rPr>
      </w:pPr>
      <w:r>
        <w:rPr>
          <w:rFonts w:cs="Arial"/>
          <w:sz w:val="22"/>
          <w:szCs w:val="22"/>
          <w:lang w:val="es-ES_tradnl"/>
        </w:rPr>
        <w:t xml:space="preserve">Pues bien, </w:t>
      </w:r>
      <w:r>
        <w:rPr>
          <w:rFonts w:eastAsia="Times New Roman" w:cs="Arial"/>
          <w:sz w:val="22"/>
          <w:szCs w:val="22"/>
          <w:lang w:val="es-ES"/>
        </w:rPr>
        <w:t>en aplicación del criterio del vencimiento objetivo del art. 394.1 LEC, y dado que procede la íntegra estimación del presente recurso de apelación, las costas de la primera instancia habrán de ser impuestas a la parte actora, ahora Recurrida.</w:t>
      </w:r>
    </w:p>
    <w:p w14:paraId="39AFADD8" w14:textId="77777777" w:rsidR="00D72A94" w:rsidRDefault="00D72A94" w:rsidP="00D72A94">
      <w:pPr>
        <w:spacing w:line="360" w:lineRule="auto"/>
        <w:rPr>
          <w:rFonts w:eastAsia="Times New Roman" w:cs="Arial"/>
          <w:sz w:val="22"/>
          <w:szCs w:val="22"/>
          <w:lang w:val="es-ES"/>
        </w:rPr>
      </w:pPr>
    </w:p>
    <w:p w14:paraId="23AD0C37" w14:textId="77777777" w:rsidR="00D72A94" w:rsidRDefault="00D72A94" w:rsidP="00D72A94">
      <w:pPr>
        <w:spacing w:line="360" w:lineRule="auto"/>
        <w:rPr>
          <w:rFonts w:eastAsia="Times New Roman" w:cs="Arial"/>
          <w:sz w:val="22"/>
          <w:szCs w:val="22"/>
          <w:lang w:val="es-ES"/>
        </w:rPr>
      </w:pPr>
      <w:proofErr w:type="gramStart"/>
      <w:r>
        <w:rPr>
          <w:rFonts w:eastAsia="Times New Roman" w:cs="Arial"/>
          <w:sz w:val="22"/>
          <w:szCs w:val="22"/>
          <w:lang w:val="es-ES"/>
        </w:rPr>
        <w:t>Subsidiariamente y únicamente</w:t>
      </w:r>
      <w:proofErr w:type="gramEnd"/>
      <w:r>
        <w:rPr>
          <w:rFonts w:eastAsia="Times New Roman" w:cs="Arial"/>
          <w:sz w:val="22"/>
          <w:szCs w:val="22"/>
          <w:lang w:val="es-ES"/>
        </w:rPr>
        <w:t xml:space="preserve"> para el hipotético supuesto de que se considere por esta Ilma. Sala que el contrato es usurario, </w:t>
      </w:r>
      <w:r>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r>
        <w:rPr>
          <w:rFonts w:eastAsia="Times New Roman" w:cs="Arial"/>
          <w:sz w:val="22"/>
          <w:szCs w:val="22"/>
          <w:lang w:val="es-ES"/>
        </w:rPr>
        <w:t xml:space="preserve">. </w:t>
      </w:r>
    </w:p>
    <w:p w14:paraId="40BA5E2A" w14:textId="77777777" w:rsidR="00D72A94" w:rsidRDefault="00D72A94" w:rsidP="00D72A94">
      <w:pPr>
        <w:spacing w:line="360" w:lineRule="auto"/>
        <w:rPr>
          <w:rFonts w:eastAsia="Times New Roman" w:cs="Arial"/>
          <w:sz w:val="22"/>
          <w:szCs w:val="22"/>
          <w:lang w:val="es-ES"/>
        </w:rPr>
      </w:pPr>
    </w:p>
    <w:p w14:paraId="48BB5656" w14:textId="77777777" w:rsidR="00D72A94" w:rsidRDefault="00D72A94" w:rsidP="00D72A94">
      <w:pPr>
        <w:spacing w:line="360" w:lineRule="auto"/>
        <w:rPr>
          <w:rFonts w:eastAsia="Times New Roman" w:cs="Arial"/>
          <w:sz w:val="22"/>
          <w:szCs w:val="22"/>
          <w:lang w:val="es-ES"/>
        </w:rPr>
      </w:pPr>
      <w:r>
        <w:rPr>
          <w:rFonts w:eastAsia="Times New Roman" w:cs="Arial"/>
          <w:sz w:val="22"/>
          <w:szCs w:val="22"/>
          <w:lang w:val="es-ES"/>
        </w:rPr>
        <w:t xml:space="preserve">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 </w:t>
      </w:r>
    </w:p>
    <w:p w14:paraId="55EBFC5B" w14:textId="77777777" w:rsidR="00D72A94" w:rsidRDefault="00D72A94" w:rsidP="00D72A94">
      <w:pPr>
        <w:spacing w:line="360" w:lineRule="auto"/>
        <w:rPr>
          <w:rFonts w:eastAsia="Times New Roman" w:cs="Arial"/>
          <w:sz w:val="22"/>
          <w:szCs w:val="22"/>
          <w:lang w:val="es-ES"/>
        </w:rPr>
      </w:pPr>
    </w:p>
    <w:p w14:paraId="593D041A" w14:textId="77777777" w:rsidR="00D72A94" w:rsidRDefault="00D72A94" w:rsidP="00D72A94">
      <w:pPr>
        <w:spacing w:line="360" w:lineRule="auto"/>
        <w:rPr>
          <w:rFonts w:eastAsia="Times New Roman" w:cs="Arial"/>
          <w:sz w:val="22"/>
          <w:szCs w:val="22"/>
          <w:lang w:val="es-ES_tradnl"/>
        </w:rPr>
      </w:pPr>
      <w:r>
        <w:rPr>
          <w:rFonts w:eastAsia="Times New Roman" w:cs="Arial"/>
          <w:sz w:val="22"/>
          <w:szCs w:val="22"/>
          <w:lang w:val="es-ES_tradnl"/>
        </w:rPr>
        <w:t>A título de ejemplo, y con ánimo de no ser exhaustivos, podemos citar las siguientes resoluciones que resultan muy ilustrativas a estos efectos:</w:t>
      </w:r>
    </w:p>
    <w:p w14:paraId="14D33982" w14:textId="77777777" w:rsidR="00D72A94" w:rsidRDefault="00D72A94" w:rsidP="00D72A94">
      <w:pPr>
        <w:spacing w:line="360" w:lineRule="auto"/>
        <w:rPr>
          <w:rFonts w:eastAsia="Times New Roman" w:cs="Arial"/>
          <w:sz w:val="22"/>
          <w:szCs w:val="22"/>
          <w:lang w:val="es-ES_tradnl"/>
        </w:rPr>
      </w:pPr>
    </w:p>
    <w:p w14:paraId="0651DE76" w14:textId="77777777" w:rsidR="00D72A94" w:rsidRDefault="00D72A94" w:rsidP="00D72A94">
      <w:pPr>
        <w:pStyle w:val="Prrafodelista"/>
        <w:numPr>
          <w:ilvl w:val="0"/>
          <w:numId w:val="16"/>
        </w:numPr>
        <w:spacing w:line="360" w:lineRule="auto"/>
        <w:ind w:left="567" w:hanging="567"/>
        <w:rPr>
          <w:rFonts w:eastAsia="Times New Roman" w:cs="Arial"/>
          <w:b/>
          <w:bCs/>
          <w:sz w:val="22"/>
          <w:szCs w:val="22"/>
          <w:lang w:val="es-ES_tradnl"/>
        </w:rPr>
      </w:pPr>
      <w:r>
        <w:rPr>
          <w:rFonts w:eastAsia="Times New Roman" w:cs="Arial"/>
          <w:b/>
          <w:bCs/>
          <w:sz w:val="22"/>
          <w:szCs w:val="22"/>
          <w:lang w:val="es-ES_tradnl"/>
        </w:rPr>
        <w:t>Sentencia de la Sección 9ª de la Audiencia Provincial de Madrid, núm. 380/2023, de 19 de junio (Rec. 1183/2022):</w:t>
      </w:r>
    </w:p>
    <w:p w14:paraId="0DD00B1E" w14:textId="77777777" w:rsidR="00D72A94" w:rsidRDefault="00D72A94" w:rsidP="00D72A94">
      <w:pPr>
        <w:pStyle w:val="Prrafodelista"/>
        <w:spacing w:line="360" w:lineRule="auto"/>
        <w:ind w:left="567"/>
        <w:rPr>
          <w:rFonts w:eastAsia="Times New Roman" w:cs="Arial"/>
          <w:sz w:val="22"/>
          <w:szCs w:val="22"/>
          <w:lang w:val="es-ES_tradnl"/>
        </w:rPr>
      </w:pPr>
    </w:p>
    <w:p w14:paraId="26295FED" w14:textId="02E14ED4" w:rsidR="00D72A94" w:rsidRPr="00926C6A" w:rsidRDefault="00D72A94" w:rsidP="00926C6A">
      <w:pPr>
        <w:pStyle w:val="Prrafodelista"/>
        <w:spacing w:line="360" w:lineRule="auto"/>
        <w:ind w:left="851"/>
        <w:rPr>
          <w:rFonts w:eastAsia="Times New Roman" w:cs="Arial"/>
          <w:i/>
          <w:iCs/>
          <w:sz w:val="20"/>
          <w:szCs w:val="20"/>
          <w:lang w:val="es-ES"/>
        </w:rPr>
      </w:pPr>
      <w:r>
        <w:rPr>
          <w:rFonts w:eastAsia="Times New Roman" w:cs="Arial"/>
          <w:sz w:val="20"/>
          <w:szCs w:val="20"/>
          <w:lang w:val="es-ES"/>
        </w:rPr>
        <w:t>“</w:t>
      </w:r>
      <w:r>
        <w:rPr>
          <w:rFonts w:eastAsia="Times New Roman" w:cs="Arial"/>
          <w:i/>
          <w:iCs/>
          <w:sz w:val="20"/>
          <w:szCs w:val="20"/>
          <w:lang w:val="es-ES"/>
        </w:rPr>
        <w:t xml:space="preserve">En materia de costas, respecto de las correspondientes a la primera instancia, no obstante estimarse la demanda en cuanto a la declaración de la nulidad del contrato debido al carácter usurario del tipo de interés aplicado, </w:t>
      </w:r>
      <w:r>
        <w:rPr>
          <w:rFonts w:eastAsia="Times New Roman" w:cs="Arial"/>
          <w:b/>
          <w:bCs/>
          <w:i/>
          <w:iCs/>
          <w:sz w:val="20"/>
          <w:szCs w:val="20"/>
          <w:u w:val="single"/>
          <w:lang w:val="es-ES"/>
        </w:rPr>
        <w:t>la Sala estima oportuno no hacer expresa imposición de las costas al apreciar la existencia de dudas de derecho que justifican su no imposición</w:t>
      </w:r>
      <w:r>
        <w:rPr>
          <w:rFonts w:eastAsia="Times New Roman" w:cs="Arial"/>
          <w:i/>
          <w:iCs/>
          <w:sz w:val="20"/>
          <w:szCs w:val="20"/>
          <w:lang w:val="es-ES"/>
        </w:rPr>
        <w:t>.</w:t>
      </w:r>
    </w:p>
    <w:p w14:paraId="1C51BCD3" w14:textId="77777777" w:rsidR="00D72A94" w:rsidRDefault="00D72A94" w:rsidP="00D72A94">
      <w:pPr>
        <w:pStyle w:val="Prrafodelista"/>
        <w:spacing w:line="360" w:lineRule="auto"/>
        <w:ind w:left="851"/>
        <w:rPr>
          <w:rFonts w:eastAsia="Times New Roman" w:cs="Arial"/>
          <w:i/>
          <w:iCs/>
          <w:sz w:val="20"/>
          <w:szCs w:val="20"/>
          <w:lang w:val="es-ES"/>
        </w:rPr>
      </w:pPr>
      <w:r>
        <w:rPr>
          <w:rFonts w:eastAsia="Times New Roman" w:cs="Arial"/>
          <w:i/>
          <w:iCs/>
          <w:sz w:val="20"/>
          <w:szCs w:val="20"/>
          <w:lang w:val="es-ES"/>
        </w:rPr>
        <w:t>(…)</w:t>
      </w:r>
    </w:p>
    <w:p w14:paraId="06C5B2B3" w14:textId="77777777" w:rsidR="00D72A94" w:rsidRDefault="00D72A94" w:rsidP="00D72A94">
      <w:pPr>
        <w:pStyle w:val="Prrafodelista"/>
        <w:spacing w:line="360" w:lineRule="auto"/>
        <w:ind w:left="851"/>
        <w:rPr>
          <w:rFonts w:eastAsia="Times New Roman" w:cs="Arial"/>
          <w:i/>
          <w:iCs/>
          <w:sz w:val="20"/>
          <w:szCs w:val="20"/>
          <w:lang w:val="es-ES"/>
        </w:rPr>
      </w:pPr>
    </w:p>
    <w:p w14:paraId="69653628" w14:textId="77777777" w:rsidR="00D72A94" w:rsidRDefault="00D72A94" w:rsidP="00D72A94">
      <w:pPr>
        <w:pStyle w:val="Prrafodelista"/>
        <w:spacing w:line="360" w:lineRule="auto"/>
        <w:ind w:left="851"/>
        <w:rPr>
          <w:rFonts w:eastAsia="Times New Roman" w:cs="Arial"/>
          <w:sz w:val="20"/>
          <w:szCs w:val="20"/>
          <w:lang w:val="es-ES"/>
        </w:rPr>
      </w:pPr>
      <w:r>
        <w:rPr>
          <w:rFonts w:eastAsia="Times New Roman" w:cs="Arial"/>
          <w:i/>
          <w:iCs/>
          <w:sz w:val="20"/>
          <w:szCs w:val="20"/>
          <w:lang w:val="es-ES"/>
        </w:rPr>
        <w:lastRenderedPageBreak/>
        <w:t xml:space="preserve">En el caso que nos ocupa, </w:t>
      </w:r>
      <w:r>
        <w:rPr>
          <w:rFonts w:eastAsia="Times New Roman" w:cs="Arial"/>
          <w:b/>
          <w:bCs/>
          <w:i/>
          <w:iCs/>
          <w:sz w:val="20"/>
          <w:szCs w:val="20"/>
          <w:u w:val="single"/>
          <w:lang w:val="es-ES"/>
        </w:rPr>
        <w:t xml:space="preserve">el tratamiento de la usura en las tarjetas de crédito bajo la modalidad </w:t>
      </w:r>
      <w:proofErr w:type="spellStart"/>
      <w:r>
        <w:rPr>
          <w:rFonts w:eastAsia="Times New Roman" w:cs="Arial"/>
          <w:b/>
          <w:bCs/>
          <w:i/>
          <w:iCs/>
          <w:sz w:val="20"/>
          <w:szCs w:val="20"/>
          <w:u w:val="single"/>
          <w:lang w:val="es-ES"/>
        </w:rPr>
        <w:t>revolving</w:t>
      </w:r>
      <w:proofErr w:type="spellEnd"/>
      <w:r>
        <w:rPr>
          <w:rFonts w:eastAsia="Times New Roman" w:cs="Arial"/>
          <w:b/>
          <w:bCs/>
          <w:i/>
          <w:iCs/>
          <w:sz w:val="20"/>
          <w:szCs w:val="20"/>
          <w:u w:val="single"/>
          <w:lang w:val="es-ES"/>
        </w:rPr>
        <w:t xml:space="preserve"> ha experimentado una continuada evolución jurisprudencial</w:t>
      </w:r>
      <w:r>
        <w:rPr>
          <w:rFonts w:eastAsia="Times New Roman" w:cs="Arial"/>
          <w:i/>
          <w:iCs/>
          <w:sz w:val="20"/>
          <w:szCs w:val="20"/>
          <w:lang w:val="es-ES"/>
        </w:rPr>
        <w:t xml:space="preserve">, desde la sentencia del Tribunal Supremo de 25 de noviembre de 2015 hasta llegar a la más reciente de fecha 28 de febrero de 2023, </w:t>
      </w:r>
      <w:proofErr w:type="spellStart"/>
      <w:r>
        <w:rPr>
          <w:rFonts w:eastAsia="Times New Roman" w:cs="Arial"/>
          <w:i/>
          <w:iCs/>
          <w:sz w:val="20"/>
          <w:szCs w:val="20"/>
          <w:lang w:val="es-ES"/>
        </w:rPr>
        <w:t>nº</w:t>
      </w:r>
      <w:proofErr w:type="spellEnd"/>
      <w:r>
        <w:rPr>
          <w:rFonts w:eastAsia="Times New Roman" w:cs="Arial"/>
          <w:i/>
          <w:iCs/>
          <w:sz w:val="20"/>
          <w:szCs w:val="20"/>
          <w:lang w:val="es-ES"/>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Pr>
          <w:rFonts w:eastAsia="Times New Roman" w:cs="Arial"/>
          <w:sz w:val="20"/>
          <w:szCs w:val="20"/>
          <w:lang w:val="es-ES"/>
        </w:rPr>
        <w:t>” [El subrayado y la negrita es nuestro].</w:t>
      </w:r>
    </w:p>
    <w:p w14:paraId="6ADB9CC5" w14:textId="77777777" w:rsidR="00D72A94" w:rsidRDefault="00D72A94" w:rsidP="00D72A94">
      <w:pPr>
        <w:pStyle w:val="Prrafodelista"/>
        <w:spacing w:line="360" w:lineRule="auto"/>
        <w:ind w:left="851"/>
        <w:rPr>
          <w:rFonts w:eastAsia="Times New Roman" w:cs="Arial"/>
          <w:i/>
          <w:iCs/>
          <w:sz w:val="20"/>
          <w:szCs w:val="20"/>
          <w:lang w:val="es-ES"/>
        </w:rPr>
      </w:pPr>
    </w:p>
    <w:p w14:paraId="061A19DF" w14:textId="77777777" w:rsidR="00D72A94" w:rsidRDefault="00D72A94" w:rsidP="00D72A94">
      <w:pPr>
        <w:pStyle w:val="Prrafodelista"/>
        <w:numPr>
          <w:ilvl w:val="0"/>
          <w:numId w:val="16"/>
        </w:numPr>
        <w:spacing w:line="360" w:lineRule="auto"/>
        <w:ind w:left="567" w:hanging="567"/>
        <w:rPr>
          <w:rFonts w:eastAsia="Times New Roman" w:cs="Arial"/>
          <w:b/>
          <w:bCs/>
          <w:sz w:val="22"/>
          <w:szCs w:val="22"/>
          <w:lang w:val="es-ES_tradnl"/>
        </w:rPr>
      </w:pPr>
      <w:r>
        <w:rPr>
          <w:rFonts w:eastAsia="Times New Roman" w:cs="Arial"/>
          <w:b/>
          <w:bCs/>
          <w:sz w:val="22"/>
          <w:szCs w:val="22"/>
          <w:lang w:val="es-ES_tradnl"/>
        </w:rPr>
        <w:t>Sentencia de la Sección 14ª de la Audiencia Provincial de Madrid, de 15 de junio, (Rec. 857/2022):</w:t>
      </w:r>
    </w:p>
    <w:p w14:paraId="325F2D7F" w14:textId="77777777" w:rsidR="00D72A94" w:rsidRDefault="00D72A94" w:rsidP="00D72A94">
      <w:pPr>
        <w:pStyle w:val="Prrafodelista"/>
        <w:spacing w:line="360" w:lineRule="auto"/>
        <w:ind w:left="567"/>
        <w:rPr>
          <w:rFonts w:eastAsia="Times New Roman" w:cs="Arial"/>
          <w:sz w:val="22"/>
          <w:szCs w:val="22"/>
          <w:lang w:val="es-ES_tradnl"/>
        </w:rPr>
      </w:pPr>
    </w:p>
    <w:p w14:paraId="08611E6F" w14:textId="77777777" w:rsidR="00D72A94" w:rsidRDefault="00D72A94" w:rsidP="00D72A94">
      <w:pPr>
        <w:pStyle w:val="Prrafodelista"/>
        <w:spacing w:line="360" w:lineRule="auto"/>
        <w:ind w:left="851"/>
        <w:rPr>
          <w:rFonts w:eastAsia="Times New Roman" w:cs="Arial"/>
          <w:sz w:val="20"/>
          <w:szCs w:val="20"/>
          <w:lang w:val="es-ES_tradnl"/>
        </w:rPr>
      </w:pPr>
      <w:r>
        <w:rPr>
          <w:rFonts w:eastAsia="Times New Roman" w:cs="Arial"/>
          <w:sz w:val="20"/>
          <w:szCs w:val="20"/>
          <w:lang w:val="es-ES"/>
        </w:rPr>
        <w:t>“</w:t>
      </w:r>
      <w:r>
        <w:rPr>
          <w:rFonts w:eastAsia="Times New Roman" w:cs="Arial"/>
          <w:i/>
          <w:iCs/>
          <w:sz w:val="20"/>
          <w:szCs w:val="20"/>
          <w:lang w:val="es-ES"/>
        </w:rPr>
        <w:t xml:space="preserve">Por lo que se refiere a las costas procesales, respecto de las causadas en primera instancia, no obstante desestimarse la demanda inicial, </w:t>
      </w:r>
      <w:r>
        <w:rPr>
          <w:rFonts w:eastAsia="Times New Roman" w:cs="Arial"/>
          <w:b/>
          <w:bCs/>
          <w:i/>
          <w:iCs/>
          <w:sz w:val="20"/>
          <w:szCs w:val="20"/>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Pr>
          <w:rFonts w:eastAsia="Times New Roman" w:cs="Arial"/>
          <w:i/>
          <w:iCs/>
          <w:sz w:val="20"/>
          <w:szCs w:val="20"/>
          <w:lang w:val="es-ES"/>
        </w:rPr>
        <w:t>, dudas de derecho que concurrían en el momento del dictado de la sentencia de primera instancia y de interponerse el recurso de apelación</w:t>
      </w:r>
      <w:r>
        <w:rPr>
          <w:rFonts w:eastAsia="Times New Roman" w:cs="Arial"/>
          <w:sz w:val="20"/>
          <w:szCs w:val="20"/>
          <w:lang w:val="es-ES"/>
        </w:rPr>
        <w:t>” [El subrayado y la negrita es nuestro].</w:t>
      </w:r>
    </w:p>
    <w:p w14:paraId="10D92BC5" w14:textId="77777777" w:rsidR="00D72A94" w:rsidRDefault="00D72A94" w:rsidP="00D72A94">
      <w:pPr>
        <w:pStyle w:val="Prrafodelista"/>
        <w:spacing w:line="360" w:lineRule="auto"/>
        <w:ind w:left="567"/>
        <w:rPr>
          <w:rFonts w:eastAsia="Times New Roman" w:cs="Arial"/>
          <w:sz w:val="22"/>
          <w:szCs w:val="22"/>
          <w:lang w:val="es-ES_tradnl"/>
        </w:rPr>
      </w:pPr>
    </w:p>
    <w:p w14:paraId="7670D4D1" w14:textId="77777777" w:rsidR="00D72A94" w:rsidRDefault="00D72A94" w:rsidP="00D72A94">
      <w:pPr>
        <w:pStyle w:val="Prrafodelista"/>
        <w:numPr>
          <w:ilvl w:val="0"/>
          <w:numId w:val="16"/>
        </w:numPr>
        <w:spacing w:line="360" w:lineRule="auto"/>
        <w:ind w:left="567" w:hanging="567"/>
        <w:rPr>
          <w:rFonts w:eastAsia="Times New Roman" w:cs="Arial"/>
          <w:b/>
          <w:bCs/>
          <w:sz w:val="22"/>
          <w:szCs w:val="22"/>
          <w:lang w:val="es-ES_tradnl"/>
        </w:rPr>
      </w:pPr>
      <w:r>
        <w:rPr>
          <w:rFonts w:eastAsia="Times New Roman" w:cs="Arial"/>
          <w:b/>
          <w:bCs/>
          <w:sz w:val="22"/>
          <w:szCs w:val="22"/>
          <w:lang w:val="es-ES_tradnl"/>
        </w:rPr>
        <w:t>Sentencia de la Sección 19ª de la Audiencia Provincial de Madrid, núm. 315/2023, de 14 de junio (Rec. 800/2022):</w:t>
      </w:r>
    </w:p>
    <w:p w14:paraId="61A1553A" w14:textId="77777777" w:rsidR="00D72A94" w:rsidRDefault="00D72A94" w:rsidP="00D72A94">
      <w:pPr>
        <w:pStyle w:val="Prrafodelista"/>
        <w:spacing w:line="360" w:lineRule="auto"/>
        <w:ind w:left="567"/>
        <w:rPr>
          <w:rFonts w:eastAsia="Times New Roman" w:cs="Arial"/>
          <w:sz w:val="22"/>
          <w:szCs w:val="22"/>
          <w:lang w:val="es-ES_tradnl"/>
        </w:rPr>
      </w:pPr>
    </w:p>
    <w:p w14:paraId="054F834A" w14:textId="77777777" w:rsidR="00D72A94" w:rsidRDefault="00D72A94" w:rsidP="00D72A94">
      <w:pPr>
        <w:pStyle w:val="Prrafodelista"/>
        <w:spacing w:line="360" w:lineRule="auto"/>
        <w:ind w:left="851"/>
        <w:rPr>
          <w:rFonts w:eastAsia="Times New Roman" w:cs="Arial"/>
          <w:sz w:val="20"/>
          <w:szCs w:val="20"/>
          <w:lang w:val="es-ES_tradnl"/>
        </w:rPr>
      </w:pPr>
      <w:r>
        <w:rPr>
          <w:rFonts w:eastAsia="Times New Roman" w:cs="Arial"/>
          <w:sz w:val="20"/>
          <w:szCs w:val="20"/>
          <w:lang w:val="es-ES"/>
        </w:rPr>
        <w:t>“</w:t>
      </w:r>
      <w:r>
        <w:rPr>
          <w:rFonts w:eastAsia="Times New Roman" w:cs="Arial"/>
          <w:i/>
          <w:iCs/>
          <w:sz w:val="20"/>
          <w:szCs w:val="20"/>
          <w:lang w:val="es-ES"/>
        </w:rPr>
        <w:t xml:space="preserve">En lo que se refiere a las costas procesales, no procede efectuar expreso pronunciamiento en ambas instancias, </w:t>
      </w:r>
      <w:r>
        <w:rPr>
          <w:rFonts w:eastAsia="Times New Roman" w:cs="Arial"/>
          <w:b/>
          <w:bCs/>
          <w:i/>
          <w:iCs/>
          <w:sz w:val="20"/>
          <w:szCs w:val="20"/>
          <w:u w:val="single"/>
          <w:lang w:val="es-ES"/>
        </w:rPr>
        <w:t>puesto que se trata de una cuestión sobre la que existen diversos criterios entre los tribunales</w:t>
      </w:r>
      <w:r>
        <w:rPr>
          <w:rFonts w:eastAsia="Times New Roman" w:cs="Arial"/>
          <w:i/>
          <w:iCs/>
          <w:sz w:val="20"/>
          <w:szCs w:val="20"/>
          <w:lang w:val="es-ES"/>
        </w:rPr>
        <w:t>, apreciándose la existencia de serias dudas de hecho o de derecho</w:t>
      </w:r>
      <w:r>
        <w:rPr>
          <w:rFonts w:eastAsia="Times New Roman" w:cs="Arial"/>
          <w:sz w:val="20"/>
          <w:szCs w:val="20"/>
          <w:lang w:val="es-ES"/>
        </w:rPr>
        <w:t>” [El subrayado y la negrita es nuestro].</w:t>
      </w:r>
    </w:p>
    <w:p w14:paraId="566C72F7" w14:textId="77777777" w:rsidR="00D72A94" w:rsidRDefault="00D72A94" w:rsidP="00D72A94">
      <w:pPr>
        <w:spacing w:line="360" w:lineRule="auto"/>
        <w:rPr>
          <w:rFonts w:eastAsia="Times New Roman" w:cs="Arial"/>
          <w:sz w:val="22"/>
          <w:szCs w:val="22"/>
          <w:lang w:val="es-ES_tradnl"/>
        </w:rPr>
      </w:pPr>
    </w:p>
    <w:p w14:paraId="198359B4" w14:textId="77777777" w:rsidR="00D72A94" w:rsidRDefault="00D72A94" w:rsidP="00D72A94">
      <w:pPr>
        <w:spacing w:line="360" w:lineRule="auto"/>
        <w:rPr>
          <w:rFonts w:eastAsia="Times New Roman" w:cs="Arial"/>
          <w:sz w:val="22"/>
          <w:szCs w:val="22"/>
          <w:lang w:val="es-ES_tradnl"/>
        </w:rPr>
      </w:pPr>
      <w:r>
        <w:rPr>
          <w:rFonts w:eastAsia="Times New Roman" w:cs="Arial"/>
          <w:sz w:val="22"/>
          <w:szCs w:val="22"/>
          <w:lang w:val="es-ES_tradnl"/>
        </w:rPr>
        <w:t>Por todo ello y, de forma subsidiaria, solicitamos la no imposición de costas de la primera instancia a mi representada por existencia de dudas de hecho o de derecho derivadas de las continuas modificaciones jurisprudenciales recaídas en esta materia.</w:t>
      </w:r>
    </w:p>
    <w:p w14:paraId="5F151E6A" w14:textId="77777777" w:rsidR="00D72A94" w:rsidRDefault="00D72A94" w:rsidP="00D72A94">
      <w:pPr>
        <w:widowControl w:val="0"/>
        <w:spacing w:after="360" w:line="360" w:lineRule="auto"/>
        <w:rPr>
          <w:rFonts w:cs="Arial"/>
          <w:b/>
          <w:bCs/>
          <w:sz w:val="22"/>
          <w:szCs w:val="22"/>
          <w:lang w:val="es-ES_tradnl"/>
        </w:rPr>
      </w:pPr>
      <w:r>
        <w:rPr>
          <w:rFonts w:cs="Arial"/>
          <w:b/>
          <w:bCs/>
          <w:sz w:val="22"/>
          <w:szCs w:val="22"/>
          <w:highlight w:val="yellow"/>
          <w:lang w:val="es-ES_tradnl"/>
        </w:rPr>
        <w:t>[si se estima acción transparencia]</w:t>
      </w:r>
    </w:p>
    <w:p w14:paraId="483CA20C" w14:textId="5B54C38C" w:rsidR="00D72A94" w:rsidRDefault="00D72A94" w:rsidP="00D72A94">
      <w:pPr>
        <w:spacing w:line="360" w:lineRule="auto"/>
        <w:rPr>
          <w:rFonts w:eastAsia="Times New Roman" w:cs="Arial"/>
          <w:sz w:val="22"/>
          <w:szCs w:val="22"/>
          <w:lang w:val="es-ES"/>
        </w:rPr>
      </w:pPr>
      <w:r>
        <w:rPr>
          <w:rFonts w:cs="Arial"/>
          <w:sz w:val="22"/>
          <w:szCs w:val="22"/>
          <w:lang w:val="es-ES_tradnl"/>
        </w:rPr>
        <w:t xml:space="preserve">En el Fundamento de Derecho </w:t>
      </w:r>
      <w:r w:rsidR="00926C6A">
        <w:rPr>
          <w:rFonts w:cs="Arial"/>
          <w:sz w:val="22"/>
          <w:szCs w:val="22"/>
          <w:highlight w:val="yellow"/>
          <w:lang w:val="es-ES_tradnl"/>
        </w:rPr>
        <w:fldChar w:fldCharType="begin"/>
      </w:r>
      <w:r w:rsidR="00926C6A">
        <w:rPr>
          <w:rFonts w:cs="Arial"/>
          <w:sz w:val="22"/>
          <w:szCs w:val="22"/>
          <w:highlight w:val="yellow"/>
          <w:lang w:val="es-ES_tradnl"/>
        </w:rPr>
        <w:instrText>persovalores_personalizable1388</w:instrText>
      </w:r>
      <w:r w:rsidR="00926C6A">
        <w:rPr>
          <w:rFonts w:cs="Arial"/>
          <w:sz w:val="22"/>
          <w:szCs w:val="22"/>
          <w:highlight w:val="yellow"/>
          <w:lang w:val="es-ES_tradnl"/>
        </w:rPr>
        <w:fldChar w:fldCharType="separate"/>
      </w:r>
      <w:r w:rsidR="00926C6A">
        <w:rPr>
          <w:rFonts w:cs="Arial"/>
          <w:noProof/>
          <w:sz w:val="22"/>
          <w:szCs w:val="22"/>
          <w:highlight w:val="yellow"/>
          <w:lang w:val="es-ES_tradnl"/>
        </w:rPr>
        <w:t>«RECURSOS_APELACION_Fundamento_sentencia_»</w:t>
      </w:r>
      <w:r w:rsidR="00926C6A">
        <w:rPr>
          <w:rFonts w:cs="Arial"/>
          <w:sz w:val="22"/>
          <w:szCs w:val="22"/>
          <w:highlight w:val="yellow"/>
          <w:lang w:val="es-ES_tradnl"/>
        </w:rPr>
        <w:fldChar w:fldCharType="end"/>
      </w:r>
      <w:r w:rsidR="00CB7AC6">
        <w:rPr>
          <w:rFonts w:cs="Arial"/>
          <w:sz w:val="22"/>
          <w:szCs w:val="22"/>
          <w:lang w:val="es-ES_tradnl"/>
        </w:rPr>
        <w:t xml:space="preserve"> </w:t>
      </w:r>
      <w:r>
        <w:rPr>
          <w:rFonts w:cs="Arial"/>
          <w:sz w:val="22"/>
          <w:szCs w:val="22"/>
          <w:lang w:val="es-ES_tradnl"/>
        </w:rPr>
        <w:t>de la Sentencia recurrida se acuerda imponer las costas de la primera instancia a mi representada.</w:t>
      </w:r>
    </w:p>
    <w:p w14:paraId="59218285" w14:textId="77777777" w:rsidR="00D72A94" w:rsidRDefault="00D72A94" w:rsidP="00D72A94">
      <w:pPr>
        <w:spacing w:line="360" w:lineRule="auto"/>
        <w:rPr>
          <w:rFonts w:eastAsia="Times New Roman" w:cs="Arial"/>
          <w:sz w:val="22"/>
          <w:szCs w:val="22"/>
          <w:lang w:val="es-ES"/>
        </w:rPr>
      </w:pPr>
    </w:p>
    <w:p w14:paraId="75991230" w14:textId="77777777" w:rsidR="00D72A94" w:rsidRDefault="00D72A94" w:rsidP="00D72A94">
      <w:pPr>
        <w:spacing w:line="360" w:lineRule="auto"/>
        <w:rPr>
          <w:rFonts w:eastAsia="Times New Roman" w:cs="Arial"/>
          <w:sz w:val="22"/>
          <w:szCs w:val="22"/>
          <w:lang w:val="es-ES"/>
        </w:rPr>
      </w:pPr>
      <w:r>
        <w:rPr>
          <w:rFonts w:cs="Arial"/>
          <w:sz w:val="22"/>
          <w:szCs w:val="22"/>
          <w:lang w:val="es-ES_tradnl"/>
        </w:rPr>
        <w:t xml:space="preserve">Pues bien, </w:t>
      </w:r>
      <w:r>
        <w:rPr>
          <w:rFonts w:eastAsia="Times New Roman" w:cs="Arial"/>
          <w:sz w:val="22"/>
          <w:szCs w:val="22"/>
          <w:lang w:val="es-ES"/>
        </w:rPr>
        <w:t>en aplicación del criterio del vencimiento objetivo del art. 394.1 LEC, y dado que procede la íntegra estimación del presente recurso de apelación, las costas de la primera instancia habrán de ser impuestas a la parte actora, ahora Recurrida.</w:t>
      </w:r>
    </w:p>
    <w:p w14:paraId="0C5BAE88" w14:textId="77777777" w:rsidR="00D72A94" w:rsidRDefault="00D72A94" w:rsidP="00D72A94">
      <w:pPr>
        <w:spacing w:line="360" w:lineRule="auto"/>
        <w:rPr>
          <w:rFonts w:eastAsia="Times New Roman" w:cs="Arial"/>
          <w:sz w:val="22"/>
          <w:szCs w:val="22"/>
          <w:lang w:val="es-ES"/>
        </w:rPr>
      </w:pPr>
    </w:p>
    <w:p w14:paraId="34434AE2" w14:textId="77777777" w:rsidR="00D72A94" w:rsidRDefault="00D72A94" w:rsidP="00D72A94">
      <w:pPr>
        <w:spacing w:line="360" w:lineRule="auto"/>
        <w:rPr>
          <w:rFonts w:eastAsia="Times New Roman" w:cs="Arial"/>
          <w:sz w:val="22"/>
          <w:szCs w:val="22"/>
          <w:lang w:val="es-ES"/>
        </w:rPr>
      </w:pPr>
      <w:proofErr w:type="gramStart"/>
      <w:r>
        <w:rPr>
          <w:rFonts w:eastAsia="Times New Roman" w:cs="Arial"/>
          <w:sz w:val="22"/>
          <w:szCs w:val="22"/>
          <w:lang w:val="es-ES"/>
        </w:rPr>
        <w:t>Subsidiariamente y únicamente</w:t>
      </w:r>
      <w:proofErr w:type="gramEnd"/>
      <w:r>
        <w:rPr>
          <w:rFonts w:eastAsia="Times New Roman" w:cs="Arial"/>
          <w:sz w:val="22"/>
          <w:szCs w:val="22"/>
          <w:lang w:val="es-ES"/>
        </w:rPr>
        <w:t xml:space="preserve"> para el hipotético supuesto de que se considere por esta Ilma. Sala que el contrato litigioso no </w:t>
      </w:r>
      <w:bookmarkStart w:id="0" w:name="_Hlk146108908"/>
      <w:r>
        <w:rPr>
          <w:rFonts w:eastAsia="Times New Roman" w:cs="Arial"/>
          <w:sz w:val="22"/>
          <w:szCs w:val="22"/>
          <w:lang w:val="es-ES"/>
        </w:rPr>
        <w:t>cumple los requisitos mínimos de transparencia y legibilidad</w:t>
      </w:r>
      <w:bookmarkEnd w:id="0"/>
      <w:r>
        <w:rPr>
          <w:rFonts w:eastAsia="Times New Roman" w:cs="Arial"/>
          <w:sz w:val="22"/>
          <w:szCs w:val="22"/>
          <w:lang w:val="es-ES"/>
        </w:rPr>
        <w:t xml:space="preserve">, </w:t>
      </w:r>
      <w:r>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r>
        <w:rPr>
          <w:rFonts w:eastAsia="Times New Roman" w:cs="Arial"/>
          <w:sz w:val="22"/>
          <w:szCs w:val="22"/>
          <w:lang w:val="es-ES"/>
        </w:rPr>
        <w:t xml:space="preserve">. </w:t>
      </w:r>
    </w:p>
    <w:p w14:paraId="149C91C7" w14:textId="77777777" w:rsidR="00D72A94" w:rsidRDefault="00D72A94" w:rsidP="00D72A94">
      <w:pPr>
        <w:spacing w:line="360" w:lineRule="auto"/>
        <w:rPr>
          <w:rFonts w:eastAsia="Times New Roman" w:cs="Arial"/>
          <w:sz w:val="22"/>
          <w:szCs w:val="22"/>
          <w:lang w:val="es-ES"/>
        </w:rPr>
      </w:pPr>
    </w:p>
    <w:p w14:paraId="55913251" w14:textId="77777777" w:rsidR="00D72A94" w:rsidRDefault="00D72A94" w:rsidP="00D72A94">
      <w:pPr>
        <w:spacing w:line="360" w:lineRule="auto"/>
        <w:rPr>
          <w:rFonts w:eastAsia="Times New Roman" w:cs="Arial"/>
          <w:sz w:val="22"/>
          <w:szCs w:val="22"/>
          <w:lang w:val="es-ES"/>
        </w:rPr>
      </w:pPr>
      <w:r>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w:t>
      </w:r>
    </w:p>
    <w:p w14:paraId="3E444204" w14:textId="77777777" w:rsidR="00D72A94" w:rsidRDefault="00D72A94" w:rsidP="00D72A94">
      <w:pPr>
        <w:spacing w:line="360" w:lineRule="auto"/>
        <w:rPr>
          <w:rFonts w:eastAsia="Times New Roman" w:cs="Arial"/>
          <w:sz w:val="22"/>
          <w:szCs w:val="22"/>
          <w:lang w:val="es-ES"/>
        </w:rPr>
      </w:pPr>
    </w:p>
    <w:p w14:paraId="5BA55F34" w14:textId="77777777" w:rsidR="00D72A94" w:rsidRDefault="00D72A94" w:rsidP="00D72A94">
      <w:pPr>
        <w:spacing w:line="360" w:lineRule="auto"/>
        <w:rPr>
          <w:rFonts w:eastAsia="Times New Roman" w:cs="Arial"/>
          <w:sz w:val="22"/>
          <w:szCs w:val="22"/>
          <w:lang w:val="es-ES_tradnl"/>
        </w:rPr>
      </w:pPr>
      <w:r>
        <w:rPr>
          <w:rFonts w:eastAsia="Times New Roman" w:cs="Arial"/>
          <w:sz w:val="22"/>
          <w:szCs w:val="22"/>
          <w:lang w:val="es-ES_tradnl"/>
        </w:rPr>
        <w:t>A título de ejemplo, y con ánimo de no ser exhaustivos, podemos citar las siguientes resoluciones que resultan muy ilustrativas a estos efectos:</w:t>
      </w:r>
    </w:p>
    <w:p w14:paraId="7242403A" w14:textId="77777777" w:rsidR="00D72A94" w:rsidRDefault="00D72A94" w:rsidP="00D72A94">
      <w:pPr>
        <w:spacing w:line="360" w:lineRule="auto"/>
        <w:rPr>
          <w:rFonts w:eastAsia="Times New Roman" w:cs="Arial"/>
          <w:i/>
          <w:iCs/>
          <w:sz w:val="20"/>
          <w:szCs w:val="20"/>
          <w:lang w:val="es-ES"/>
        </w:rPr>
      </w:pPr>
    </w:p>
    <w:p w14:paraId="72A6F850" w14:textId="77777777" w:rsidR="00D72A94" w:rsidRDefault="00D72A94" w:rsidP="00D72A94">
      <w:pPr>
        <w:pStyle w:val="Prrafodelista"/>
        <w:numPr>
          <w:ilvl w:val="0"/>
          <w:numId w:val="16"/>
        </w:numPr>
        <w:spacing w:line="360" w:lineRule="auto"/>
        <w:ind w:left="567" w:hanging="567"/>
        <w:rPr>
          <w:rFonts w:eastAsia="Times New Roman" w:cs="Arial"/>
          <w:b/>
          <w:bCs/>
          <w:sz w:val="22"/>
          <w:szCs w:val="22"/>
          <w:lang w:val="es-ES_tradnl"/>
        </w:rPr>
      </w:pPr>
      <w:bookmarkStart w:id="1" w:name="_Hlk145954223"/>
      <w:r>
        <w:rPr>
          <w:rFonts w:eastAsia="Times New Roman" w:cs="Arial"/>
          <w:b/>
          <w:bCs/>
          <w:sz w:val="22"/>
          <w:szCs w:val="22"/>
          <w:lang w:val="es-ES_tradnl"/>
        </w:rPr>
        <w:t>Sentencia de la Sección 14ª de la Audiencia Provincial de Madrid, de 15 de junio, (Rec. 857/2022):</w:t>
      </w:r>
      <w:bookmarkEnd w:id="1"/>
    </w:p>
    <w:p w14:paraId="0A911006" w14:textId="77777777" w:rsidR="00D72A94" w:rsidRDefault="00D72A94" w:rsidP="00D72A94">
      <w:pPr>
        <w:pStyle w:val="Prrafodelista"/>
        <w:spacing w:line="360" w:lineRule="auto"/>
        <w:ind w:left="567"/>
        <w:rPr>
          <w:rFonts w:eastAsia="Times New Roman" w:cs="Arial"/>
          <w:sz w:val="22"/>
          <w:szCs w:val="22"/>
          <w:lang w:val="es-ES_tradnl"/>
        </w:rPr>
      </w:pPr>
    </w:p>
    <w:p w14:paraId="7A206C80" w14:textId="77777777" w:rsidR="00D72A94" w:rsidRDefault="00D72A94" w:rsidP="00D72A94">
      <w:pPr>
        <w:pStyle w:val="Prrafodelista"/>
        <w:spacing w:line="360" w:lineRule="auto"/>
        <w:ind w:left="851"/>
        <w:rPr>
          <w:rFonts w:eastAsia="Times New Roman" w:cs="Arial"/>
          <w:sz w:val="20"/>
          <w:szCs w:val="20"/>
          <w:lang w:val="es-ES"/>
        </w:rPr>
      </w:pPr>
      <w:bookmarkStart w:id="2" w:name="_Hlk145954231"/>
      <w:r>
        <w:rPr>
          <w:rFonts w:eastAsia="Times New Roman" w:cs="Arial"/>
          <w:sz w:val="20"/>
          <w:szCs w:val="20"/>
          <w:lang w:val="es-ES"/>
        </w:rPr>
        <w:t>“</w:t>
      </w:r>
      <w:r>
        <w:rPr>
          <w:rFonts w:eastAsia="Times New Roman" w:cs="Arial"/>
          <w:i/>
          <w:iCs/>
          <w:sz w:val="20"/>
          <w:szCs w:val="20"/>
          <w:lang w:val="es-ES"/>
        </w:rPr>
        <w:t xml:space="preserve">Por lo que se refiere a las costas procesales, respecto de las causadas en primera instancia, no obstante desestimarse la demanda inicial, </w:t>
      </w:r>
      <w:r>
        <w:rPr>
          <w:rFonts w:eastAsia="Times New Roman" w:cs="Arial"/>
          <w:b/>
          <w:bCs/>
          <w:i/>
          <w:iCs/>
          <w:sz w:val="20"/>
          <w:szCs w:val="20"/>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Pr>
          <w:rFonts w:eastAsia="Times New Roman" w:cs="Arial"/>
          <w:i/>
          <w:iCs/>
          <w:sz w:val="20"/>
          <w:szCs w:val="20"/>
          <w:lang w:val="es-ES"/>
        </w:rPr>
        <w:t>, dudas de derecho que concurrían en el momento del dictado de la sentencia de primera instancia y de interponerse el recurso de apelación</w:t>
      </w:r>
      <w:r>
        <w:rPr>
          <w:rFonts w:eastAsia="Times New Roman" w:cs="Arial"/>
          <w:sz w:val="20"/>
          <w:szCs w:val="20"/>
          <w:lang w:val="es-ES"/>
        </w:rPr>
        <w:t>” [El subrayado y la negrita es nuestro].</w:t>
      </w:r>
      <w:bookmarkEnd w:id="2"/>
    </w:p>
    <w:p w14:paraId="46059A51" w14:textId="77777777" w:rsidR="00CB7AC6" w:rsidRDefault="00CB7AC6" w:rsidP="00D72A94">
      <w:pPr>
        <w:pStyle w:val="Prrafodelista"/>
        <w:spacing w:line="360" w:lineRule="auto"/>
        <w:ind w:left="851"/>
        <w:rPr>
          <w:rFonts w:eastAsia="Times New Roman" w:cs="Arial"/>
          <w:sz w:val="20"/>
          <w:szCs w:val="20"/>
          <w:lang w:val="es-ES_tradnl"/>
        </w:rPr>
      </w:pPr>
    </w:p>
    <w:p w14:paraId="48EF5ECA" w14:textId="77777777" w:rsidR="00D72A94" w:rsidRDefault="00D72A94" w:rsidP="00D72A94">
      <w:pPr>
        <w:pStyle w:val="Prrafodelista"/>
        <w:numPr>
          <w:ilvl w:val="0"/>
          <w:numId w:val="16"/>
        </w:numPr>
        <w:spacing w:line="360" w:lineRule="auto"/>
        <w:ind w:left="567" w:hanging="567"/>
        <w:rPr>
          <w:rFonts w:eastAsia="Times New Roman" w:cs="Arial"/>
          <w:b/>
          <w:bCs/>
          <w:sz w:val="22"/>
          <w:szCs w:val="22"/>
          <w:lang w:val="es-ES_tradnl"/>
        </w:rPr>
      </w:pPr>
      <w:r>
        <w:rPr>
          <w:rFonts w:eastAsia="Times New Roman" w:cs="Arial"/>
          <w:b/>
          <w:bCs/>
          <w:sz w:val="22"/>
          <w:szCs w:val="22"/>
          <w:lang w:val="es-ES_tradnl"/>
        </w:rPr>
        <w:t>Sentencia de la Sección 19ª de la Audiencia Provincial de Madrid, núm. 315/2023, de 14 de junio (Rec. 800/2022):</w:t>
      </w:r>
    </w:p>
    <w:p w14:paraId="221441A1" w14:textId="77777777" w:rsidR="00D72A94" w:rsidRDefault="00D72A94" w:rsidP="00D72A94">
      <w:pPr>
        <w:pStyle w:val="Prrafodelista"/>
        <w:spacing w:line="360" w:lineRule="auto"/>
        <w:ind w:left="567"/>
        <w:rPr>
          <w:rFonts w:eastAsia="Times New Roman" w:cs="Arial"/>
          <w:sz w:val="22"/>
          <w:szCs w:val="22"/>
          <w:lang w:val="es-ES_tradnl"/>
        </w:rPr>
      </w:pPr>
    </w:p>
    <w:p w14:paraId="242D20E1" w14:textId="7C29903A" w:rsidR="00D72A94" w:rsidRPr="009671B3" w:rsidRDefault="00D72A94" w:rsidP="009671B3">
      <w:pPr>
        <w:pStyle w:val="Prrafodelista"/>
        <w:spacing w:line="360" w:lineRule="auto"/>
        <w:ind w:left="851"/>
        <w:rPr>
          <w:rFonts w:eastAsia="Times New Roman" w:cs="Arial"/>
          <w:sz w:val="20"/>
          <w:szCs w:val="20"/>
          <w:lang w:val="es-ES_tradnl"/>
        </w:rPr>
      </w:pPr>
      <w:r>
        <w:rPr>
          <w:rFonts w:eastAsia="Times New Roman" w:cs="Arial"/>
          <w:sz w:val="20"/>
          <w:szCs w:val="20"/>
          <w:lang w:val="es-ES"/>
        </w:rPr>
        <w:t>“</w:t>
      </w:r>
      <w:r>
        <w:rPr>
          <w:rFonts w:eastAsia="Times New Roman" w:cs="Arial"/>
          <w:i/>
          <w:iCs/>
          <w:sz w:val="20"/>
          <w:szCs w:val="20"/>
          <w:lang w:val="es-ES"/>
        </w:rPr>
        <w:t xml:space="preserve">En lo que se refiere a las costas procesales, no procede efectuar expreso pronunciamiento en ambas instancias, </w:t>
      </w:r>
      <w:r>
        <w:rPr>
          <w:rFonts w:eastAsia="Times New Roman" w:cs="Arial"/>
          <w:b/>
          <w:bCs/>
          <w:i/>
          <w:iCs/>
          <w:sz w:val="20"/>
          <w:szCs w:val="20"/>
          <w:u w:val="single"/>
          <w:lang w:val="es-ES"/>
        </w:rPr>
        <w:t>puesto que se trata de una cuestión sobre la que existen diversos criterios entre los tribunales</w:t>
      </w:r>
      <w:r>
        <w:rPr>
          <w:rFonts w:eastAsia="Times New Roman" w:cs="Arial"/>
          <w:i/>
          <w:iCs/>
          <w:sz w:val="20"/>
          <w:szCs w:val="20"/>
          <w:lang w:val="es-ES"/>
        </w:rPr>
        <w:t>, apreciándose la existencia de serias dudas de hecho o de derecho</w:t>
      </w:r>
      <w:r>
        <w:rPr>
          <w:rFonts w:eastAsia="Times New Roman" w:cs="Arial"/>
          <w:sz w:val="20"/>
          <w:szCs w:val="20"/>
          <w:lang w:val="es-ES"/>
        </w:rPr>
        <w:t>” [El subrayado y la negrita es nuestro].</w:t>
      </w:r>
    </w:p>
    <w:p w14:paraId="7253140E" w14:textId="77777777" w:rsidR="00D72A94" w:rsidRDefault="00D72A94" w:rsidP="00D72A94">
      <w:pPr>
        <w:spacing w:line="360" w:lineRule="auto"/>
        <w:rPr>
          <w:rFonts w:eastAsia="Times New Roman" w:cs="Arial"/>
          <w:sz w:val="22"/>
          <w:szCs w:val="22"/>
          <w:lang w:val="es-ES_tradnl"/>
        </w:rPr>
      </w:pPr>
      <w:r>
        <w:rPr>
          <w:rFonts w:eastAsia="Times New Roman" w:cs="Arial"/>
          <w:sz w:val="22"/>
          <w:szCs w:val="22"/>
          <w:lang w:val="es-ES_tradnl"/>
        </w:rPr>
        <w:lastRenderedPageBreak/>
        <w:t>Por todo ello y, de forma subsidiaria, solicitamos la no imposición de costas de la primera instancia a mi representada por existencia de dudas de hecho o de derecho derivadas de las continuas modificaciones jurisprudenciales.</w:t>
      </w:r>
    </w:p>
    <w:p w14:paraId="78353F64" w14:textId="77777777" w:rsidR="00D72A94" w:rsidRDefault="00D72A94" w:rsidP="00D72A94">
      <w:pPr>
        <w:spacing w:line="360" w:lineRule="auto"/>
        <w:rPr>
          <w:rFonts w:eastAsia="Times New Roman" w:cs="Arial"/>
          <w:sz w:val="22"/>
          <w:szCs w:val="22"/>
          <w:lang w:val="es-ES_tradnl"/>
        </w:rPr>
      </w:pPr>
    </w:p>
    <w:p w14:paraId="2DCDC528" w14:textId="77777777" w:rsidR="00D72A94" w:rsidRDefault="00D72A94" w:rsidP="00D72A94">
      <w:pPr>
        <w:widowControl w:val="0"/>
        <w:spacing w:after="360" w:line="360" w:lineRule="auto"/>
        <w:rPr>
          <w:rFonts w:cs="Arial"/>
          <w:b/>
          <w:bCs/>
          <w:sz w:val="22"/>
          <w:szCs w:val="22"/>
          <w:lang w:val="es-ES_tradnl"/>
        </w:rPr>
      </w:pPr>
      <w:r>
        <w:rPr>
          <w:rFonts w:cs="Arial"/>
          <w:b/>
          <w:bCs/>
          <w:sz w:val="22"/>
          <w:szCs w:val="22"/>
          <w:highlight w:val="yellow"/>
          <w:lang w:val="es-ES_tradnl"/>
        </w:rPr>
        <w:t>[si se estima acción usura por tramos]</w:t>
      </w:r>
    </w:p>
    <w:p w14:paraId="4A1163AD" w14:textId="798BCD20" w:rsidR="00D72A94" w:rsidRDefault="00D72A94" w:rsidP="00D72A94">
      <w:pPr>
        <w:spacing w:line="360" w:lineRule="auto"/>
        <w:rPr>
          <w:rFonts w:eastAsia="Times New Roman" w:cs="Arial"/>
          <w:sz w:val="22"/>
          <w:szCs w:val="22"/>
          <w:lang w:val="es-ES"/>
        </w:rPr>
      </w:pPr>
      <w:r>
        <w:rPr>
          <w:rFonts w:cs="Arial"/>
          <w:sz w:val="22"/>
          <w:szCs w:val="22"/>
          <w:lang w:val="es-ES_tradnl"/>
        </w:rPr>
        <w:t xml:space="preserve">En el Fundamento de Derecho </w:t>
      </w:r>
      <w:r w:rsidR="00CB7AC6">
        <w:rPr>
          <w:rFonts w:cs="Arial"/>
          <w:sz w:val="22"/>
          <w:szCs w:val="22"/>
          <w:highlight w:val="yellow"/>
          <w:lang w:val="es-ES_tradnl"/>
        </w:rPr>
        <w:fldChar w:fldCharType="begin"/>
      </w:r>
      <w:r w:rsidR="00CB7AC6">
        <w:rPr>
          <w:rFonts w:cs="Arial"/>
          <w:sz w:val="22"/>
          <w:szCs w:val="22"/>
          <w:highlight w:val="yellow"/>
          <w:lang w:val="es-ES_tradnl"/>
        </w:rPr>
        <w:instrText>persovalores_personalizable1388</w:instrText>
      </w:r>
      <w:r w:rsidR="00CB7AC6">
        <w:rPr>
          <w:rFonts w:cs="Arial"/>
          <w:sz w:val="22"/>
          <w:szCs w:val="22"/>
          <w:highlight w:val="yellow"/>
          <w:lang w:val="es-ES_tradnl"/>
        </w:rPr>
        <w:fldChar w:fldCharType="separate"/>
      </w:r>
      <w:r w:rsidR="00CB7AC6">
        <w:rPr>
          <w:rFonts w:cs="Arial"/>
          <w:noProof/>
          <w:sz w:val="22"/>
          <w:szCs w:val="22"/>
          <w:highlight w:val="yellow"/>
          <w:lang w:val="es-ES_tradnl"/>
        </w:rPr>
        <w:t>«RECURSOS_APELACION_Fundamento_sentencia_»</w:t>
      </w:r>
      <w:r w:rsidR="00CB7AC6">
        <w:rPr>
          <w:rFonts w:cs="Arial"/>
          <w:sz w:val="22"/>
          <w:szCs w:val="22"/>
          <w:highlight w:val="yellow"/>
          <w:lang w:val="es-ES_tradnl"/>
        </w:rPr>
        <w:fldChar w:fldCharType="end"/>
      </w:r>
      <w:r w:rsidR="00CB7AC6">
        <w:rPr>
          <w:rFonts w:cs="Arial"/>
          <w:sz w:val="22"/>
          <w:szCs w:val="22"/>
          <w:lang w:val="es-ES_tradnl"/>
        </w:rPr>
        <w:t xml:space="preserve"> </w:t>
      </w:r>
      <w:r>
        <w:rPr>
          <w:rFonts w:cs="Arial"/>
          <w:sz w:val="22"/>
          <w:szCs w:val="22"/>
          <w:lang w:val="es-ES_tradnl"/>
        </w:rPr>
        <w:t>de la Sentencia recurrida se acuerda imponer las costas de la primera instancia a mi representada, a pesar de haberse estimado parcialmente la demanda.</w:t>
      </w:r>
    </w:p>
    <w:p w14:paraId="1829BD04" w14:textId="77777777" w:rsidR="00D72A94" w:rsidRDefault="00D72A94" w:rsidP="00D72A94">
      <w:pPr>
        <w:spacing w:line="360" w:lineRule="auto"/>
        <w:rPr>
          <w:rFonts w:eastAsia="Times New Roman" w:cs="Arial"/>
          <w:sz w:val="22"/>
          <w:szCs w:val="22"/>
          <w:lang w:val="es-ES"/>
        </w:rPr>
      </w:pPr>
    </w:p>
    <w:p w14:paraId="1444FBC7" w14:textId="77777777" w:rsidR="00D72A94" w:rsidRDefault="00D72A94" w:rsidP="00D72A94">
      <w:pPr>
        <w:spacing w:line="360" w:lineRule="auto"/>
        <w:rPr>
          <w:rFonts w:eastAsia="Times New Roman" w:cs="Arial"/>
          <w:sz w:val="22"/>
          <w:szCs w:val="22"/>
          <w:lang w:val="es-ES"/>
        </w:rPr>
      </w:pPr>
      <w:r>
        <w:rPr>
          <w:rFonts w:cs="Arial"/>
          <w:sz w:val="22"/>
          <w:szCs w:val="22"/>
          <w:lang w:val="es-ES_tradnl"/>
        </w:rPr>
        <w:t xml:space="preserve">Pues bien, </w:t>
      </w:r>
      <w:r>
        <w:rPr>
          <w:rFonts w:eastAsia="Times New Roman" w:cs="Arial"/>
          <w:sz w:val="22"/>
          <w:szCs w:val="22"/>
          <w:lang w:val="es-ES"/>
        </w:rPr>
        <w:t>en aplicación del criterio del vencimiento objetivo del art. 394.1 LEC, y dado que procede la íntegra estimación del presente recurso de apelación, las costas de la primera instancia habrán de ser impuestas a la parte actora, ahora Recurrida.</w:t>
      </w:r>
    </w:p>
    <w:p w14:paraId="357BB30C" w14:textId="77777777" w:rsidR="00D72A94" w:rsidRDefault="00D72A94" w:rsidP="00D72A94">
      <w:pPr>
        <w:spacing w:line="360" w:lineRule="auto"/>
        <w:rPr>
          <w:rFonts w:eastAsia="Times New Roman" w:cs="Arial"/>
          <w:sz w:val="22"/>
          <w:szCs w:val="22"/>
          <w:lang w:val="es-ES"/>
        </w:rPr>
      </w:pPr>
    </w:p>
    <w:p w14:paraId="65909E36" w14:textId="77777777" w:rsidR="00D72A94" w:rsidRDefault="00D72A94" w:rsidP="00D72A94">
      <w:pPr>
        <w:spacing w:line="360" w:lineRule="auto"/>
        <w:rPr>
          <w:rFonts w:eastAsia="Times New Roman" w:cs="Arial"/>
          <w:sz w:val="22"/>
          <w:szCs w:val="22"/>
          <w:lang w:val="es-ES_tradnl"/>
        </w:rPr>
      </w:pPr>
      <w:r>
        <w:rPr>
          <w:rFonts w:eastAsia="Times New Roman" w:cs="Arial"/>
          <w:sz w:val="22"/>
          <w:szCs w:val="22"/>
          <w:lang w:val="es-ES"/>
        </w:rPr>
        <w:t xml:space="preserve">Subsidiariamente, y únicamente para el hipotético supuesto de que coincida esta Ilma. Sala en considerar que el contrato litigioso es usurario en el tramo comprendido entre el </w:t>
      </w:r>
      <w:proofErr w:type="spellStart"/>
      <w:r>
        <w:rPr>
          <w:rFonts w:eastAsia="Times New Roman" w:cs="Arial"/>
          <w:sz w:val="22"/>
          <w:szCs w:val="22"/>
          <w:highlight w:val="yellow"/>
          <w:lang w:val="es-ES"/>
        </w:rPr>
        <w:t>xxxx</w:t>
      </w:r>
      <w:proofErr w:type="spellEnd"/>
      <w:r>
        <w:rPr>
          <w:rFonts w:eastAsia="Times New Roman" w:cs="Arial"/>
          <w:sz w:val="22"/>
          <w:szCs w:val="22"/>
          <w:lang w:val="es-ES"/>
        </w:rPr>
        <w:t xml:space="preserve"> y el </w:t>
      </w:r>
      <w:proofErr w:type="spellStart"/>
      <w:r>
        <w:rPr>
          <w:rFonts w:eastAsia="Times New Roman" w:cs="Arial"/>
          <w:sz w:val="22"/>
          <w:szCs w:val="22"/>
          <w:highlight w:val="yellow"/>
          <w:lang w:val="es-ES"/>
        </w:rPr>
        <w:t>xxxx</w:t>
      </w:r>
      <w:proofErr w:type="spellEnd"/>
      <w:r>
        <w:rPr>
          <w:rFonts w:eastAsia="Times New Roman" w:cs="Arial"/>
          <w:sz w:val="22"/>
          <w:szCs w:val="22"/>
          <w:lang w:val="es-ES"/>
        </w:rPr>
        <w:t xml:space="preserve">, </w:t>
      </w:r>
      <w:r>
        <w:rPr>
          <w:rFonts w:eastAsia="Times New Roman" w:cs="Arial"/>
          <w:b/>
          <w:bCs/>
          <w:sz w:val="22"/>
          <w:szCs w:val="22"/>
          <w:u w:val="single"/>
          <w:lang w:val="es-ES"/>
        </w:rPr>
        <w:t xml:space="preserve">dado que dicho pronunciamiento comportaría una estimación parcial de la demanda -y no sustancial, como entiende erróneamente la Sentencia recurrida, dicho sea con el debido respeto y en estrictos términos de defensa-, en aplicación de lo dispuesto en el art. 394.2 LEC, </w:t>
      </w:r>
      <w:r>
        <w:rPr>
          <w:rFonts w:eastAsia="Times New Roman" w:cs="Arial"/>
          <w:b/>
          <w:bCs/>
          <w:sz w:val="22"/>
          <w:szCs w:val="22"/>
          <w:u w:val="single"/>
          <w:lang w:val="es-ES_tradnl"/>
        </w:rPr>
        <w:t>cada parte deberá abonar las costas causadas a su instancia y las comunes por mitad</w:t>
      </w:r>
      <w:r>
        <w:rPr>
          <w:rFonts w:eastAsia="Times New Roman" w:cs="Arial"/>
          <w:sz w:val="22"/>
          <w:szCs w:val="22"/>
          <w:lang w:val="es-ES_tradnl"/>
        </w:rPr>
        <w:t>.</w:t>
      </w:r>
    </w:p>
    <w:p w14:paraId="78126910" w14:textId="77777777" w:rsidR="00D72A94" w:rsidRDefault="00D72A94" w:rsidP="00D72A94">
      <w:pPr>
        <w:spacing w:line="360" w:lineRule="auto"/>
        <w:rPr>
          <w:rFonts w:eastAsia="Times New Roman" w:cs="Arial"/>
          <w:sz w:val="22"/>
          <w:szCs w:val="22"/>
          <w:lang w:val="es-ES_tradnl"/>
        </w:rPr>
      </w:pPr>
    </w:p>
    <w:p w14:paraId="755576C8" w14:textId="77777777" w:rsidR="00D72A94" w:rsidRDefault="00D72A94" w:rsidP="00D72A94">
      <w:pPr>
        <w:spacing w:line="360" w:lineRule="auto"/>
        <w:rPr>
          <w:rFonts w:eastAsia="Times New Roman" w:cs="Arial"/>
          <w:sz w:val="22"/>
          <w:szCs w:val="22"/>
          <w:lang w:val="es-ES_tradnl"/>
        </w:rPr>
      </w:pPr>
      <w:r>
        <w:rPr>
          <w:rFonts w:eastAsia="Times New Roman" w:cs="Arial"/>
          <w:sz w:val="22"/>
          <w:szCs w:val="22"/>
          <w:lang w:val="es-ES"/>
        </w:rPr>
        <w:t xml:space="preserve">Es abundante la jurisprudencia de nuestros Juzgados y Tribunales que avala la improcedencia de la condena en costas en casos de estimación parcial de la demanda en asuntos como el que nos ocupa. </w:t>
      </w:r>
      <w:r>
        <w:rPr>
          <w:rFonts w:eastAsia="Times New Roman" w:cs="Arial"/>
          <w:sz w:val="22"/>
          <w:szCs w:val="22"/>
          <w:lang w:val="es-ES_tradnl"/>
        </w:rPr>
        <w:t>A título de ejemplo, y con ánimo de no ser exhaustivos, podemos citar las siguientes resoluciones que resultan muy ilustrativas a estos efectos:</w:t>
      </w:r>
    </w:p>
    <w:p w14:paraId="6ABACD1E" w14:textId="77777777" w:rsidR="00D72A94" w:rsidRDefault="00D72A94" w:rsidP="00D72A94">
      <w:pPr>
        <w:spacing w:line="360" w:lineRule="auto"/>
        <w:rPr>
          <w:rFonts w:eastAsia="Times New Roman" w:cs="Arial"/>
          <w:sz w:val="22"/>
          <w:szCs w:val="22"/>
          <w:lang w:val="es-ES_tradnl"/>
        </w:rPr>
      </w:pPr>
    </w:p>
    <w:p w14:paraId="1B5BD87C" w14:textId="77777777" w:rsidR="00D72A94" w:rsidRDefault="00D72A94" w:rsidP="00D72A94">
      <w:pPr>
        <w:spacing w:line="360" w:lineRule="auto"/>
        <w:rPr>
          <w:rFonts w:eastAsia="Times New Roman" w:cs="Arial"/>
          <w:sz w:val="22"/>
          <w:szCs w:val="22"/>
          <w:lang w:val="es-ES_tradnl"/>
        </w:rPr>
      </w:pPr>
    </w:p>
    <w:p w14:paraId="2D8CC5B2" w14:textId="77777777" w:rsidR="00D72A94" w:rsidRDefault="00D72A94" w:rsidP="00D72A94">
      <w:pPr>
        <w:pStyle w:val="Prrafodelista"/>
        <w:numPr>
          <w:ilvl w:val="0"/>
          <w:numId w:val="16"/>
        </w:numPr>
        <w:spacing w:line="360" w:lineRule="auto"/>
        <w:ind w:left="567" w:hanging="567"/>
        <w:rPr>
          <w:rFonts w:eastAsia="Times New Roman" w:cs="Arial"/>
          <w:sz w:val="22"/>
          <w:szCs w:val="22"/>
          <w:lang w:val="es-ES_tradnl"/>
        </w:rPr>
      </w:pPr>
      <w:r>
        <w:rPr>
          <w:rFonts w:eastAsia="Times New Roman" w:cs="Arial"/>
          <w:b/>
          <w:bCs/>
          <w:sz w:val="22"/>
          <w:szCs w:val="22"/>
          <w:lang w:val="es-ES_tradnl"/>
        </w:rPr>
        <w:t>Sentencia de la Sección 3ª de la Audiencia Provincial de Tarragona, núm. 390/2023, de 27 de julio (traducción al castellano):</w:t>
      </w:r>
    </w:p>
    <w:p w14:paraId="0C88FD6E" w14:textId="77777777" w:rsidR="00D72A94" w:rsidRDefault="00D72A94" w:rsidP="00D72A94">
      <w:pPr>
        <w:pStyle w:val="Prrafodelista"/>
        <w:spacing w:line="360" w:lineRule="auto"/>
        <w:ind w:left="567"/>
        <w:rPr>
          <w:rFonts w:eastAsia="Times New Roman" w:cs="Arial"/>
          <w:b/>
          <w:bCs/>
          <w:sz w:val="22"/>
          <w:szCs w:val="22"/>
          <w:lang w:val="es-ES_tradnl"/>
        </w:rPr>
      </w:pPr>
    </w:p>
    <w:p w14:paraId="7E6F2E89" w14:textId="77777777" w:rsidR="00D72A94" w:rsidRDefault="00D72A94" w:rsidP="00D72A94">
      <w:pPr>
        <w:pStyle w:val="Prrafodelista"/>
        <w:spacing w:line="360" w:lineRule="auto"/>
        <w:ind w:left="851"/>
        <w:rPr>
          <w:rFonts w:eastAsia="Times New Roman" w:cs="Arial"/>
          <w:i/>
          <w:iCs/>
          <w:sz w:val="20"/>
          <w:szCs w:val="20"/>
          <w:lang w:val="es-ES"/>
        </w:rPr>
      </w:pPr>
      <w:r>
        <w:rPr>
          <w:rFonts w:eastAsia="Times New Roman" w:cs="Arial"/>
          <w:i/>
          <w:iCs/>
          <w:sz w:val="20"/>
          <w:szCs w:val="20"/>
          <w:lang w:val="es-ES"/>
        </w:rPr>
        <w:t xml:space="preserve">En el presente caso, nos encontramos en la misma situación que la anterior sentencia, por lo que procede declarar nulo, por usurario, el contrato de tarjeta </w:t>
      </w:r>
      <w:proofErr w:type="spellStart"/>
      <w:r>
        <w:rPr>
          <w:rFonts w:eastAsia="Times New Roman" w:cs="Arial"/>
          <w:i/>
          <w:iCs/>
          <w:sz w:val="20"/>
          <w:szCs w:val="20"/>
          <w:lang w:val="es-ES"/>
        </w:rPr>
        <w:t>revolving</w:t>
      </w:r>
      <w:proofErr w:type="spellEnd"/>
      <w:r>
        <w:rPr>
          <w:rFonts w:eastAsia="Times New Roman" w:cs="Arial"/>
          <w:i/>
          <w:iCs/>
          <w:sz w:val="20"/>
          <w:szCs w:val="20"/>
          <w:lang w:val="es-ES"/>
        </w:rPr>
        <w:t xml:space="preserve"> celebrado entre *** y la demandada a partir de la modificación del tipo de interés realizado unilateralmente por la entidad financiera el 18-12-2008, </w:t>
      </w:r>
      <w:r>
        <w:rPr>
          <w:rFonts w:eastAsia="Times New Roman" w:cs="Arial"/>
          <w:b/>
          <w:bCs/>
          <w:i/>
          <w:iCs/>
          <w:sz w:val="20"/>
          <w:szCs w:val="20"/>
          <w:u w:val="single"/>
          <w:lang w:val="es-ES"/>
        </w:rPr>
        <w:t>por lo que la cantidad a restituir por la deudora desde esa fecha se limitará a las cantidades dispuestas en el uso de la tarjeta, sin que proceda pagar cantidad alguna por los intereses devengados desde esa fecha</w:t>
      </w:r>
      <w:r>
        <w:rPr>
          <w:rFonts w:eastAsia="Times New Roman" w:cs="Arial"/>
          <w:i/>
          <w:iCs/>
          <w:sz w:val="20"/>
          <w:szCs w:val="20"/>
          <w:lang w:val="es-ES"/>
        </w:rPr>
        <w:t>.</w:t>
      </w:r>
    </w:p>
    <w:p w14:paraId="0A594C36" w14:textId="77777777" w:rsidR="00D72A94" w:rsidRDefault="00D72A94" w:rsidP="00D72A94">
      <w:pPr>
        <w:pStyle w:val="Prrafodelista"/>
        <w:spacing w:line="360" w:lineRule="auto"/>
        <w:ind w:left="851"/>
        <w:rPr>
          <w:rFonts w:eastAsia="Times New Roman" w:cs="Arial"/>
          <w:i/>
          <w:iCs/>
          <w:sz w:val="20"/>
          <w:szCs w:val="20"/>
          <w:lang w:val="es-ES"/>
        </w:rPr>
      </w:pPr>
    </w:p>
    <w:p w14:paraId="4AB38179" w14:textId="2945C8FA" w:rsidR="00D72A94" w:rsidRPr="009671B3" w:rsidRDefault="00D72A94" w:rsidP="009671B3">
      <w:pPr>
        <w:pStyle w:val="Prrafodelista"/>
        <w:spacing w:line="360" w:lineRule="auto"/>
        <w:ind w:left="851"/>
        <w:rPr>
          <w:rFonts w:eastAsia="Times New Roman" w:cs="Arial"/>
          <w:i/>
          <w:iCs/>
          <w:sz w:val="20"/>
          <w:szCs w:val="20"/>
          <w:lang w:val="es-ES"/>
        </w:rPr>
      </w:pPr>
      <w:r>
        <w:rPr>
          <w:rFonts w:eastAsia="Times New Roman" w:cs="Arial"/>
          <w:i/>
          <w:iCs/>
          <w:sz w:val="20"/>
          <w:szCs w:val="20"/>
          <w:lang w:val="es-ES"/>
        </w:rPr>
        <w:lastRenderedPageBreak/>
        <w:t>(…)</w:t>
      </w:r>
    </w:p>
    <w:p w14:paraId="637AE9E1" w14:textId="77777777" w:rsidR="00D72A94" w:rsidRDefault="00D72A94" w:rsidP="00D72A94">
      <w:pPr>
        <w:pStyle w:val="Prrafodelista"/>
        <w:spacing w:line="360" w:lineRule="auto"/>
        <w:ind w:left="851"/>
        <w:rPr>
          <w:rFonts w:eastAsia="Times New Roman" w:cs="Arial"/>
          <w:i/>
          <w:iCs/>
          <w:sz w:val="20"/>
          <w:szCs w:val="20"/>
          <w:lang w:val="es-ES"/>
        </w:rPr>
      </w:pPr>
      <w:r>
        <w:rPr>
          <w:rFonts w:eastAsia="Times New Roman" w:cs="Arial"/>
          <w:b/>
          <w:bCs/>
          <w:i/>
          <w:iCs/>
          <w:sz w:val="20"/>
          <w:szCs w:val="20"/>
          <w:u w:val="single"/>
          <w:lang w:val="es-ES"/>
        </w:rPr>
        <w:t>Conforme a los arts. 394</w:t>
      </w:r>
      <w:r>
        <w:rPr>
          <w:rFonts w:eastAsia="Times New Roman" w:cs="Arial"/>
          <w:i/>
          <w:iCs/>
          <w:sz w:val="20"/>
          <w:szCs w:val="20"/>
          <w:lang w:val="es-ES"/>
        </w:rPr>
        <w:t xml:space="preserve"> y 398 LEC, al estimar parcialmente el recurso, no se hace imposición de las costas </w:t>
      </w:r>
      <w:proofErr w:type="gramStart"/>
      <w:r>
        <w:rPr>
          <w:rFonts w:eastAsia="Times New Roman" w:cs="Arial"/>
          <w:i/>
          <w:iCs/>
          <w:sz w:val="20"/>
          <w:szCs w:val="20"/>
          <w:lang w:val="es-ES"/>
        </w:rPr>
        <w:t>del mismo</w:t>
      </w:r>
      <w:proofErr w:type="gramEnd"/>
      <w:r>
        <w:rPr>
          <w:rStyle w:val="Refdenotaalpie"/>
          <w:rFonts w:eastAsia="Times New Roman" w:cs="Arial"/>
          <w:i/>
          <w:iCs/>
          <w:sz w:val="20"/>
          <w:szCs w:val="20"/>
          <w:lang w:val="es-ES"/>
        </w:rPr>
        <w:footnoteReference w:id="2"/>
      </w:r>
      <w:r>
        <w:rPr>
          <w:rFonts w:eastAsia="Times New Roman" w:cs="Arial"/>
          <w:i/>
          <w:iCs/>
          <w:sz w:val="20"/>
          <w:szCs w:val="20"/>
          <w:lang w:val="es-ES"/>
        </w:rPr>
        <w:t xml:space="preserve"> </w:t>
      </w:r>
      <w:r>
        <w:rPr>
          <w:rFonts w:eastAsia="Times New Roman" w:cs="Arial"/>
          <w:sz w:val="20"/>
          <w:szCs w:val="20"/>
          <w:lang w:val="es-ES"/>
        </w:rPr>
        <w:t>[El subrayado y la negrita es nuestro].</w:t>
      </w:r>
    </w:p>
    <w:p w14:paraId="7D6B3E4B" w14:textId="77777777" w:rsidR="00D72A94" w:rsidRDefault="00D72A94" w:rsidP="00D72A94">
      <w:pPr>
        <w:spacing w:line="360" w:lineRule="auto"/>
        <w:rPr>
          <w:rFonts w:eastAsia="Times New Roman" w:cs="Arial"/>
          <w:sz w:val="22"/>
          <w:szCs w:val="22"/>
          <w:lang w:val="es-ES_tradnl"/>
        </w:rPr>
      </w:pPr>
    </w:p>
    <w:p w14:paraId="1641B01F" w14:textId="77777777" w:rsidR="00D72A94" w:rsidRDefault="00D72A94" w:rsidP="00D72A94">
      <w:pPr>
        <w:pStyle w:val="Prrafodelista"/>
        <w:numPr>
          <w:ilvl w:val="0"/>
          <w:numId w:val="16"/>
        </w:numPr>
        <w:spacing w:line="360" w:lineRule="auto"/>
        <w:ind w:left="567" w:hanging="567"/>
        <w:rPr>
          <w:rFonts w:eastAsia="Times New Roman" w:cs="Arial"/>
          <w:sz w:val="22"/>
          <w:szCs w:val="22"/>
          <w:lang w:val="es-ES_tradnl"/>
        </w:rPr>
      </w:pPr>
      <w:r>
        <w:rPr>
          <w:rFonts w:eastAsia="Times New Roman" w:cs="Arial"/>
          <w:b/>
          <w:bCs/>
          <w:sz w:val="22"/>
          <w:szCs w:val="22"/>
          <w:lang w:val="es-ES_tradnl"/>
        </w:rPr>
        <w:t>Sentencia de la Sección 1ª de la Audiencia Provincial de León, núm. 426/2023, de 21 de julio:</w:t>
      </w:r>
    </w:p>
    <w:p w14:paraId="710E45E3" w14:textId="77777777" w:rsidR="00D72A94" w:rsidRDefault="00D72A94" w:rsidP="00D72A94">
      <w:pPr>
        <w:pStyle w:val="Prrafodelista"/>
        <w:spacing w:line="360" w:lineRule="auto"/>
        <w:ind w:left="567"/>
        <w:rPr>
          <w:rFonts w:eastAsia="Times New Roman" w:cs="Arial"/>
          <w:b/>
          <w:bCs/>
          <w:sz w:val="22"/>
          <w:szCs w:val="22"/>
          <w:lang w:val="es-ES_tradnl"/>
        </w:rPr>
      </w:pPr>
    </w:p>
    <w:p w14:paraId="4B9C113F" w14:textId="77777777" w:rsidR="00D72A94" w:rsidRDefault="00D72A94" w:rsidP="00D72A94">
      <w:pPr>
        <w:pStyle w:val="Prrafodelista"/>
        <w:spacing w:line="360" w:lineRule="auto"/>
        <w:ind w:left="851"/>
        <w:rPr>
          <w:rFonts w:eastAsia="Times New Roman" w:cs="Arial"/>
          <w:i/>
          <w:iCs/>
          <w:sz w:val="20"/>
          <w:szCs w:val="20"/>
          <w:lang w:val="es-ES"/>
        </w:rPr>
      </w:pPr>
      <w:r>
        <w:rPr>
          <w:rFonts w:eastAsia="Times New Roman" w:cs="Arial"/>
          <w:sz w:val="20"/>
          <w:szCs w:val="20"/>
          <w:lang w:val="es-ES"/>
        </w:rPr>
        <w:t>“</w:t>
      </w:r>
      <w:r>
        <w:rPr>
          <w:rFonts w:eastAsia="Times New Roman" w:cs="Arial"/>
          <w:i/>
          <w:iCs/>
          <w:sz w:val="20"/>
          <w:szCs w:val="20"/>
          <w:lang w:val="es-ES"/>
        </w:rPr>
        <w:t xml:space="preserve">Por todo lo expuesto, la declaración de usura ha de afectar al contrato de tarjeta </w:t>
      </w:r>
      <w:proofErr w:type="spellStart"/>
      <w:r>
        <w:rPr>
          <w:rFonts w:eastAsia="Times New Roman" w:cs="Arial"/>
          <w:i/>
          <w:iCs/>
          <w:sz w:val="20"/>
          <w:szCs w:val="20"/>
          <w:lang w:val="es-ES"/>
        </w:rPr>
        <w:t>bancopopular</w:t>
      </w:r>
      <w:proofErr w:type="spellEnd"/>
      <w:r>
        <w:rPr>
          <w:rFonts w:eastAsia="Times New Roman" w:cs="Arial"/>
          <w:i/>
          <w:iCs/>
          <w:sz w:val="20"/>
          <w:szCs w:val="20"/>
          <w:lang w:val="es-ES"/>
        </w:rPr>
        <w:t xml:space="preserve">-e hasta que se renovó el contrato con un nuevo tipo de interés a partir de marzo de 2020. Y la declaración de usura de la tarjeta </w:t>
      </w:r>
      <w:proofErr w:type="spellStart"/>
      <w:r>
        <w:rPr>
          <w:rFonts w:eastAsia="Times New Roman" w:cs="Arial"/>
          <w:i/>
          <w:iCs/>
          <w:sz w:val="20"/>
          <w:szCs w:val="20"/>
          <w:lang w:val="es-ES"/>
        </w:rPr>
        <w:t>Barclayscard</w:t>
      </w:r>
      <w:proofErr w:type="spellEnd"/>
      <w:r>
        <w:rPr>
          <w:rFonts w:eastAsia="Times New Roman" w:cs="Arial"/>
          <w:i/>
          <w:iCs/>
          <w:sz w:val="20"/>
          <w:szCs w:val="20"/>
          <w:lang w:val="es-ES"/>
        </w:rPr>
        <w:t xml:space="preserve"> se ha de aplicar a la modificación introducida en abril de 2018 y hasta que se modificación nuevamente la TAE a partir de marzo de 2020.</w:t>
      </w:r>
    </w:p>
    <w:p w14:paraId="3D4E7A6C" w14:textId="77777777" w:rsidR="00D72A94" w:rsidRDefault="00D72A94" w:rsidP="00D72A94">
      <w:pPr>
        <w:pStyle w:val="Prrafodelista"/>
        <w:spacing w:line="360" w:lineRule="auto"/>
        <w:ind w:left="851"/>
        <w:rPr>
          <w:rFonts w:eastAsia="Times New Roman" w:cs="Arial"/>
          <w:i/>
          <w:iCs/>
          <w:sz w:val="20"/>
          <w:szCs w:val="20"/>
          <w:lang w:val="es-ES"/>
        </w:rPr>
      </w:pPr>
    </w:p>
    <w:p w14:paraId="06BB6797" w14:textId="77777777" w:rsidR="00D72A94" w:rsidRDefault="00D72A94" w:rsidP="00D72A94">
      <w:pPr>
        <w:pStyle w:val="Prrafodelista"/>
        <w:spacing w:line="360" w:lineRule="auto"/>
        <w:ind w:left="851"/>
        <w:rPr>
          <w:rFonts w:eastAsia="Times New Roman" w:cs="Arial"/>
          <w:i/>
          <w:iCs/>
          <w:sz w:val="20"/>
          <w:szCs w:val="20"/>
          <w:lang w:val="es-ES"/>
        </w:rPr>
      </w:pPr>
      <w:r>
        <w:rPr>
          <w:rFonts w:eastAsia="Times New Roman" w:cs="Arial"/>
          <w:i/>
          <w:iCs/>
          <w:sz w:val="20"/>
          <w:szCs w:val="20"/>
          <w:lang w:val="es-ES"/>
        </w:rPr>
        <w:t>(…)</w:t>
      </w:r>
    </w:p>
    <w:p w14:paraId="5E81C3FA" w14:textId="77777777" w:rsidR="00D72A94" w:rsidRDefault="00D72A94" w:rsidP="00D72A94">
      <w:pPr>
        <w:pStyle w:val="Prrafodelista"/>
        <w:spacing w:line="360" w:lineRule="auto"/>
        <w:ind w:left="851"/>
        <w:rPr>
          <w:rFonts w:eastAsia="Times New Roman" w:cs="Arial"/>
          <w:i/>
          <w:iCs/>
          <w:sz w:val="20"/>
          <w:szCs w:val="20"/>
          <w:lang w:val="es-ES"/>
        </w:rPr>
      </w:pPr>
    </w:p>
    <w:p w14:paraId="33482989" w14:textId="77777777" w:rsidR="00D72A94" w:rsidRDefault="00D72A94" w:rsidP="00D72A94">
      <w:pPr>
        <w:pStyle w:val="Prrafodelista"/>
        <w:spacing w:line="360" w:lineRule="auto"/>
        <w:ind w:left="851"/>
        <w:rPr>
          <w:rFonts w:eastAsia="Times New Roman" w:cs="Arial"/>
          <w:sz w:val="20"/>
          <w:szCs w:val="20"/>
          <w:lang w:val="es-ES"/>
        </w:rPr>
      </w:pPr>
      <w:r>
        <w:rPr>
          <w:rFonts w:eastAsia="Times New Roman" w:cs="Arial"/>
          <w:i/>
          <w:iCs/>
          <w:sz w:val="20"/>
          <w:szCs w:val="20"/>
          <w:lang w:val="es-ES_tradnl"/>
        </w:rPr>
        <w:t xml:space="preserve">Y, en cuanto a las costas de la primera instancia, será de aplicación lo dispuesto por el artículo 394 de la LEC, conforme dispone el artículo 397 del mismo texto legal. </w:t>
      </w:r>
      <w:r>
        <w:rPr>
          <w:rFonts w:eastAsia="Times New Roman" w:cs="Arial"/>
          <w:b/>
          <w:bCs/>
          <w:i/>
          <w:iCs/>
          <w:sz w:val="20"/>
          <w:szCs w:val="20"/>
          <w:u w:val="single"/>
          <w:lang w:val="es-ES_tradnl"/>
        </w:rPr>
        <w:t>Al ser parcial la estimación de la demanda no procede condena al pago de las costas procesales generadas en la primera instancia</w:t>
      </w:r>
      <w:r>
        <w:rPr>
          <w:rFonts w:eastAsia="Times New Roman" w:cs="Arial"/>
          <w:sz w:val="20"/>
          <w:szCs w:val="20"/>
          <w:lang w:val="es-ES_tradnl"/>
        </w:rPr>
        <w:t xml:space="preserve">” </w:t>
      </w:r>
      <w:r>
        <w:rPr>
          <w:rFonts w:eastAsia="Times New Roman" w:cs="Arial"/>
          <w:sz w:val="20"/>
          <w:szCs w:val="20"/>
          <w:lang w:val="es-ES"/>
        </w:rPr>
        <w:t>[El subrayado y la negrita es nuestro].</w:t>
      </w:r>
    </w:p>
    <w:p w14:paraId="726E2CD5" w14:textId="77777777" w:rsidR="00D72A94" w:rsidRDefault="00D72A94" w:rsidP="00D72A94">
      <w:pPr>
        <w:spacing w:line="360" w:lineRule="auto"/>
        <w:rPr>
          <w:rFonts w:eastAsia="Times New Roman" w:cs="Arial"/>
          <w:sz w:val="22"/>
          <w:szCs w:val="22"/>
          <w:lang w:val="es-ES_tradnl"/>
        </w:rPr>
      </w:pPr>
    </w:p>
    <w:p w14:paraId="07BACCD6" w14:textId="77777777" w:rsidR="00D72A94" w:rsidRDefault="00D72A94" w:rsidP="00D72A94">
      <w:pPr>
        <w:pStyle w:val="Prrafodelista"/>
        <w:numPr>
          <w:ilvl w:val="0"/>
          <w:numId w:val="16"/>
        </w:numPr>
        <w:spacing w:line="360" w:lineRule="auto"/>
        <w:ind w:left="567" w:hanging="567"/>
        <w:rPr>
          <w:rFonts w:eastAsia="Times New Roman" w:cs="Arial"/>
          <w:sz w:val="22"/>
          <w:szCs w:val="22"/>
          <w:lang w:val="es-ES_tradnl"/>
        </w:rPr>
      </w:pPr>
      <w:r>
        <w:rPr>
          <w:rFonts w:eastAsia="Times New Roman" w:cs="Arial"/>
          <w:b/>
          <w:bCs/>
          <w:sz w:val="22"/>
          <w:szCs w:val="22"/>
          <w:lang w:val="es-ES_tradnl"/>
        </w:rPr>
        <w:t>Sentencia de la Sección 3ª de la Audiencia Provincial de A Coruña, núm. 282/2023, de 5 de julio (Rec. 293/2023):</w:t>
      </w:r>
    </w:p>
    <w:p w14:paraId="2450DF1F" w14:textId="77777777" w:rsidR="00D72A94" w:rsidRDefault="00D72A94" w:rsidP="00D72A94">
      <w:pPr>
        <w:pStyle w:val="Prrafodelista"/>
        <w:spacing w:line="360" w:lineRule="auto"/>
        <w:ind w:left="567"/>
        <w:rPr>
          <w:rFonts w:eastAsia="Times New Roman" w:cs="Arial"/>
          <w:b/>
          <w:bCs/>
          <w:sz w:val="22"/>
          <w:szCs w:val="22"/>
          <w:lang w:val="es-ES_tradnl"/>
        </w:rPr>
      </w:pPr>
    </w:p>
    <w:p w14:paraId="4D8C76A3" w14:textId="77777777" w:rsidR="00D72A94" w:rsidRDefault="00D72A94" w:rsidP="00D72A94">
      <w:pPr>
        <w:pStyle w:val="Prrafodelista"/>
        <w:spacing w:line="360" w:lineRule="auto"/>
        <w:ind w:left="851"/>
        <w:rPr>
          <w:rFonts w:eastAsia="Times New Roman" w:cs="Arial"/>
          <w:sz w:val="20"/>
          <w:szCs w:val="20"/>
          <w:lang w:val="es-ES"/>
        </w:rPr>
      </w:pPr>
      <w:r>
        <w:rPr>
          <w:rFonts w:eastAsia="Times New Roman" w:cs="Arial"/>
          <w:sz w:val="20"/>
          <w:szCs w:val="20"/>
          <w:lang w:val="es-ES"/>
        </w:rPr>
        <w:t>“</w:t>
      </w:r>
      <w:r>
        <w:rPr>
          <w:rFonts w:eastAsia="Times New Roman" w:cs="Arial"/>
          <w:i/>
          <w:iCs/>
          <w:sz w:val="20"/>
          <w:szCs w:val="20"/>
          <w:lang w:val="es-ES"/>
        </w:rPr>
        <w:t xml:space="preserve">Consecuencia de lo expuesto es que la demanda se estima solo parcialmente, en cuanto no se aprecia que concurra la usura desde el 21 de agosto de 2000 hasta la actualidad, como se solicitaba en la demanda, </w:t>
      </w:r>
      <w:r>
        <w:rPr>
          <w:rFonts w:eastAsia="Times New Roman" w:cs="Arial"/>
          <w:b/>
          <w:bCs/>
          <w:i/>
          <w:iCs/>
          <w:sz w:val="20"/>
          <w:szCs w:val="20"/>
          <w:u w:val="single"/>
          <w:lang w:val="es-ES"/>
        </w:rPr>
        <w:t>sino exclusivamente desde el 1 de enero de 2009 hasta el 17 de marzo de 2020. Estimación parcial que exonera de imponer las costas ocasionadas en la primera instancia</w:t>
      </w:r>
      <w:r>
        <w:rPr>
          <w:rFonts w:eastAsia="Times New Roman" w:cs="Arial"/>
          <w:i/>
          <w:iCs/>
          <w:sz w:val="20"/>
          <w:szCs w:val="20"/>
          <w:lang w:val="es-ES"/>
        </w:rPr>
        <w:t xml:space="preserve"> (artículo 394.2 de la Ley de Enjuiciamiento Civil)</w:t>
      </w:r>
      <w:r>
        <w:rPr>
          <w:rFonts w:eastAsia="Times New Roman" w:cs="Arial"/>
          <w:sz w:val="20"/>
          <w:szCs w:val="20"/>
          <w:lang w:val="es-ES"/>
        </w:rPr>
        <w:t>” [El subrayado y la negrita es nuestro].</w:t>
      </w:r>
    </w:p>
    <w:p w14:paraId="20B024E8" w14:textId="77777777" w:rsidR="00D72A94" w:rsidRDefault="00D72A94" w:rsidP="00D72A94">
      <w:pPr>
        <w:spacing w:line="360" w:lineRule="auto"/>
        <w:rPr>
          <w:rFonts w:eastAsia="Times New Roman" w:cs="Arial"/>
          <w:sz w:val="22"/>
          <w:szCs w:val="22"/>
          <w:lang w:val="es-ES_tradnl"/>
        </w:rPr>
      </w:pPr>
    </w:p>
    <w:p w14:paraId="20849C05" w14:textId="77777777" w:rsidR="00D72A94" w:rsidRDefault="00D72A94" w:rsidP="00D72A94">
      <w:pPr>
        <w:spacing w:line="360" w:lineRule="auto"/>
        <w:rPr>
          <w:rFonts w:eastAsia="Times New Roman" w:cs="Arial"/>
          <w:sz w:val="22"/>
          <w:szCs w:val="22"/>
          <w:lang w:val="es-ES_tradnl"/>
        </w:rPr>
      </w:pPr>
      <w:r>
        <w:rPr>
          <w:rFonts w:eastAsia="Times New Roman" w:cs="Arial"/>
          <w:sz w:val="22"/>
          <w:szCs w:val="22"/>
          <w:lang w:val="es-ES_tradnl"/>
        </w:rPr>
        <w:t>Por todo ello y, de forma subsidiaria, solicitamos la no imposición de costas de la primera instancia a mi representada por estimación parcial de la demanda.</w:t>
      </w:r>
    </w:p>
    <w:p w14:paraId="3652AFEC" w14:textId="1A622716" w:rsidR="00E72F21" w:rsidRDefault="00E72F21" w:rsidP="00D72A94">
      <w:pPr>
        <w:spacing w:after="210" w:line="360" w:lineRule="auto"/>
        <w:rPr>
          <w:lang w:val="es-ES_tradnl"/>
        </w:rPr>
      </w:pPr>
    </w:p>
    <w:p w14:paraId="636E636C" w14:textId="7A57D368" w:rsidR="00E72F21" w:rsidRPr="0035774E" w:rsidRDefault="00E72F21" w:rsidP="00550D3A">
      <w:pPr>
        <w:widowControl w:val="0"/>
        <w:spacing w:line="360" w:lineRule="auto"/>
        <w:jc w:val="center"/>
        <w:rPr>
          <w:rFonts w:eastAsia="Times New Roman" w:cs="Arial"/>
          <w:b/>
          <w:sz w:val="22"/>
          <w:szCs w:val="22"/>
          <w:lang w:val="es-ES_tradnl" w:eastAsia="es-ES"/>
        </w:rPr>
      </w:pPr>
      <w:r w:rsidRPr="0035774E">
        <w:rPr>
          <w:rFonts w:eastAsia="Times New Roman" w:cs="Arial"/>
          <w:b/>
          <w:sz w:val="22"/>
          <w:szCs w:val="22"/>
          <w:lang w:val="es-ES_tradnl" w:eastAsia="es-ES"/>
        </w:rPr>
        <w:lastRenderedPageBreak/>
        <w:t>*</w:t>
      </w:r>
      <w:r w:rsidRPr="0035774E">
        <w:rPr>
          <w:rFonts w:eastAsia="Times New Roman" w:cs="Arial"/>
          <w:b/>
          <w:sz w:val="22"/>
          <w:szCs w:val="22"/>
          <w:lang w:val="es-ES_tradnl" w:eastAsia="es-ES"/>
        </w:rPr>
        <w:tab/>
        <w:t>*</w:t>
      </w:r>
      <w:r w:rsidRPr="0035774E">
        <w:rPr>
          <w:rFonts w:eastAsia="Times New Roman" w:cs="Arial"/>
          <w:b/>
          <w:sz w:val="22"/>
          <w:szCs w:val="22"/>
          <w:lang w:val="es-ES_tradnl" w:eastAsia="es-ES"/>
        </w:rPr>
        <w:tab/>
        <w:t>*</w:t>
      </w:r>
    </w:p>
    <w:p w14:paraId="20DD93A4" w14:textId="462E62B9" w:rsidR="003B6B7F" w:rsidRDefault="003B6B7F" w:rsidP="003B6B7F">
      <w:pPr>
        <w:pStyle w:val="Prrafodelista"/>
        <w:widowControl w:val="0"/>
        <w:spacing w:line="360" w:lineRule="auto"/>
        <w:ind w:left="0"/>
        <w:rPr>
          <w:rFonts w:cs="Arial"/>
          <w:sz w:val="22"/>
          <w:szCs w:val="22"/>
          <w:lang w:val="es-ES_tradnl" w:eastAsia="ar-SA"/>
        </w:rPr>
      </w:pPr>
      <w:r>
        <w:rPr>
          <w:rFonts w:eastAsiaTheme="majorEastAsia" w:cs="Arial"/>
          <w:b/>
          <w:bCs/>
          <w:sz w:val="22"/>
          <w:szCs w:val="22"/>
          <w:lang w:val="es-ES_tradnl"/>
        </w:rPr>
        <w:t>SUPLICO AL JUZGADO PARA ANTE LA AUDIENCIA PROVINCIAL</w:t>
      </w:r>
      <w:r>
        <w:rPr>
          <w:rFonts w:eastAsiaTheme="majorEastAsia" w:cs="Arial"/>
          <w:sz w:val="22"/>
          <w:szCs w:val="22"/>
          <w:lang w:val="es-ES_tradnl"/>
        </w:rPr>
        <w:t>: que, teniendo por presentado este escrito, junto con sus copias, se sirva admitirlo y, en su virtud,</w:t>
      </w:r>
      <w:r>
        <w:rPr>
          <w:rFonts w:cs="Arial"/>
          <w:sz w:val="22"/>
          <w:szCs w:val="22"/>
          <w:lang w:val="es-ES_tradnl"/>
        </w:rPr>
        <w:t xml:space="preserve"> tenga por presentado </w:t>
      </w:r>
      <w:r>
        <w:rPr>
          <w:rFonts w:cs="Arial"/>
          <w:b/>
          <w:bCs/>
          <w:sz w:val="22"/>
          <w:szCs w:val="22"/>
          <w:lang w:val="es-ES_tradnl"/>
        </w:rPr>
        <w:t>RECURSO DE APELACIÓN</w:t>
      </w:r>
      <w:r>
        <w:rPr>
          <w:rFonts w:cs="Arial"/>
          <w:sz w:val="22"/>
          <w:szCs w:val="22"/>
          <w:lang w:val="es-ES_tradnl"/>
        </w:rPr>
        <w:t xml:space="preserve"> contra la </w:t>
      </w:r>
      <w:r w:rsidRPr="00877BEC">
        <w:rPr>
          <w:rFonts w:cs="Arial"/>
          <w:sz w:val="22"/>
          <w:szCs w:val="22"/>
          <w:lang w:val="es-ES_tradnl"/>
        </w:rPr>
        <w:t xml:space="preserve">Sentencia núm. </w:t>
      </w:r>
      <w:r>
        <w:rPr>
          <w:rFonts w:cs="Arial"/>
          <w:sz w:val="22"/>
          <w:szCs w:val="22"/>
          <w:highlight w:val="yellow"/>
          <w:lang w:val="es-ES_tradnl"/>
        </w:rPr>
        <w:fldChar w:fldCharType="begin"/>
      </w:r>
      <w:r>
        <w:rPr>
          <w:rFonts w:cs="Arial"/>
          <w:sz w:val="22"/>
          <w:szCs w:val="22"/>
          <w:highlight w:val="yellow"/>
          <w:lang w:val="es-ES_tradnl"/>
        </w:rPr>
        <w:instrText>persovalores_personalizable1347</w:instrText>
      </w:r>
      <w:r>
        <w:rPr>
          <w:rFonts w:cs="Arial"/>
          <w:sz w:val="22"/>
          <w:szCs w:val="22"/>
          <w:highlight w:val="yellow"/>
          <w:lang w:val="es-ES_tradnl"/>
        </w:rPr>
        <w:fldChar w:fldCharType="separate"/>
      </w:r>
      <w:r>
        <w:rPr>
          <w:rFonts w:cs="Arial"/>
          <w:noProof/>
          <w:sz w:val="22"/>
          <w:szCs w:val="22"/>
          <w:highlight w:val="yellow"/>
          <w:lang w:val="es-ES_tradnl"/>
        </w:rPr>
        <w:t>«RECURSOS_APELACION_Nº_Sentencia»</w:t>
      </w:r>
      <w:r>
        <w:rPr>
          <w:rFonts w:cs="Arial"/>
          <w:sz w:val="22"/>
          <w:szCs w:val="22"/>
          <w:highlight w:val="yellow"/>
          <w:lang w:val="es-ES_tradnl"/>
        </w:rPr>
        <w:fldChar w:fldCharType="end"/>
      </w:r>
      <w:r>
        <w:rPr>
          <w:rFonts w:cs="Arial"/>
          <w:sz w:val="22"/>
          <w:szCs w:val="22"/>
          <w:lang w:val="es-ES_tradnl"/>
        </w:rPr>
        <w:t xml:space="preserve">, de </w:t>
      </w:r>
      <w:r>
        <w:rPr>
          <w:rFonts w:cs="Arial"/>
          <w:sz w:val="22"/>
          <w:szCs w:val="22"/>
          <w:highlight w:val="yellow"/>
          <w:lang w:val="es-ES_tradnl"/>
        </w:rPr>
        <w:fldChar w:fldCharType="begin"/>
      </w:r>
      <w:r>
        <w:rPr>
          <w:rFonts w:cs="Arial"/>
          <w:sz w:val="22"/>
          <w:szCs w:val="22"/>
          <w:highlight w:val="yellow"/>
          <w:lang w:val="es-ES_tradnl"/>
        </w:rPr>
        <w:instrText>persovalores_personalizable1348</w:instrText>
      </w:r>
      <w:r>
        <w:rPr>
          <w:rFonts w:cs="Arial"/>
          <w:sz w:val="22"/>
          <w:szCs w:val="22"/>
          <w:highlight w:val="yellow"/>
          <w:lang w:val="es-ES_tradnl"/>
        </w:rPr>
        <w:fldChar w:fldCharType="separate"/>
      </w:r>
      <w:r>
        <w:rPr>
          <w:rFonts w:cs="Arial"/>
          <w:noProof/>
          <w:sz w:val="22"/>
          <w:szCs w:val="22"/>
          <w:highlight w:val="yellow"/>
          <w:lang w:val="es-ES_tradnl"/>
        </w:rPr>
        <w:t>«RECURSOS_APELACION_Fecha_Sentencia»</w:t>
      </w:r>
      <w:r>
        <w:rPr>
          <w:rFonts w:cs="Arial"/>
          <w:sz w:val="22"/>
          <w:szCs w:val="22"/>
          <w:highlight w:val="yellow"/>
          <w:lang w:val="es-ES_tradnl"/>
        </w:rPr>
        <w:fldChar w:fldCharType="end"/>
      </w:r>
      <w:r>
        <w:rPr>
          <w:rFonts w:cs="Arial"/>
          <w:sz w:val="22"/>
          <w:szCs w:val="22"/>
          <w:lang w:val="es-ES_tradnl"/>
        </w:rPr>
        <w:t xml:space="preserve">, dictada por el </w:t>
      </w:r>
      <w:r>
        <w:rPr>
          <w:rFonts w:cs="Arial"/>
          <w:sz w:val="22"/>
          <w:szCs w:val="22"/>
          <w:lang w:val="es-ES_tradnl"/>
        </w:rPr>
        <w:fldChar w:fldCharType="begin"/>
      </w:r>
      <w:r>
        <w:rPr>
          <w:rFonts w:cs="Arial"/>
          <w:sz w:val="22"/>
          <w:szCs w:val="22"/>
          <w:lang w:val="es-ES_tradnl"/>
        </w:rPr>
        <w:instrText>juzgado_juzgado__1</w:instrText>
      </w:r>
      <w:r>
        <w:rPr>
          <w:rFonts w:cs="Arial"/>
          <w:sz w:val="22"/>
          <w:szCs w:val="22"/>
          <w:lang w:val="es-ES_tradnl"/>
        </w:rPr>
        <w:fldChar w:fldCharType="separate"/>
      </w:r>
      <w:r>
        <w:rPr>
          <w:rFonts w:cs="Arial"/>
          <w:noProof/>
          <w:sz w:val="22"/>
          <w:szCs w:val="22"/>
          <w:lang w:val="es-ES_tradnl"/>
        </w:rPr>
        <w:t>«Juzgados_Nombre»</w:t>
      </w:r>
      <w:r>
        <w:rPr>
          <w:rFonts w:cs="Arial"/>
          <w:sz w:val="22"/>
          <w:szCs w:val="22"/>
          <w:lang w:val="es-ES_tradnl"/>
        </w:rPr>
        <w:fldChar w:fldCharType="end"/>
      </w:r>
      <w:r>
        <w:rPr>
          <w:rFonts w:cs="Arial"/>
          <w:sz w:val="22"/>
          <w:szCs w:val="22"/>
          <w:lang w:val="es-ES_tradnl"/>
        </w:rPr>
        <w:t xml:space="preserve"> </w:t>
      </w:r>
      <w:r>
        <w:rPr>
          <w:rFonts w:cs="Arial"/>
          <w:sz w:val="22"/>
          <w:szCs w:val="22"/>
          <w:lang w:val="es-ES_tradnl"/>
        </w:rPr>
        <w:t xml:space="preserve">y que, cumplidos los trámites procedentes, remita los autos a la Audiencia Provincial </w:t>
      </w:r>
      <w:r w:rsidRPr="00877BEC">
        <w:rPr>
          <w:rFonts w:cs="Arial"/>
          <w:sz w:val="22"/>
          <w:szCs w:val="22"/>
          <w:highlight w:val="yellow"/>
          <w:lang w:val="es-ES_tradnl"/>
        </w:rPr>
        <w:t>X</w:t>
      </w:r>
      <w:r>
        <w:rPr>
          <w:rFonts w:cs="Arial"/>
          <w:sz w:val="22"/>
          <w:szCs w:val="22"/>
          <w:lang w:val="es-ES_tradnl"/>
        </w:rPr>
        <w:t>, para la sustanciación del recurso de apelación, y</w:t>
      </w:r>
      <w:r>
        <w:rPr>
          <w:rFonts w:cs="Arial"/>
          <w:b/>
          <w:sz w:val="22"/>
          <w:szCs w:val="22"/>
          <w:lang w:val="es-ES_tradnl"/>
        </w:rPr>
        <w:t xml:space="preserve"> </w:t>
      </w:r>
      <w:r w:rsidRPr="00877BEC">
        <w:rPr>
          <w:rFonts w:cs="Arial"/>
          <w:bCs/>
          <w:sz w:val="22"/>
          <w:szCs w:val="22"/>
          <w:lang w:val="es-ES_tradnl"/>
        </w:rPr>
        <w:t>que la misma</w:t>
      </w:r>
      <w:r>
        <w:rPr>
          <w:rFonts w:cs="Arial"/>
          <w:b/>
          <w:sz w:val="22"/>
          <w:szCs w:val="22"/>
          <w:lang w:val="es-ES_tradnl"/>
        </w:rPr>
        <w:t xml:space="preserve"> </w:t>
      </w:r>
      <w:r>
        <w:rPr>
          <w:rFonts w:cs="Arial"/>
          <w:sz w:val="22"/>
          <w:szCs w:val="22"/>
          <w:lang w:val="es-ES_tradnl"/>
        </w:rPr>
        <w:t>dicte Sentencia que estime íntegramente el recurso de apelación presentado por esta parte con condena en costas a la parte Recurrida en caso de que se oponga a este recurso.</w:t>
      </w:r>
    </w:p>
    <w:p w14:paraId="6F75C80D" w14:textId="77777777" w:rsidR="003B6B7F" w:rsidRDefault="003B6B7F" w:rsidP="003B6B7F">
      <w:pPr>
        <w:pStyle w:val="Prrafodelista"/>
        <w:widowControl w:val="0"/>
        <w:spacing w:line="360" w:lineRule="auto"/>
        <w:ind w:left="0"/>
        <w:rPr>
          <w:rFonts w:cs="Arial"/>
          <w:sz w:val="22"/>
          <w:szCs w:val="22"/>
          <w:lang w:val="es-ES_tradnl"/>
        </w:rPr>
      </w:pPr>
    </w:p>
    <w:p w14:paraId="355AE849" w14:textId="77777777" w:rsidR="00E72F21" w:rsidRDefault="00E72F21" w:rsidP="00E72F21">
      <w:pPr>
        <w:pStyle w:val="Prrafodelista"/>
        <w:widowControl w:val="0"/>
        <w:spacing w:line="360" w:lineRule="auto"/>
        <w:ind w:left="0"/>
        <w:rPr>
          <w:rFonts w:cs="Arial"/>
          <w:sz w:val="22"/>
          <w:szCs w:val="22"/>
          <w:lang w:val="es-ES_tradnl"/>
        </w:rPr>
      </w:pPr>
    </w:p>
    <w:p w14:paraId="7B8E1068" w14:textId="77777777" w:rsidR="00E72F21" w:rsidRDefault="00E72F21" w:rsidP="00E72F21">
      <w:pPr>
        <w:pStyle w:val="Prrafodelista"/>
        <w:widowControl w:val="0"/>
        <w:spacing w:line="360" w:lineRule="auto"/>
        <w:ind w:left="0"/>
        <w:rPr>
          <w:rFonts w:cs="Arial"/>
          <w:sz w:val="22"/>
          <w:szCs w:val="22"/>
          <w:lang w:val="es-ES_tradnl"/>
        </w:rPr>
      </w:pPr>
      <w:r>
        <w:rPr>
          <w:rFonts w:cs="Arial"/>
          <w:sz w:val="22"/>
          <w:szCs w:val="22"/>
          <w:lang w:val="es-ES_tradnl"/>
        </w:rPr>
        <w:t xml:space="preserve">Es justicia. </w:t>
      </w:r>
    </w:p>
    <w:p w14:paraId="78D3DA9C" w14:textId="77777777" w:rsidR="00230B2A" w:rsidRDefault="00230B2A" w:rsidP="00E72F21">
      <w:pPr>
        <w:pStyle w:val="Prrafodelista"/>
        <w:widowControl w:val="0"/>
        <w:spacing w:line="360" w:lineRule="auto"/>
        <w:ind w:left="0"/>
        <w:rPr>
          <w:rFonts w:cs="Arial"/>
          <w:sz w:val="22"/>
          <w:szCs w:val="22"/>
          <w:lang w:val="es-ES_tradnl" w:eastAsia="ar-SA"/>
        </w:rPr>
      </w:pPr>
    </w:p>
    <w:p w14:paraId="14186876" w14:textId="77777777" w:rsidR="00E72F21" w:rsidRDefault="00E72F21" w:rsidP="00E72F21">
      <w:pPr>
        <w:widowControl w:val="0"/>
        <w:spacing w:line="360" w:lineRule="auto"/>
        <w:jc w:val="center"/>
        <w:rPr>
          <w:rFonts w:eastAsia="Times New Roman" w:cs="Arial"/>
          <w:b/>
          <w:sz w:val="22"/>
          <w:szCs w:val="22"/>
          <w:lang w:val="es-ES_tradnl" w:eastAsia="es-ES"/>
        </w:rPr>
      </w:pPr>
      <w:r>
        <w:rPr>
          <w:rFonts w:eastAsia="Times New Roman" w:cs="Arial"/>
          <w:b/>
          <w:sz w:val="22"/>
          <w:szCs w:val="22"/>
          <w:lang w:val="es-ES_tradnl" w:eastAsia="es-ES"/>
        </w:rPr>
        <w:t>*</w:t>
      </w:r>
      <w:r>
        <w:rPr>
          <w:rFonts w:eastAsia="Times New Roman" w:cs="Arial"/>
          <w:b/>
          <w:sz w:val="22"/>
          <w:szCs w:val="22"/>
          <w:lang w:val="es-ES_tradnl" w:eastAsia="es-ES"/>
        </w:rPr>
        <w:tab/>
        <w:t>*</w:t>
      </w:r>
      <w:r>
        <w:rPr>
          <w:rFonts w:eastAsia="Times New Roman" w:cs="Arial"/>
          <w:b/>
          <w:sz w:val="22"/>
          <w:szCs w:val="22"/>
          <w:lang w:val="es-ES_tradnl" w:eastAsia="es-ES"/>
        </w:rPr>
        <w:tab/>
        <w:t>*</w:t>
      </w:r>
    </w:p>
    <w:p w14:paraId="468F13EB" w14:textId="77777777" w:rsidR="00230B2A" w:rsidRDefault="00230B2A" w:rsidP="003B6B7F">
      <w:pPr>
        <w:widowControl w:val="0"/>
        <w:spacing w:line="360" w:lineRule="auto"/>
        <w:rPr>
          <w:rFonts w:eastAsia="Times New Roman" w:cs="Arial"/>
          <w:b/>
          <w:sz w:val="22"/>
          <w:szCs w:val="22"/>
          <w:lang w:val="es-ES_tradnl" w:eastAsia="es-ES"/>
        </w:rPr>
      </w:pPr>
    </w:p>
    <w:p w14:paraId="076C21F4" w14:textId="77777777" w:rsidR="00E72F21" w:rsidRDefault="00E72F21" w:rsidP="00E72F21">
      <w:pPr>
        <w:widowControl w:val="0"/>
        <w:spacing w:line="360" w:lineRule="auto"/>
        <w:rPr>
          <w:rFonts w:cs="Arial"/>
          <w:sz w:val="22"/>
          <w:szCs w:val="22"/>
          <w:lang w:val="es-ES_tradnl"/>
        </w:rPr>
      </w:pPr>
      <w:r>
        <w:rPr>
          <w:rFonts w:eastAsia="Times New Roman" w:cs="Arial"/>
          <w:b/>
          <w:caps/>
          <w:sz w:val="22"/>
          <w:szCs w:val="22"/>
          <w:u w:val="single"/>
          <w:lang w:val="es-ES_tradnl" w:eastAsia="es-ES"/>
        </w:rPr>
        <w:t>otrosí digo</w:t>
      </w:r>
      <w:r>
        <w:rPr>
          <w:rFonts w:eastAsia="Times New Roman" w:cs="Arial"/>
          <w:sz w:val="22"/>
          <w:szCs w:val="22"/>
          <w:lang w:val="es-ES_tradnl" w:eastAsia="es-ES"/>
        </w:rPr>
        <w:t xml:space="preserve">: que </w:t>
      </w:r>
      <w:r>
        <w:rPr>
          <w:rFonts w:cs="Arial"/>
          <w:sz w:val="22"/>
          <w:szCs w:val="22"/>
          <w:lang w:val="es-ES_tradnl"/>
        </w:rPr>
        <w:t>esta representación ha intentado cumplir minuciosa y fielmente con los requisitos exigidos por la LEC que defecto en que se pudiera haber incurrido conforme a lo dispuesto en los puedan resultar aplicables, tanto en lo relativo al fondo como en la forma, poniéndose de manifiesto expresamente la voluntad de esta parte de subsanar cualquier arts. 243 de la LOPJ y 231 de la LEC.</w:t>
      </w:r>
    </w:p>
    <w:p w14:paraId="5A5F5220" w14:textId="77777777" w:rsidR="00E72F21" w:rsidRDefault="00E72F21" w:rsidP="00E72F21">
      <w:pPr>
        <w:widowControl w:val="0"/>
        <w:spacing w:line="360" w:lineRule="auto"/>
        <w:rPr>
          <w:rFonts w:eastAsia="Times New Roman" w:cs="Arial"/>
          <w:sz w:val="22"/>
          <w:szCs w:val="22"/>
          <w:lang w:val="es-ES_tradnl" w:eastAsia="es-ES"/>
        </w:rPr>
      </w:pPr>
      <w:r>
        <w:rPr>
          <w:rFonts w:eastAsia="Times New Roman" w:cs="Arial"/>
          <w:sz w:val="22"/>
          <w:szCs w:val="22"/>
          <w:lang w:val="es-ES_tradnl" w:eastAsia="es-ES"/>
        </w:rPr>
        <w:t>Por lo expuesto</w:t>
      </w:r>
    </w:p>
    <w:p w14:paraId="15DE7037" w14:textId="77777777" w:rsidR="00E72F21" w:rsidRDefault="00E72F21" w:rsidP="00E72F21">
      <w:pPr>
        <w:widowControl w:val="0"/>
        <w:spacing w:line="360" w:lineRule="auto"/>
        <w:rPr>
          <w:rFonts w:eastAsia="Times New Roman" w:cs="Arial"/>
          <w:b/>
          <w:caps/>
          <w:sz w:val="22"/>
          <w:szCs w:val="22"/>
          <w:u w:val="single"/>
          <w:lang w:val="es-ES_tradnl" w:eastAsia="es-ES"/>
        </w:rPr>
      </w:pPr>
    </w:p>
    <w:p w14:paraId="75CFB8A5" w14:textId="77777777" w:rsidR="003B6B7F" w:rsidRDefault="003B6B7F" w:rsidP="003B6B7F">
      <w:pPr>
        <w:widowControl w:val="0"/>
        <w:spacing w:line="360" w:lineRule="auto"/>
        <w:rPr>
          <w:rFonts w:cs="Arial"/>
          <w:sz w:val="22"/>
          <w:szCs w:val="22"/>
          <w:lang w:val="es-ES_tradnl"/>
        </w:rPr>
      </w:pPr>
      <w:r>
        <w:rPr>
          <w:rFonts w:eastAsia="Times New Roman" w:cs="Arial"/>
          <w:b/>
          <w:caps/>
          <w:sz w:val="22"/>
          <w:szCs w:val="22"/>
          <w:u w:val="single"/>
          <w:lang w:val="es-ES_tradnl" w:eastAsia="es-ES"/>
        </w:rPr>
        <w:t>suplico al Juzgado para ante la audiencia</w:t>
      </w:r>
      <w:r>
        <w:rPr>
          <w:rFonts w:eastAsia="Times New Roman" w:cs="Arial"/>
          <w:caps/>
          <w:sz w:val="22"/>
          <w:szCs w:val="22"/>
          <w:lang w:val="es-ES_tradnl" w:eastAsia="es-ES"/>
        </w:rPr>
        <w:t xml:space="preserve">: </w:t>
      </w:r>
      <w:r>
        <w:rPr>
          <w:rFonts w:cs="Arial"/>
          <w:sz w:val="22"/>
          <w:szCs w:val="22"/>
          <w:lang w:val="es-ES_tradnl"/>
        </w:rPr>
        <w:t>que tenga por hecha la manifestación anterior a los efectos legales oportunos.</w:t>
      </w:r>
    </w:p>
    <w:p w14:paraId="054E0F38" w14:textId="77777777" w:rsidR="00E72F21" w:rsidRDefault="00E72F21" w:rsidP="00E72F21">
      <w:pPr>
        <w:widowControl w:val="0"/>
        <w:spacing w:line="360" w:lineRule="auto"/>
        <w:rPr>
          <w:rFonts w:cs="Arial"/>
          <w:sz w:val="22"/>
          <w:szCs w:val="22"/>
          <w:lang w:val="es-ES_tradnl"/>
        </w:rPr>
      </w:pPr>
    </w:p>
    <w:p w14:paraId="1EAA82F4" w14:textId="77777777" w:rsidR="00E72F21" w:rsidRDefault="00E72F21" w:rsidP="00E72F21">
      <w:pPr>
        <w:widowControl w:val="0"/>
        <w:spacing w:line="360" w:lineRule="auto"/>
        <w:rPr>
          <w:rFonts w:eastAsia="Times New Roman" w:cs="Arial"/>
          <w:sz w:val="22"/>
          <w:szCs w:val="22"/>
          <w:lang w:val="es-ES_tradnl" w:eastAsia="es-ES"/>
        </w:rPr>
      </w:pPr>
      <w:r>
        <w:rPr>
          <w:rFonts w:eastAsia="Times New Roman" w:cs="Arial"/>
          <w:sz w:val="22"/>
          <w:szCs w:val="22"/>
          <w:lang w:val="es-ES_tradnl" w:eastAsia="es-ES"/>
        </w:rPr>
        <w:t>Es Justicia.</w:t>
      </w:r>
    </w:p>
    <w:p w14:paraId="0E6E998B" w14:textId="77777777" w:rsidR="00E72F21" w:rsidRPr="0035774E" w:rsidRDefault="00E72F21" w:rsidP="00E72F21">
      <w:pPr>
        <w:widowControl w:val="0"/>
        <w:spacing w:line="360" w:lineRule="auto"/>
        <w:rPr>
          <w:rFonts w:eastAsia="Times New Roman" w:cs="Arial"/>
          <w:sz w:val="22"/>
          <w:szCs w:val="22"/>
          <w:lang w:val="es-ES_tradnl" w:eastAsia="es-ES"/>
        </w:rPr>
      </w:pPr>
    </w:p>
    <w:p w14:paraId="14BF1C6A" w14:textId="09C5E1D0" w:rsidR="00E72F21" w:rsidRDefault="00E72F21" w:rsidP="00E72F21">
      <w:pPr>
        <w:widowControl w:val="0"/>
        <w:spacing w:line="360" w:lineRule="auto"/>
        <w:rPr>
          <w:rFonts w:cs="Arial"/>
          <w:sz w:val="22"/>
          <w:szCs w:val="22"/>
          <w:lang w:val="es-ES_tradnl"/>
        </w:rPr>
      </w:pPr>
      <w:r w:rsidRPr="0035774E">
        <w:rPr>
          <w:rFonts w:cs="Arial"/>
          <w:sz w:val="22"/>
          <w:szCs w:val="22"/>
          <w:lang w:val="es-ES_tradnl"/>
        </w:rPr>
        <w:t xml:space="preserve">En </w:t>
      </w:r>
      <w:r w:rsidR="00103EFB">
        <w:rPr>
          <w:rFonts w:cs="Arial"/>
          <w:sz w:val="22"/>
          <w:szCs w:val="22"/>
          <w:highlight w:val="yellow"/>
          <w:lang w:val="es-ES_tradnl"/>
        </w:rPr>
        <w:fldChar w:fldCharType="begin"/>
      </w:r>
      <w:r w:rsidR="00103EFB">
        <w:rPr>
          <w:rFonts w:cs="Arial"/>
          <w:sz w:val="22"/>
          <w:szCs w:val="22"/>
          <w:highlight w:val="yellow"/>
          <w:lang w:val="es-ES_tradnl"/>
        </w:rPr>
        <w:instrText>juzgado_poblacionjuz__1</w:instrText>
      </w:r>
      <w:r w:rsidR="00103EFB">
        <w:rPr>
          <w:rFonts w:cs="Arial"/>
          <w:sz w:val="22"/>
          <w:szCs w:val="22"/>
          <w:highlight w:val="yellow"/>
          <w:lang w:val="es-ES_tradnl"/>
        </w:rPr>
        <w:fldChar w:fldCharType="separate"/>
      </w:r>
      <w:r w:rsidR="00103EFB">
        <w:rPr>
          <w:rFonts w:cs="Arial"/>
          <w:noProof/>
          <w:sz w:val="22"/>
          <w:szCs w:val="22"/>
          <w:highlight w:val="yellow"/>
          <w:lang w:val="es-ES_tradnl"/>
        </w:rPr>
        <w:t>«Juzgados_Población»</w:t>
      </w:r>
      <w:r w:rsidR="00103EFB">
        <w:rPr>
          <w:rFonts w:cs="Arial"/>
          <w:sz w:val="22"/>
          <w:szCs w:val="22"/>
          <w:highlight w:val="yellow"/>
          <w:lang w:val="es-ES_tradnl"/>
        </w:rPr>
        <w:fldChar w:fldCharType="end"/>
      </w:r>
      <w:r w:rsidRPr="0035774E">
        <w:rPr>
          <w:rFonts w:cs="Arial"/>
          <w:sz w:val="22"/>
          <w:szCs w:val="22"/>
          <w:lang w:val="es-ES_tradnl"/>
        </w:rPr>
        <w:t xml:space="preserve">, a </w:t>
      </w:r>
      <w:r w:rsidR="001B08F5">
        <w:rPr>
          <w:rFonts w:cs="Arial"/>
          <w:sz w:val="22"/>
          <w:szCs w:val="22"/>
          <w:highlight w:val="yellow"/>
          <w:lang w:val="es-ES_tradnl"/>
        </w:rPr>
        <w:fldChar w:fldCharType="begin"/>
      </w:r>
      <w:r w:rsidR="001B08F5">
        <w:rPr>
          <w:rFonts w:cs="Arial"/>
          <w:sz w:val="22"/>
          <w:szCs w:val="22"/>
          <w:highlight w:val="yellow"/>
          <w:lang w:val="es-ES_tradnl"/>
        </w:rPr>
        <w:instrText>director_fechaimpresionlarga</w:instrText>
      </w:r>
      <w:r w:rsidR="001B08F5">
        <w:rPr>
          <w:rFonts w:cs="Arial"/>
          <w:sz w:val="22"/>
          <w:szCs w:val="22"/>
          <w:highlight w:val="yellow"/>
          <w:lang w:val="es-ES_tradnl"/>
        </w:rPr>
        <w:fldChar w:fldCharType="separate"/>
      </w:r>
      <w:r w:rsidR="001B08F5">
        <w:rPr>
          <w:rFonts w:cs="Arial"/>
          <w:noProof/>
          <w:sz w:val="22"/>
          <w:szCs w:val="22"/>
          <w:highlight w:val="yellow"/>
          <w:lang w:val="es-ES_tradnl"/>
        </w:rPr>
        <w:t>«Empresa_Fecha_Impresión_Larga»</w:t>
      </w:r>
      <w:r w:rsidR="001B08F5">
        <w:rPr>
          <w:rFonts w:cs="Arial"/>
          <w:sz w:val="22"/>
          <w:szCs w:val="22"/>
          <w:highlight w:val="yellow"/>
          <w:lang w:val="es-ES_tradnl"/>
        </w:rPr>
        <w:fldChar w:fldCharType="end"/>
      </w:r>
    </w:p>
    <w:p w14:paraId="02B1CC67" w14:textId="77777777" w:rsidR="00E72F21" w:rsidRDefault="00E72F21" w:rsidP="00E72F21">
      <w:pPr>
        <w:widowControl w:val="0"/>
        <w:spacing w:line="360" w:lineRule="auto"/>
        <w:rPr>
          <w:rFonts w:cs="Arial"/>
          <w:sz w:val="22"/>
          <w:szCs w:val="22"/>
          <w:lang w:val="es-ES_tradnl"/>
        </w:rPr>
      </w:pPr>
    </w:p>
    <w:p w14:paraId="405688C9" w14:textId="77777777" w:rsidR="00E72F21" w:rsidRDefault="00E72F21" w:rsidP="00E72F21">
      <w:pPr>
        <w:widowControl w:val="0"/>
        <w:spacing w:line="360" w:lineRule="auto"/>
        <w:rPr>
          <w:rFonts w:cs="Arial"/>
          <w:sz w:val="22"/>
          <w:szCs w:val="22"/>
          <w:lang w:val="es-ES_tradnl"/>
        </w:rPr>
      </w:pPr>
    </w:p>
    <w:p w14:paraId="19408182" w14:textId="77777777" w:rsidR="00B60218" w:rsidRDefault="00B60218" w:rsidP="00E72F21">
      <w:pPr>
        <w:widowControl w:val="0"/>
        <w:spacing w:line="360" w:lineRule="auto"/>
        <w:rPr>
          <w:rFonts w:cs="Arial"/>
          <w:sz w:val="22"/>
          <w:szCs w:val="22"/>
          <w:lang w:val="es-ES_tradnl"/>
        </w:rPr>
      </w:pPr>
    </w:p>
    <w:p w14:paraId="0F47F553" w14:textId="77777777" w:rsidR="00B60218" w:rsidRDefault="00E72F21" w:rsidP="00550D3A">
      <w:pPr>
        <w:widowControl w:val="0"/>
        <w:spacing w:line="360" w:lineRule="auto"/>
        <w:rPr>
          <w:rFonts w:cs="Arial"/>
          <w:sz w:val="22"/>
          <w:szCs w:val="22"/>
          <w:lang w:val="pt-PT"/>
        </w:rPr>
      </w:pPr>
      <w:r w:rsidRPr="00836287">
        <w:rPr>
          <w:rFonts w:cs="Arial"/>
          <w:sz w:val="22"/>
          <w:szCs w:val="22"/>
          <w:lang w:val="pt-PT"/>
        </w:rPr>
        <w:t>Aitana Bermúdez Bermúdez</w:t>
      </w:r>
      <w:r w:rsidRPr="00836287">
        <w:rPr>
          <w:rFonts w:cs="Arial"/>
          <w:sz w:val="22"/>
          <w:szCs w:val="22"/>
          <w:lang w:val="pt-PT"/>
        </w:rPr>
        <w:tab/>
      </w:r>
      <w:r w:rsidRPr="00836287">
        <w:rPr>
          <w:rFonts w:cs="Arial"/>
          <w:sz w:val="22"/>
          <w:szCs w:val="22"/>
          <w:lang w:val="pt-PT"/>
        </w:rPr>
        <w:tab/>
      </w:r>
      <w:r w:rsidRPr="00836287">
        <w:rPr>
          <w:rFonts w:cs="Arial"/>
          <w:sz w:val="22"/>
          <w:szCs w:val="22"/>
          <w:lang w:val="pt-PT"/>
        </w:rPr>
        <w:tab/>
      </w:r>
      <w:r w:rsidRPr="00836287">
        <w:rPr>
          <w:rFonts w:cs="Arial"/>
          <w:sz w:val="22"/>
          <w:szCs w:val="22"/>
          <w:lang w:val="pt-PT"/>
        </w:rPr>
        <w:tab/>
      </w:r>
      <w:r w:rsidR="00B60218" w:rsidRPr="00B60218">
        <w:rPr>
          <w:rFonts w:cs="Arial"/>
          <w:sz w:val="22"/>
          <w:szCs w:val="22"/>
          <w:highlight w:val="yellow"/>
          <w:lang w:val="pt-PT"/>
        </w:rPr>
        <w:fldChar w:fldCharType="begin"/>
      </w:r>
      <w:r w:rsidR="00B60218" w:rsidRPr="00B60218">
        <w:rPr>
          <w:rFonts w:cs="Arial"/>
          <w:sz w:val="22"/>
          <w:szCs w:val="22"/>
          <w:highlight w:val="yellow"/>
          <w:lang w:val="pt-PT"/>
        </w:rPr>
        <w:instrText>procpro_snombrepro__1</w:instrText>
      </w:r>
      <w:r w:rsidR="00B60218" w:rsidRPr="00B60218">
        <w:rPr>
          <w:rFonts w:cs="Arial"/>
          <w:sz w:val="22"/>
          <w:szCs w:val="22"/>
          <w:highlight w:val="yellow"/>
          <w:lang w:val="pt-PT"/>
        </w:rPr>
        <w:fldChar w:fldCharType="separate"/>
      </w:r>
      <w:r w:rsidR="00B60218" w:rsidRPr="00B60218">
        <w:rPr>
          <w:rFonts w:cs="Arial"/>
          <w:noProof/>
          <w:sz w:val="22"/>
          <w:szCs w:val="22"/>
          <w:highlight w:val="yellow"/>
          <w:lang w:val="pt-PT"/>
        </w:rPr>
        <w:t>«Procuradores_Propios_Nombre»</w:t>
      </w:r>
      <w:r w:rsidR="00B60218" w:rsidRPr="00B60218">
        <w:rPr>
          <w:rFonts w:cs="Arial"/>
          <w:sz w:val="22"/>
          <w:szCs w:val="22"/>
          <w:highlight w:val="yellow"/>
          <w:lang w:val="pt-PT"/>
        </w:rPr>
        <w:fldChar w:fldCharType="end"/>
      </w:r>
    </w:p>
    <w:p w14:paraId="1A413A45" w14:textId="6FD31134" w:rsidR="00FA0BBA" w:rsidRPr="00550D3A" w:rsidRDefault="00E72F21" w:rsidP="00550D3A">
      <w:pPr>
        <w:widowControl w:val="0"/>
        <w:spacing w:line="360" w:lineRule="auto"/>
        <w:rPr>
          <w:rFonts w:cs="Arial"/>
          <w:sz w:val="22"/>
          <w:szCs w:val="22"/>
          <w:lang w:val="es-ES_tradnl"/>
        </w:rPr>
      </w:pPr>
      <w:r>
        <w:rPr>
          <w:rFonts w:cs="Arial"/>
          <w:sz w:val="22"/>
          <w:szCs w:val="22"/>
          <w:lang w:val="es-ES_tradnl"/>
        </w:rPr>
        <w:t xml:space="preserve">Por mi compañero: </w:t>
      </w:r>
    </w:p>
    <w:sectPr w:rsidR="00FA0BBA" w:rsidRPr="00550D3A" w:rsidSect="00701630">
      <w:headerReference w:type="default" r:id="rId12"/>
      <w:footerReference w:type="default" r:id="rId13"/>
      <w:footerReference w:type="first" r:id="rId14"/>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939704" w14:textId="77777777" w:rsidR="00701630" w:rsidRDefault="00701630">
      <w:pPr>
        <w:spacing w:line="240" w:lineRule="auto"/>
      </w:pPr>
      <w:r>
        <w:separator/>
      </w:r>
    </w:p>
  </w:endnote>
  <w:endnote w:type="continuationSeparator" w:id="0">
    <w:p w14:paraId="2BB75873" w14:textId="77777777" w:rsidR="00701630" w:rsidRDefault="007016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ld">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13A50" w14:textId="77777777" w:rsidR="009D452F" w:rsidRDefault="009D452F" w:rsidP="00325E49">
    <w:pPr>
      <w:pStyle w:val="Piedepgina"/>
    </w:pPr>
  </w:p>
  <w:p w14:paraId="1A413A51" w14:textId="77777777" w:rsidR="009D452F" w:rsidRDefault="009D452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13A58" w14:textId="77777777" w:rsidR="009D452F" w:rsidRPr="005D7B4B" w:rsidRDefault="009D452F" w:rsidP="005D7B4B">
    <w:pPr>
      <w:pStyle w:val="Piedepgina"/>
    </w:pPr>
  </w:p>
  <w:p w14:paraId="1A413A59" w14:textId="77777777" w:rsidR="009D452F" w:rsidRDefault="009D45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F6E3A6" w14:textId="77777777" w:rsidR="00701630" w:rsidRPr="00586325" w:rsidRDefault="00701630" w:rsidP="00586325">
      <w:pPr>
        <w:pStyle w:val="Piedepgina"/>
      </w:pPr>
      <w:r>
        <w:continuationSeparator/>
      </w:r>
    </w:p>
  </w:footnote>
  <w:footnote w:type="continuationSeparator" w:id="0">
    <w:p w14:paraId="1102B0E6" w14:textId="77777777" w:rsidR="00701630" w:rsidRDefault="00701630" w:rsidP="00586325">
      <w:pPr>
        <w:pStyle w:val="Piedepgina"/>
      </w:pPr>
      <w:r>
        <w:continuationSeparator/>
      </w:r>
    </w:p>
  </w:footnote>
  <w:footnote w:type="continuationNotice" w:id="1">
    <w:p w14:paraId="22DB30DD" w14:textId="77777777" w:rsidR="00701630" w:rsidRDefault="00701630">
      <w:pPr>
        <w:spacing w:line="240" w:lineRule="auto"/>
      </w:pPr>
    </w:p>
  </w:footnote>
  <w:footnote w:id="2">
    <w:p w14:paraId="42824478" w14:textId="77777777" w:rsidR="00D72A94" w:rsidRDefault="00D72A94" w:rsidP="00D72A94">
      <w:pPr>
        <w:pStyle w:val="Textonotapie"/>
        <w:rPr>
          <w:i/>
          <w:iCs/>
          <w:sz w:val="18"/>
          <w:szCs w:val="18"/>
          <w:lang w:val="es-ES_tradnl"/>
        </w:rPr>
      </w:pPr>
      <w:r>
        <w:rPr>
          <w:rStyle w:val="Refdenotaalpie"/>
        </w:rPr>
        <w:footnoteRef/>
      </w:r>
      <w:r>
        <w:rPr>
          <w:lang w:val="es-ES_tradnl"/>
        </w:rPr>
        <w:t xml:space="preserve"> </w:t>
      </w:r>
      <w:r>
        <w:rPr>
          <w:sz w:val="18"/>
          <w:szCs w:val="18"/>
          <w:lang w:val="es-ES_tradnl"/>
        </w:rPr>
        <w:t>“</w:t>
      </w:r>
      <w:r>
        <w:rPr>
          <w:i/>
          <w:iCs/>
          <w:sz w:val="18"/>
          <w:szCs w:val="18"/>
          <w:lang w:val="es-ES_tradnl"/>
        </w:rPr>
        <w:t xml:space="preserve">En el </w:t>
      </w:r>
      <w:proofErr w:type="spellStart"/>
      <w:r>
        <w:rPr>
          <w:i/>
          <w:iCs/>
          <w:sz w:val="18"/>
          <w:szCs w:val="18"/>
          <w:lang w:val="es-ES_tradnl"/>
        </w:rPr>
        <w:t>present</w:t>
      </w:r>
      <w:proofErr w:type="spellEnd"/>
      <w:r>
        <w:rPr>
          <w:i/>
          <w:iCs/>
          <w:sz w:val="18"/>
          <w:szCs w:val="18"/>
          <w:lang w:val="es-ES_tradnl"/>
        </w:rPr>
        <w:t xml:space="preserve"> cas, </w:t>
      </w:r>
      <w:proofErr w:type="spellStart"/>
      <w:r>
        <w:rPr>
          <w:i/>
          <w:iCs/>
          <w:sz w:val="18"/>
          <w:szCs w:val="18"/>
          <w:lang w:val="es-ES_tradnl"/>
        </w:rPr>
        <w:t>ens</w:t>
      </w:r>
      <w:proofErr w:type="spellEnd"/>
      <w:r>
        <w:rPr>
          <w:i/>
          <w:iCs/>
          <w:sz w:val="18"/>
          <w:szCs w:val="18"/>
          <w:lang w:val="es-ES_tradnl"/>
        </w:rPr>
        <w:t xml:space="preserve"> </w:t>
      </w:r>
      <w:proofErr w:type="spellStart"/>
      <w:r>
        <w:rPr>
          <w:i/>
          <w:iCs/>
          <w:sz w:val="18"/>
          <w:szCs w:val="18"/>
          <w:lang w:val="es-ES_tradnl"/>
        </w:rPr>
        <w:t>trobem</w:t>
      </w:r>
      <w:proofErr w:type="spellEnd"/>
      <w:r>
        <w:rPr>
          <w:i/>
          <w:iCs/>
          <w:sz w:val="18"/>
          <w:szCs w:val="18"/>
          <w:lang w:val="es-ES_tradnl"/>
        </w:rPr>
        <w:t xml:space="preserve"> en la </w:t>
      </w:r>
      <w:proofErr w:type="spellStart"/>
      <w:r>
        <w:rPr>
          <w:i/>
          <w:iCs/>
          <w:sz w:val="18"/>
          <w:szCs w:val="18"/>
          <w:lang w:val="es-ES_tradnl"/>
        </w:rPr>
        <w:t>mateixa</w:t>
      </w:r>
      <w:proofErr w:type="spellEnd"/>
      <w:r>
        <w:rPr>
          <w:i/>
          <w:iCs/>
          <w:sz w:val="18"/>
          <w:szCs w:val="18"/>
          <w:lang w:val="es-ES_tradnl"/>
        </w:rPr>
        <w:t xml:space="preserve"> </w:t>
      </w:r>
      <w:proofErr w:type="spellStart"/>
      <w:r>
        <w:rPr>
          <w:i/>
          <w:iCs/>
          <w:sz w:val="18"/>
          <w:szCs w:val="18"/>
          <w:lang w:val="es-ES_tradnl"/>
        </w:rPr>
        <w:t>situació</w:t>
      </w:r>
      <w:proofErr w:type="spellEnd"/>
      <w:r>
        <w:rPr>
          <w:i/>
          <w:iCs/>
          <w:sz w:val="18"/>
          <w:szCs w:val="18"/>
          <w:lang w:val="es-ES_tradnl"/>
        </w:rPr>
        <w:t xml:space="preserve"> que el de </w:t>
      </w:r>
      <w:proofErr w:type="spellStart"/>
      <w:r>
        <w:rPr>
          <w:i/>
          <w:iCs/>
          <w:sz w:val="18"/>
          <w:szCs w:val="18"/>
          <w:lang w:val="es-ES_tradnl"/>
        </w:rPr>
        <w:t>l’anterior</w:t>
      </w:r>
      <w:proofErr w:type="spellEnd"/>
      <w:r>
        <w:rPr>
          <w:i/>
          <w:iCs/>
          <w:sz w:val="18"/>
          <w:szCs w:val="18"/>
          <w:lang w:val="es-ES_tradnl"/>
        </w:rPr>
        <w:t xml:space="preserve"> </w:t>
      </w:r>
      <w:proofErr w:type="spellStart"/>
      <w:r>
        <w:rPr>
          <w:i/>
          <w:iCs/>
          <w:sz w:val="18"/>
          <w:szCs w:val="18"/>
          <w:lang w:val="es-ES_tradnl"/>
        </w:rPr>
        <w:t>sentència</w:t>
      </w:r>
      <w:proofErr w:type="spellEnd"/>
      <w:r>
        <w:rPr>
          <w:i/>
          <w:iCs/>
          <w:sz w:val="18"/>
          <w:szCs w:val="18"/>
          <w:lang w:val="es-ES_tradnl"/>
        </w:rPr>
        <w:t xml:space="preserve">, per la </w:t>
      </w:r>
      <w:proofErr w:type="spellStart"/>
      <w:r>
        <w:rPr>
          <w:i/>
          <w:iCs/>
          <w:sz w:val="18"/>
          <w:szCs w:val="18"/>
          <w:lang w:val="es-ES_tradnl"/>
        </w:rPr>
        <w:t>qual</w:t>
      </w:r>
      <w:proofErr w:type="spellEnd"/>
      <w:r>
        <w:rPr>
          <w:i/>
          <w:iCs/>
          <w:sz w:val="18"/>
          <w:szCs w:val="18"/>
          <w:lang w:val="es-ES_tradnl"/>
        </w:rPr>
        <w:t xml:space="preserve"> cosa </w:t>
      </w:r>
      <w:proofErr w:type="spellStart"/>
      <w:r>
        <w:rPr>
          <w:i/>
          <w:iCs/>
          <w:sz w:val="18"/>
          <w:szCs w:val="18"/>
          <w:lang w:val="es-ES_tradnl"/>
        </w:rPr>
        <w:t>procedeix</w:t>
      </w:r>
      <w:proofErr w:type="spellEnd"/>
      <w:r>
        <w:rPr>
          <w:i/>
          <w:iCs/>
          <w:sz w:val="18"/>
          <w:szCs w:val="18"/>
          <w:lang w:val="es-ES_tradnl"/>
        </w:rPr>
        <w:t xml:space="preserve"> declarar </w:t>
      </w:r>
      <w:proofErr w:type="spellStart"/>
      <w:r>
        <w:rPr>
          <w:i/>
          <w:iCs/>
          <w:sz w:val="18"/>
          <w:szCs w:val="18"/>
          <w:lang w:val="es-ES_tradnl"/>
        </w:rPr>
        <w:t>nul</w:t>
      </w:r>
      <w:proofErr w:type="spellEnd"/>
      <w:r>
        <w:rPr>
          <w:i/>
          <w:iCs/>
          <w:sz w:val="18"/>
          <w:szCs w:val="18"/>
          <w:lang w:val="es-ES_tradnl"/>
        </w:rPr>
        <w:t xml:space="preserve">, per </w:t>
      </w:r>
      <w:proofErr w:type="spellStart"/>
      <w:r>
        <w:rPr>
          <w:i/>
          <w:iCs/>
          <w:sz w:val="18"/>
          <w:szCs w:val="18"/>
          <w:lang w:val="es-ES_tradnl"/>
        </w:rPr>
        <w:t>usurari</w:t>
      </w:r>
      <w:proofErr w:type="spellEnd"/>
      <w:r>
        <w:rPr>
          <w:i/>
          <w:iCs/>
          <w:sz w:val="18"/>
          <w:szCs w:val="18"/>
          <w:lang w:val="es-ES_tradnl"/>
        </w:rPr>
        <w:t xml:space="preserve">, el contracte de </w:t>
      </w:r>
      <w:proofErr w:type="spellStart"/>
      <w:r>
        <w:rPr>
          <w:i/>
          <w:iCs/>
          <w:sz w:val="18"/>
          <w:szCs w:val="18"/>
          <w:lang w:val="es-ES_tradnl"/>
        </w:rPr>
        <w:t>targeta</w:t>
      </w:r>
      <w:proofErr w:type="spellEnd"/>
      <w:r>
        <w:rPr>
          <w:i/>
          <w:iCs/>
          <w:sz w:val="18"/>
          <w:szCs w:val="18"/>
          <w:lang w:val="es-ES_tradnl"/>
        </w:rPr>
        <w:t xml:space="preserve"> </w:t>
      </w:r>
      <w:proofErr w:type="spellStart"/>
      <w:r>
        <w:rPr>
          <w:i/>
          <w:iCs/>
          <w:sz w:val="18"/>
          <w:szCs w:val="18"/>
          <w:lang w:val="es-ES_tradnl"/>
        </w:rPr>
        <w:t>revolving</w:t>
      </w:r>
      <w:proofErr w:type="spellEnd"/>
      <w:r>
        <w:rPr>
          <w:i/>
          <w:iCs/>
          <w:sz w:val="18"/>
          <w:szCs w:val="18"/>
          <w:lang w:val="es-ES_tradnl"/>
        </w:rPr>
        <w:t xml:space="preserve"> </w:t>
      </w:r>
      <w:proofErr w:type="spellStart"/>
      <w:r>
        <w:rPr>
          <w:i/>
          <w:iCs/>
          <w:sz w:val="18"/>
          <w:szCs w:val="18"/>
          <w:lang w:val="es-ES_tradnl"/>
        </w:rPr>
        <w:t>celebrat</w:t>
      </w:r>
      <w:proofErr w:type="spellEnd"/>
      <w:r>
        <w:rPr>
          <w:i/>
          <w:iCs/>
          <w:sz w:val="18"/>
          <w:szCs w:val="18"/>
          <w:lang w:val="es-ES_tradnl"/>
        </w:rPr>
        <w:t xml:space="preserve"> entre NURIA TENAS AVILA i la demandada a partir de la </w:t>
      </w:r>
      <w:proofErr w:type="spellStart"/>
      <w:r>
        <w:rPr>
          <w:i/>
          <w:iCs/>
          <w:sz w:val="18"/>
          <w:szCs w:val="18"/>
          <w:lang w:val="es-ES_tradnl"/>
        </w:rPr>
        <w:t>modificació</w:t>
      </w:r>
      <w:proofErr w:type="spellEnd"/>
      <w:r>
        <w:rPr>
          <w:i/>
          <w:iCs/>
          <w:sz w:val="18"/>
          <w:szCs w:val="18"/>
          <w:lang w:val="es-ES_tradnl"/>
        </w:rPr>
        <w:t xml:space="preserve"> del </w:t>
      </w:r>
      <w:proofErr w:type="spellStart"/>
      <w:r>
        <w:rPr>
          <w:i/>
          <w:iCs/>
          <w:sz w:val="18"/>
          <w:szCs w:val="18"/>
          <w:lang w:val="es-ES_tradnl"/>
        </w:rPr>
        <w:t>tipus</w:t>
      </w:r>
      <w:proofErr w:type="spellEnd"/>
      <w:r>
        <w:rPr>
          <w:i/>
          <w:iCs/>
          <w:sz w:val="18"/>
          <w:szCs w:val="18"/>
          <w:lang w:val="es-ES_tradnl"/>
        </w:rPr>
        <w:t xml:space="preserve"> </w:t>
      </w:r>
      <w:proofErr w:type="spellStart"/>
      <w:r>
        <w:rPr>
          <w:i/>
          <w:iCs/>
          <w:sz w:val="18"/>
          <w:szCs w:val="18"/>
          <w:lang w:val="es-ES_tradnl"/>
        </w:rPr>
        <w:t>d’interès</w:t>
      </w:r>
      <w:proofErr w:type="spellEnd"/>
      <w:r>
        <w:rPr>
          <w:i/>
          <w:iCs/>
          <w:sz w:val="18"/>
          <w:szCs w:val="18"/>
          <w:lang w:val="es-ES_tradnl"/>
        </w:rPr>
        <w:t xml:space="preserve"> </w:t>
      </w:r>
      <w:proofErr w:type="spellStart"/>
      <w:r>
        <w:rPr>
          <w:i/>
          <w:iCs/>
          <w:sz w:val="18"/>
          <w:szCs w:val="18"/>
          <w:lang w:val="es-ES_tradnl"/>
        </w:rPr>
        <w:t>realitzat</w:t>
      </w:r>
      <w:proofErr w:type="spellEnd"/>
      <w:r>
        <w:rPr>
          <w:i/>
          <w:iCs/>
          <w:sz w:val="18"/>
          <w:szCs w:val="18"/>
          <w:lang w:val="es-ES_tradnl"/>
        </w:rPr>
        <w:t xml:space="preserve"> </w:t>
      </w:r>
      <w:proofErr w:type="spellStart"/>
      <w:r>
        <w:rPr>
          <w:i/>
          <w:iCs/>
          <w:sz w:val="18"/>
          <w:szCs w:val="18"/>
          <w:lang w:val="es-ES_tradnl"/>
        </w:rPr>
        <w:t>unilateralment</w:t>
      </w:r>
      <w:proofErr w:type="spellEnd"/>
      <w:r>
        <w:rPr>
          <w:i/>
          <w:iCs/>
          <w:sz w:val="18"/>
          <w:szCs w:val="18"/>
          <w:lang w:val="es-ES_tradnl"/>
        </w:rPr>
        <w:t xml:space="preserve"> per la </w:t>
      </w:r>
      <w:proofErr w:type="spellStart"/>
      <w:r>
        <w:rPr>
          <w:i/>
          <w:iCs/>
          <w:sz w:val="18"/>
          <w:szCs w:val="18"/>
          <w:lang w:val="es-ES_tradnl"/>
        </w:rPr>
        <w:t>entitat</w:t>
      </w:r>
      <w:proofErr w:type="spellEnd"/>
      <w:r>
        <w:rPr>
          <w:i/>
          <w:iCs/>
          <w:sz w:val="18"/>
          <w:szCs w:val="18"/>
          <w:lang w:val="es-ES_tradnl"/>
        </w:rPr>
        <w:t xml:space="preserve"> </w:t>
      </w:r>
      <w:proofErr w:type="spellStart"/>
      <w:r>
        <w:rPr>
          <w:i/>
          <w:iCs/>
          <w:sz w:val="18"/>
          <w:szCs w:val="18"/>
          <w:lang w:val="es-ES_tradnl"/>
        </w:rPr>
        <w:t>financera</w:t>
      </w:r>
      <w:proofErr w:type="spellEnd"/>
      <w:r>
        <w:rPr>
          <w:i/>
          <w:iCs/>
          <w:sz w:val="18"/>
          <w:szCs w:val="18"/>
          <w:lang w:val="es-ES_tradnl"/>
        </w:rPr>
        <w:t xml:space="preserve"> el 18-12-2008, </w:t>
      </w:r>
      <w:proofErr w:type="spellStart"/>
      <w:r>
        <w:rPr>
          <w:i/>
          <w:iCs/>
          <w:sz w:val="18"/>
          <w:szCs w:val="18"/>
          <w:lang w:val="es-ES_tradnl"/>
        </w:rPr>
        <w:t>per</w:t>
      </w:r>
      <w:proofErr w:type="spellEnd"/>
      <w:r>
        <w:rPr>
          <w:i/>
          <w:iCs/>
          <w:sz w:val="18"/>
          <w:szCs w:val="18"/>
          <w:lang w:val="es-ES_tradnl"/>
        </w:rPr>
        <w:t xml:space="preserve"> la cosa la </w:t>
      </w:r>
      <w:proofErr w:type="spellStart"/>
      <w:r>
        <w:rPr>
          <w:i/>
          <w:iCs/>
          <w:sz w:val="18"/>
          <w:szCs w:val="18"/>
          <w:lang w:val="es-ES_tradnl"/>
        </w:rPr>
        <w:t>quantitat</w:t>
      </w:r>
      <w:proofErr w:type="spellEnd"/>
      <w:r>
        <w:rPr>
          <w:i/>
          <w:iCs/>
          <w:sz w:val="18"/>
          <w:szCs w:val="18"/>
          <w:lang w:val="es-ES_tradnl"/>
        </w:rPr>
        <w:t xml:space="preserve"> a restituir per la </w:t>
      </w:r>
      <w:proofErr w:type="spellStart"/>
      <w:r>
        <w:rPr>
          <w:i/>
          <w:iCs/>
          <w:sz w:val="18"/>
          <w:szCs w:val="18"/>
          <w:lang w:val="es-ES_tradnl"/>
        </w:rPr>
        <w:t>deutora</w:t>
      </w:r>
      <w:proofErr w:type="spellEnd"/>
      <w:r>
        <w:rPr>
          <w:i/>
          <w:iCs/>
          <w:sz w:val="18"/>
          <w:szCs w:val="18"/>
          <w:lang w:val="es-ES_tradnl"/>
        </w:rPr>
        <w:t xml:space="preserve"> des </w:t>
      </w:r>
      <w:proofErr w:type="spellStart"/>
      <w:r>
        <w:rPr>
          <w:i/>
          <w:iCs/>
          <w:sz w:val="18"/>
          <w:szCs w:val="18"/>
          <w:lang w:val="es-ES_tradnl"/>
        </w:rPr>
        <w:t>d’aquesta</w:t>
      </w:r>
      <w:proofErr w:type="spellEnd"/>
      <w:r>
        <w:rPr>
          <w:i/>
          <w:iCs/>
          <w:sz w:val="18"/>
          <w:szCs w:val="18"/>
          <w:lang w:val="es-ES_tradnl"/>
        </w:rPr>
        <w:t xml:space="preserve"> data es </w:t>
      </w:r>
      <w:proofErr w:type="spellStart"/>
      <w:r>
        <w:rPr>
          <w:i/>
          <w:iCs/>
          <w:sz w:val="18"/>
          <w:szCs w:val="18"/>
          <w:lang w:val="es-ES_tradnl"/>
        </w:rPr>
        <w:t>limitarà</w:t>
      </w:r>
      <w:proofErr w:type="spellEnd"/>
      <w:r>
        <w:rPr>
          <w:i/>
          <w:iCs/>
          <w:sz w:val="18"/>
          <w:szCs w:val="18"/>
          <w:lang w:val="es-ES_tradnl"/>
        </w:rPr>
        <w:t xml:space="preserve"> a les </w:t>
      </w:r>
      <w:proofErr w:type="spellStart"/>
      <w:r>
        <w:rPr>
          <w:i/>
          <w:iCs/>
          <w:sz w:val="18"/>
          <w:szCs w:val="18"/>
          <w:lang w:val="es-ES_tradnl"/>
        </w:rPr>
        <w:t>quantitats</w:t>
      </w:r>
      <w:proofErr w:type="spellEnd"/>
      <w:r>
        <w:rPr>
          <w:i/>
          <w:iCs/>
          <w:sz w:val="18"/>
          <w:szCs w:val="18"/>
          <w:lang w:val="es-ES_tradnl"/>
        </w:rPr>
        <w:t xml:space="preserve"> </w:t>
      </w:r>
      <w:proofErr w:type="spellStart"/>
      <w:r>
        <w:rPr>
          <w:i/>
          <w:iCs/>
          <w:sz w:val="18"/>
          <w:szCs w:val="18"/>
          <w:lang w:val="es-ES_tradnl"/>
        </w:rPr>
        <w:t>disposades</w:t>
      </w:r>
      <w:proofErr w:type="spellEnd"/>
      <w:r>
        <w:rPr>
          <w:i/>
          <w:iCs/>
          <w:sz w:val="18"/>
          <w:szCs w:val="18"/>
          <w:lang w:val="es-ES_tradnl"/>
        </w:rPr>
        <w:t xml:space="preserve"> en </w:t>
      </w:r>
      <w:proofErr w:type="spellStart"/>
      <w:r>
        <w:rPr>
          <w:i/>
          <w:iCs/>
          <w:sz w:val="18"/>
          <w:szCs w:val="18"/>
          <w:lang w:val="es-ES_tradnl"/>
        </w:rPr>
        <w:t>l’ús</w:t>
      </w:r>
      <w:proofErr w:type="spellEnd"/>
      <w:r>
        <w:rPr>
          <w:i/>
          <w:iCs/>
          <w:sz w:val="18"/>
          <w:szCs w:val="18"/>
          <w:lang w:val="es-ES_tradnl"/>
        </w:rPr>
        <w:t xml:space="preserve"> de la </w:t>
      </w:r>
      <w:proofErr w:type="spellStart"/>
      <w:r>
        <w:rPr>
          <w:i/>
          <w:iCs/>
          <w:sz w:val="18"/>
          <w:szCs w:val="18"/>
          <w:lang w:val="es-ES_tradnl"/>
        </w:rPr>
        <w:t>targeta</w:t>
      </w:r>
      <w:proofErr w:type="spellEnd"/>
      <w:r>
        <w:rPr>
          <w:i/>
          <w:iCs/>
          <w:sz w:val="18"/>
          <w:szCs w:val="18"/>
          <w:lang w:val="es-ES_tradnl"/>
        </w:rPr>
        <w:t xml:space="preserve">, </w:t>
      </w:r>
      <w:proofErr w:type="spellStart"/>
      <w:r>
        <w:rPr>
          <w:i/>
          <w:iCs/>
          <w:sz w:val="18"/>
          <w:szCs w:val="18"/>
          <w:lang w:val="es-ES_tradnl"/>
        </w:rPr>
        <w:t>sense</w:t>
      </w:r>
      <w:proofErr w:type="spellEnd"/>
      <w:r>
        <w:rPr>
          <w:i/>
          <w:iCs/>
          <w:sz w:val="18"/>
          <w:szCs w:val="18"/>
          <w:lang w:val="es-ES_tradnl"/>
        </w:rPr>
        <w:t xml:space="preserve"> que </w:t>
      </w:r>
      <w:proofErr w:type="spellStart"/>
      <w:r>
        <w:rPr>
          <w:i/>
          <w:iCs/>
          <w:sz w:val="18"/>
          <w:szCs w:val="18"/>
          <w:lang w:val="es-ES_tradnl"/>
        </w:rPr>
        <w:t>procedeixi</w:t>
      </w:r>
      <w:proofErr w:type="spellEnd"/>
      <w:r>
        <w:rPr>
          <w:i/>
          <w:iCs/>
          <w:sz w:val="18"/>
          <w:szCs w:val="18"/>
          <w:lang w:val="es-ES_tradnl"/>
        </w:rPr>
        <w:t xml:space="preserve"> pagar </w:t>
      </w:r>
      <w:proofErr w:type="spellStart"/>
      <w:r>
        <w:rPr>
          <w:i/>
          <w:iCs/>
          <w:sz w:val="18"/>
          <w:szCs w:val="18"/>
          <w:lang w:val="es-ES_tradnl"/>
        </w:rPr>
        <w:t>cap</w:t>
      </w:r>
      <w:proofErr w:type="spellEnd"/>
      <w:r>
        <w:rPr>
          <w:i/>
          <w:iCs/>
          <w:sz w:val="18"/>
          <w:szCs w:val="18"/>
          <w:lang w:val="es-ES_tradnl"/>
        </w:rPr>
        <w:t xml:space="preserve"> </w:t>
      </w:r>
      <w:proofErr w:type="spellStart"/>
      <w:r>
        <w:rPr>
          <w:i/>
          <w:iCs/>
          <w:sz w:val="18"/>
          <w:szCs w:val="18"/>
          <w:lang w:val="es-ES_tradnl"/>
        </w:rPr>
        <w:t>quantitat</w:t>
      </w:r>
      <w:proofErr w:type="spellEnd"/>
      <w:r>
        <w:rPr>
          <w:i/>
          <w:iCs/>
          <w:sz w:val="18"/>
          <w:szCs w:val="18"/>
          <w:lang w:val="es-ES_tradnl"/>
        </w:rPr>
        <w:t xml:space="preserve"> </w:t>
      </w:r>
      <w:proofErr w:type="spellStart"/>
      <w:r>
        <w:rPr>
          <w:i/>
          <w:iCs/>
          <w:sz w:val="18"/>
          <w:szCs w:val="18"/>
          <w:lang w:val="es-ES_tradnl"/>
        </w:rPr>
        <w:t>pels</w:t>
      </w:r>
      <w:proofErr w:type="spellEnd"/>
      <w:r>
        <w:rPr>
          <w:i/>
          <w:iCs/>
          <w:sz w:val="18"/>
          <w:szCs w:val="18"/>
          <w:lang w:val="es-ES_tradnl"/>
        </w:rPr>
        <w:t xml:space="preserve"> </w:t>
      </w:r>
      <w:proofErr w:type="spellStart"/>
      <w:r>
        <w:rPr>
          <w:i/>
          <w:iCs/>
          <w:sz w:val="18"/>
          <w:szCs w:val="18"/>
          <w:lang w:val="es-ES_tradnl"/>
        </w:rPr>
        <w:t>interessos</w:t>
      </w:r>
      <w:proofErr w:type="spellEnd"/>
      <w:r>
        <w:rPr>
          <w:i/>
          <w:iCs/>
          <w:sz w:val="18"/>
          <w:szCs w:val="18"/>
          <w:lang w:val="es-ES_tradnl"/>
        </w:rPr>
        <w:t xml:space="preserve"> </w:t>
      </w:r>
      <w:proofErr w:type="spellStart"/>
      <w:r>
        <w:rPr>
          <w:i/>
          <w:iCs/>
          <w:sz w:val="18"/>
          <w:szCs w:val="18"/>
          <w:lang w:val="es-ES_tradnl"/>
        </w:rPr>
        <w:t>meritats</w:t>
      </w:r>
      <w:proofErr w:type="spellEnd"/>
      <w:r>
        <w:rPr>
          <w:i/>
          <w:iCs/>
          <w:sz w:val="18"/>
          <w:szCs w:val="18"/>
          <w:lang w:val="es-ES_tradnl"/>
        </w:rPr>
        <w:t xml:space="preserve"> des </w:t>
      </w:r>
      <w:proofErr w:type="spellStart"/>
      <w:r>
        <w:rPr>
          <w:i/>
          <w:iCs/>
          <w:sz w:val="18"/>
          <w:szCs w:val="18"/>
          <w:lang w:val="es-ES_tradnl"/>
        </w:rPr>
        <w:t>d’aquesta</w:t>
      </w:r>
      <w:proofErr w:type="spellEnd"/>
      <w:r>
        <w:rPr>
          <w:i/>
          <w:iCs/>
          <w:sz w:val="18"/>
          <w:szCs w:val="18"/>
          <w:lang w:val="es-ES_tradnl"/>
        </w:rPr>
        <w:t xml:space="preserve"> data.</w:t>
      </w:r>
    </w:p>
    <w:p w14:paraId="1A898264" w14:textId="77777777" w:rsidR="00D72A94" w:rsidRDefault="00D72A94" w:rsidP="00D72A94">
      <w:pPr>
        <w:pStyle w:val="Textonotapie"/>
        <w:rPr>
          <w:i/>
          <w:iCs/>
          <w:sz w:val="18"/>
          <w:szCs w:val="18"/>
          <w:lang w:val="es-ES_tradnl"/>
        </w:rPr>
      </w:pPr>
      <w:r>
        <w:rPr>
          <w:i/>
          <w:iCs/>
          <w:sz w:val="18"/>
          <w:szCs w:val="18"/>
          <w:lang w:val="es-ES_tradnl"/>
        </w:rPr>
        <w:t>(…)</w:t>
      </w:r>
    </w:p>
    <w:p w14:paraId="285C0528" w14:textId="77777777" w:rsidR="00D72A94" w:rsidRDefault="00D72A94" w:rsidP="00D72A94">
      <w:pPr>
        <w:pStyle w:val="Textonotapie"/>
        <w:rPr>
          <w:sz w:val="20"/>
          <w:szCs w:val="20"/>
          <w:lang w:val="es-ES_tradnl"/>
        </w:rPr>
      </w:pPr>
      <w:r>
        <w:rPr>
          <w:i/>
          <w:iCs/>
          <w:sz w:val="18"/>
          <w:szCs w:val="18"/>
          <w:lang w:val="es-ES_tradnl"/>
        </w:rPr>
        <w:t xml:space="preserve">Conforme </w:t>
      </w:r>
      <w:proofErr w:type="spellStart"/>
      <w:r>
        <w:rPr>
          <w:i/>
          <w:iCs/>
          <w:sz w:val="18"/>
          <w:szCs w:val="18"/>
          <w:lang w:val="es-ES_tradnl"/>
        </w:rPr>
        <w:t>als</w:t>
      </w:r>
      <w:proofErr w:type="spellEnd"/>
      <w:r>
        <w:rPr>
          <w:i/>
          <w:iCs/>
          <w:sz w:val="18"/>
          <w:szCs w:val="18"/>
          <w:lang w:val="es-ES_tradnl"/>
        </w:rPr>
        <w:t xml:space="preserve"> arts. 394 i 398 LEC, en estimar </w:t>
      </w:r>
      <w:proofErr w:type="spellStart"/>
      <w:r>
        <w:rPr>
          <w:i/>
          <w:iCs/>
          <w:sz w:val="18"/>
          <w:szCs w:val="18"/>
          <w:lang w:val="es-ES_tradnl"/>
        </w:rPr>
        <w:t>parcialment</w:t>
      </w:r>
      <w:proofErr w:type="spellEnd"/>
      <w:r>
        <w:rPr>
          <w:i/>
          <w:iCs/>
          <w:sz w:val="18"/>
          <w:szCs w:val="18"/>
          <w:lang w:val="es-ES_tradnl"/>
        </w:rPr>
        <w:t xml:space="preserve"> el </w:t>
      </w:r>
      <w:proofErr w:type="spellStart"/>
      <w:r>
        <w:rPr>
          <w:i/>
          <w:iCs/>
          <w:sz w:val="18"/>
          <w:szCs w:val="18"/>
          <w:lang w:val="es-ES_tradnl"/>
        </w:rPr>
        <w:t>recurs</w:t>
      </w:r>
      <w:proofErr w:type="spellEnd"/>
      <w:r>
        <w:rPr>
          <w:i/>
          <w:iCs/>
          <w:sz w:val="18"/>
          <w:szCs w:val="18"/>
          <w:lang w:val="es-ES_tradnl"/>
        </w:rPr>
        <w:t xml:space="preserve">, no es fa </w:t>
      </w:r>
      <w:proofErr w:type="spellStart"/>
      <w:r>
        <w:rPr>
          <w:i/>
          <w:iCs/>
          <w:sz w:val="18"/>
          <w:szCs w:val="18"/>
          <w:lang w:val="es-ES_tradnl"/>
        </w:rPr>
        <w:t>imposició</w:t>
      </w:r>
      <w:proofErr w:type="spellEnd"/>
      <w:r>
        <w:rPr>
          <w:i/>
          <w:iCs/>
          <w:sz w:val="18"/>
          <w:szCs w:val="18"/>
          <w:lang w:val="es-ES_tradnl"/>
        </w:rPr>
        <w:t xml:space="preserve"> de les costes del </w:t>
      </w:r>
      <w:proofErr w:type="spellStart"/>
      <w:r>
        <w:rPr>
          <w:i/>
          <w:iCs/>
          <w:sz w:val="18"/>
          <w:szCs w:val="18"/>
          <w:lang w:val="es-ES_tradnl"/>
        </w:rPr>
        <w:t>mateix</w:t>
      </w:r>
      <w:proofErr w:type="spellEnd"/>
      <w:r>
        <w:rPr>
          <w:sz w:val="18"/>
          <w:szCs w:val="18"/>
          <w:lang w:val="es-ES_tradn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13A4C" w14:textId="0F2ACE6A" w:rsidR="009D452F" w:rsidRDefault="009D452F" w:rsidP="00F8597B">
    <w:pPr>
      <w:pStyle w:val="Encabezado"/>
      <w:jc w:val="center"/>
    </w:pPr>
    <w:r>
      <w:t xml:space="preserve">- </w:t>
    </w:r>
    <w:r>
      <w:fldChar w:fldCharType="begin"/>
    </w:r>
    <w:r>
      <w:instrText xml:space="preserve"> PAGE  \* MERGEFORMAT </w:instrText>
    </w:r>
    <w:r>
      <w:fldChar w:fldCharType="separate"/>
    </w:r>
    <w:r w:rsidR="00A1232C">
      <w:rPr>
        <w:noProof/>
      </w:rPr>
      <w:t>4</w:t>
    </w:r>
    <w:r>
      <w:fldChar w:fldCharType="end"/>
    </w:r>
    <w:r>
      <w:t xml:space="preserve"> -</w:t>
    </w:r>
  </w:p>
  <w:p w14:paraId="1A413A4D" w14:textId="77777777" w:rsidR="009D452F" w:rsidRDefault="009D452F" w:rsidP="00F8597B">
    <w:pPr>
      <w:pStyle w:val="Encabezado"/>
      <w:jc w:val="left"/>
    </w:pPr>
  </w:p>
  <w:p w14:paraId="1A413A4E" w14:textId="77777777" w:rsidR="009D452F" w:rsidRDefault="009D452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E74F7D"/>
    <w:multiLevelType w:val="multilevel"/>
    <w:tmpl w:val="B36E3234"/>
    <w:name w:val="CustomListNum"/>
    <w:lvl w:ilvl="0">
      <w:start w:val="1"/>
      <w:numFmt w:val="decimal"/>
      <w:pStyle w:val="Level1"/>
      <w:lvlText w:val="%1."/>
      <w:lvlJc w:val="left"/>
      <w:pPr>
        <w:tabs>
          <w:tab w:val="num" w:pos="709"/>
        </w:tabs>
        <w:ind w:left="709" w:hanging="709"/>
      </w:pPr>
      <w:rPr>
        <w:rFonts w:ascii="Arial" w:hAnsi="Arial" w:cs="Arial" w:hint="default"/>
        <w:b w:val="0"/>
        <w:color w:val="auto"/>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54226D9"/>
    <w:multiLevelType w:val="hybridMultilevel"/>
    <w:tmpl w:val="01F21D4C"/>
    <w:lvl w:ilvl="0" w:tplc="2654E46C">
      <w:start w:val="1"/>
      <w:numFmt w:val="decimal"/>
      <w:lvlText w:val="%1."/>
      <w:lvlJc w:val="left"/>
      <w:pPr>
        <w:ind w:left="720" w:hanging="360"/>
      </w:pPr>
    </w:lvl>
    <w:lvl w:ilvl="1" w:tplc="B0D8FD22" w:tentative="1">
      <w:start w:val="1"/>
      <w:numFmt w:val="lowerLetter"/>
      <w:lvlText w:val="%2."/>
      <w:lvlJc w:val="left"/>
      <w:pPr>
        <w:ind w:left="1440" w:hanging="360"/>
      </w:pPr>
    </w:lvl>
    <w:lvl w:ilvl="2" w:tplc="B23E7A7A" w:tentative="1">
      <w:start w:val="1"/>
      <w:numFmt w:val="lowerRoman"/>
      <w:lvlText w:val="%3."/>
      <w:lvlJc w:val="right"/>
      <w:pPr>
        <w:ind w:left="2160" w:hanging="180"/>
      </w:pPr>
    </w:lvl>
    <w:lvl w:ilvl="3" w:tplc="07E65C76" w:tentative="1">
      <w:start w:val="1"/>
      <w:numFmt w:val="decimal"/>
      <w:lvlText w:val="%4."/>
      <w:lvlJc w:val="left"/>
      <w:pPr>
        <w:ind w:left="2880" w:hanging="360"/>
      </w:pPr>
    </w:lvl>
    <w:lvl w:ilvl="4" w:tplc="820A17D0" w:tentative="1">
      <w:start w:val="1"/>
      <w:numFmt w:val="lowerLetter"/>
      <w:lvlText w:val="%5."/>
      <w:lvlJc w:val="left"/>
      <w:pPr>
        <w:ind w:left="3600" w:hanging="360"/>
      </w:pPr>
    </w:lvl>
    <w:lvl w:ilvl="5" w:tplc="EB6E6D7C" w:tentative="1">
      <w:start w:val="1"/>
      <w:numFmt w:val="lowerRoman"/>
      <w:lvlText w:val="%6."/>
      <w:lvlJc w:val="right"/>
      <w:pPr>
        <w:ind w:left="4320" w:hanging="180"/>
      </w:pPr>
    </w:lvl>
    <w:lvl w:ilvl="6" w:tplc="CBC4C7F4" w:tentative="1">
      <w:start w:val="1"/>
      <w:numFmt w:val="decimal"/>
      <w:lvlText w:val="%7."/>
      <w:lvlJc w:val="left"/>
      <w:pPr>
        <w:ind w:left="5040" w:hanging="360"/>
      </w:pPr>
    </w:lvl>
    <w:lvl w:ilvl="7" w:tplc="7C0436BA" w:tentative="1">
      <w:start w:val="1"/>
      <w:numFmt w:val="lowerLetter"/>
      <w:lvlText w:val="%8."/>
      <w:lvlJc w:val="left"/>
      <w:pPr>
        <w:ind w:left="5760" w:hanging="360"/>
      </w:pPr>
    </w:lvl>
    <w:lvl w:ilvl="8" w:tplc="F4B0A632" w:tentative="1">
      <w:start w:val="1"/>
      <w:numFmt w:val="lowerRoman"/>
      <w:lvlText w:val="%9."/>
      <w:lvlJc w:val="right"/>
      <w:pPr>
        <w:ind w:left="6480" w:hanging="180"/>
      </w:pPr>
    </w:lvl>
  </w:abstractNum>
  <w:abstractNum w:abstractNumId="2" w15:restartNumberingAfterBreak="0">
    <w:nsid w:val="173B5547"/>
    <w:multiLevelType w:val="hybridMultilevel"/>
    <w:tmpl w:val="A888E40E"/>
    <w:lvl w:ilvl="0" w:tplc="9C12DE62">
      <w:start w:val="1"/>
      <w:numFmt w:val="upperLetter"/>
      <w:pStyle w:val="Recitals"/>
      <w:lvlText w:val="(%1)"/>
      <w:lvlJc w:val="left"/>
      <w:pPr>
        <w:tabs>
          <w:tab w:val="num" w:pos="709"/>
        </w:tabs>
        <w:ind w:left="709" w:hanging="709"/>
      </w:pPr>
      <w:rPr>
        <w:rFonts w:hint="default"/>
      </w:rPr>
    </w:lvl>
    <w:lvl w:ilvl="1" w:tplc="17AC8AEE" w:tentative="1">
      <w:start w:val="1"/>
      <w:numFmt w:val="lowerLetter"/>
      <w:lvlText w:val="%2."/>
      <w:lvlJc w:val="left"/>
      <w:pPr>
        <w:tabs>
          <w:tab w:val="num" w:pos="1440"/>
        </w:tabs>
        <w:ind w:left="1440" w:hanging="360"/>
      </w:pPr>
    </w:lvl>
    <w:lvl w:ilvl="2" w:tplc="77A0CA36" w:tentative="1">
      <w:start w:val="1"/>
      <w:numFmt w:val="lowerRoman"/>
      <w:lvlText w:val="%3."/>
      <w:lvlJc w:val="right"/>
      <w:pPr>
        <w:tabs>
          <w:tab w:val="num" w:pos="2160"/>
        </w:tabs>
        <w:ind w:left="2160" w:hanging="180"/>
      </w:pPr>
    </w:lvl>
    <w:lvl w:ilvl="3" w:tplc="127807AC" w:tentative="1">
      <w:start w:val="1"/>
      <w:numFmt w:val="decimal"/>
      <w:lvlText w:val="%4."/>
      <w:lvlJc w:val="left"/>
      <w:pPr>
        <w:tabs>
          <w:tab w:val="num" w:pos="2880"/>
        </w:tabs>
        <w:ind w:left="2880" w:hanging="360"/>
      </w:pPr>
    </w:lvl>
    <w:lvl w:ilvl="4" w:tplc="96C45D7A" w:tentative="1">
      <w:start w:val="1"/>
      <w:numFmt w:val="lowerLetter"/>
      <w:lvlText w:val="%5."/>
      <w:lvlJc w:val="left"/>
      <w:pPr>
        <w:tabs>
          <w:tab w:val="num" w:pos="3600"/>
        </w:tabs>
        <w:ind w:left="3600" w:hanging="360"/>
      </w:pPr>
    </w:lvl>
    <w:lvl w:ilvl="5" w:tplc="9118D0AA" w:tentative="1">
      <w:start w:val="1"/>
      <w:numFmt w:val="lowerRoman"/>
      <w:lvlText w:val="%6."/>
      <w:lvlJc w:val="right"/>
      <w:pPr>
        <w:tabs>
          <w:tab w:val="num" w:pos="4320"/>
        </w:tabs>
        <w:ind w:left="4320" w:hanging="180"/>
      </w:pPr>
    </w:lvl>
    <w:lvl w:ilvl="6" w:tplc="883AA95E" w:tentative="1">
      <w:start w:val="1"/>
      <w:numFmt w:val="decimal"/>
      <w:lvlText w:val="%7."/>
      <w:lvlJc w:val="left"/>
      <w:pPr>
        <w:tabs>
          <w:tab w:val="num" w:pos="5040"/>
        </w:tabs>
        <w:ind w:left="5040" w:hanging="360"/>
      </w:pPr>
    </w:lvl>
    <w:lvl w:ilvl="7" w:tplc="EFB48FCC" w:tentative="1">
      <w:start w:val="1"/>
      <w:numFmt w:val="lowerLetter"/>
      <w:lvlText w:val="%8."/>
      <w:lvlJc w:val="left"/>
      <w:pPr>
        <w:tabs>
          <w:tab w:val="num" w:pos="5760"/>
        </w:tabs>
        <w:ind w:left="5760" w:hanging="360"/>
      </w:pPr>
    </w:lvl>
    <w:lvl w:ilvl="8" w:tplc="F11A0E14" w:tentative="1">
      <w:start w:val="1"/>
      <w:numFmt w:val="lowerRoman"/>
      <w:lvlText w:val="%9."/>
      <w:lvlJc w:val="right"/>
      <w:pPr>
        <w:tabs>
          <w:tab w:val="num" w:pos="6480"/>
        </w:tabs>
        <w:ind w:left="6480" w:hanging="180"/>
      </w:pPr>
    </w:lvl>
  </w:abstractNum>
  <w:abstractNum w:abstractNumId="3" w15:restartNumberingAfterBreak="0">
    <w:nsid w:val="17F30486"/>
    <w:multiLevelType w:val="multilevel"/>
    <w:tmpl w:val="C76AA05E"/>
    <w:styleLink w:val="ListaUM1"/>
    <w:lvl w:ilvl="0">
      <w:start w:val="1"/>
      <w:numFmt w:val="lowerRoman"/>
      <w:lvlText w:val="(%1)"/>
      <w:lvlJc w:val="left"/>
      <w:pPr>
        <w:tabs>
          <w:tab w:val="num" w:pos="709"/>
        </w:tabs>
        <w:ind w:left="709" w:hanging="709"/>
      </w:pPr>
      <w:rPr>
        <w:rFonts w:ascii="Times New Roman" w:hAnsi="Times New Roman"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4" w15:restartNumberingAfterBreak="0">
    <w:nsid w:val="188C59AE"/>
    <w:multiLevelType w:val="hybridMultilevel"/>
    <w:tmpl w:val="54F6D844"/>
    <w:lvl w:ilvl="0" w:tplc="24843986">
      <w:start w:val="1"/>
      <w:numFmt w:val="decimal"/>
      <w:lvlText w:val="%1."/>
      <w:lvlJc w:val="left"/>
      <w:pPr>
        <w:ind w:left="360" w:hanging="360"/>
      </w:pPr>
      <w:rPr>
        <w:rFonts w:eastAsia="Calibri" w:hint="default"/>
        <w:sz w:val="22"/>
        <w:szCs w:val="22"/>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 w15:restartNumberingAfterBreak="0">
    <w:nsid w:val="1998034E"/>
    <w:multiLevelType w:val="hybridMultilevel"/>
    <w:tmpl w:val="B78E76CA"/>
    <w:lvl w:ilvl="0" w:tplc="49FEFD6C">
      <w:start w:val="1"/>
      <w:numFmt w:val="decimal"/>
      <w:pStyle w:val="TDC4"/>
      <w:lvlText w:val="%1."/>
      <w:lvlJc w:val="left"/>
      <w:pPr>
        <w:ind w:left="360" w:hanging="360"/>
      </w:pPr>
      <w:rPr>
        <w:rFonts w:ascii="Arial Bold" w:hAnsi="Arial Bold" w:hint="default"/>
        <w:b/>
        <w:i w:val="0"/>
        <w:sz w:val="21"/>
      </w:rPr>
    </w:lvl>
    <w:lvl w:ilvl="1" w:tplc="D5C22396" w:tentative="1">
      <w:start w:val="1"/>
      <w:numFmt w:val="lowerLetter"/>
      <w:lvlText w:val="%2."/>
      <w:lvlJc w:val="left"/>
      <w:pPr>
        <w:ind w:left="3566" w:hanging="360"/>
      </w:pPr>
    </w:lvl>
    <w:lvl w:ilvl="2" w:tplc="A810E0D2" w:tentative="1">
      <w:start w:val="1"/>
      <w:numFmt w:val="lowerRoman"/>
      <w:lvlText w:val="%3."/>
      <w:lvlJc w:val="right"/>
      <w:pPr>
        <w:ind w:left="4286" w:hanging="180"/>
      </w:pPr>
    </w:lvl>
    <w:lvl w:ilvl="3" w:tplc="745EC36E" w:tentative="1">
      <w:start w:val="1"/>
      <w:numFmt w:val="decimal"/>
      <w:lvlText w:val="%4."/>
      <w:lvlJc w:val="left"/>
      <w:pPr>
        <w:ind w:left="5006" w:hanging="360"/>
      </w:pPr>
    </w:lvl>
    <w:lvl w:ilvl="4" w:tplc="DB888CF6" w:tentative="1">
      <w:start w:val="1"/>
      <w:numFmt w:val="lowerLetter"/>
      <w:lvlText w:val="%5."/>
      <w:lvlJc w:val="left"/>
      <w:pPr>
        <w:ind w:left="5726" w:hanging="360"/>
      </w:pPr>
    </w:lvl>
    <w:lvl w:ilvl="5" w:tplc="1BB2F800" w:tentative="1">
      <w:start w:val="1"/>
      <w:numFmt w:val="lowerRoman"/>
      <w:lvlText w:val="%6."/>
      <w:lvlJc w:val="right"/>
      <w:pPr>
        <w:ind w:left="6446" w:hanging="180"/>
      </w:pPr>
    </w:lvl>
    <w:lvl w:ilvl="6" w:tplc="CE786016" w:tentative="1">
      <w:start w:val="1"/>
      <w:numFmt w:val="decimal"/>
      <w:lvlText w:val="%7."/>
      <w:lvlJc w:val="left"/>
      <w:pPr>
        <w:ind w:left="7166" w:hanging="360"/>
      </w:pPr>
    </w:lvl>
    <w:lvl w:ilvl="7" w:tplc="B24E0ED2" w:tentative="1">
      <w:start w:val="1"/>
      <w:numFmt w:val="lowerLetter"/>
      <w:lvlText w:val="%8."/>
      <w:lvlJc w:val="left"/>
      <w:pPr>
        <w:ind w:left="7886" w:hanging="360"/>
      </w:pPr>
    </w:lvl>
    <w:lvl w:ilvl="8" w:tplc="DF4E3C60" w:tentative="1">
      <w:start w:val="1"/>
      <w:numFmt w:val="lowerRoman"/>
      <w:lvlText w:val="%9."/>
      <w:lvlJc w:val="right"/>
      <w:pPr>
        <w:ind w:left="8606" w:hanging="180"/>
      </w:p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6A657F6"/>
    <w:multiLevelType w:val="hybridMultilevel"/>
    <w:tmpl w:val="52DC1212"/>
    <w:lvl w:ilvl="0" w:tplc="846A7BCC">
      <w:start w:val="1"/>
      <w:numFmt w:val="upperLetter"/>
      <w:lvlText w:val="%1."/>
      <w:lvlJc w:val="left"/>
      <w:pPr>
        <w:ind w:left="720" w:hanging="360"/>
      </w:pPr>
      <w:rPr>
        <w:b/>
        <w:bCs/>
      </w:rPr>
    </w:lvl>
    <w:lvl w:ilvl="1" w:tplc="C92E8B7C" w:tentative="1">
      <w:start w:val="1"/>
      <w:numFmt w:val="lowerLetter"/>
      <w:lvlText w:val="%2."/>
      <w:lvlJc w:val="left"/>
      <w:pPr>
        <w:ind w:left="1440" w:hanging="360"/>
      </w:pPr>
    </w:lvl>
    <w:lvl w:ilvl="2" w:tplc="7DC4274A" w:tentative="1">
      <w:start w:val="1"/>
      <w:numFmt w:val="lowerRoman"/>
      <w:lvlText w:val="%3."/>
      <w:lvlJc w:val="right"/>
      <w:pPr>
        <w:ind w:left="2160" w:hanging="180"/>
      </w:pPr>
    </w:lvl>
    <w:lvl w:ilvl="3" w:tplc="97CE2F46" w:tentative="1">
      <w:start w:val="1"/>
      <w:numFmt w:val="decimal"/>
      <w:lvlText w:val="%4."/>
      <w:lvlJc w:val="left"/>
      <w:pPr>
        <w:ind w:left="2880" w:hanging="360"/>
      </w:pPr>
    </w:lvl>
    <w:lvl w:ilvl="4" w:tplc="E02812A0" w:tentative="1">
      <w:start w:val="1"/>
      <w:numFmt w:val="lowerLetter"/>
      <w:lvlText w:val="%5."/>
      <w:lvlJc w:val="left"/>
      <w:pPr>
        <w:ind w:left="3600" w:hanging="360"/>
      </w:pPr>
    </w:lvl>
    <w:lvl w:ilvl="5" w:tplc="D80E5278" w:tentative="1">
      <w:start w:val="1"/>
      <w:numFmt w:val="lowerRoman"/>
      <w:lvlText w:val="%6."/>
      <w:lvlJc w:val="right"/>
      <w:pPr>
        <w:ind w:left="4320" w:hanging="180"/>
      </w:pPr>
    </w:lvl>
    <w:lvl w:ilvl="6" w:tplc="52586932" w:tentative="1">
      <w:start w:val="1"/>
      <w:numFmt w:val="decimal"/>
      <w:lvlText w:val="%7."/>
      <w:lvlJc w:val="left"/>
      <w:pPr>
        <w:ind w:left="5040" w:hanging="360"/>
      </w:pPr>
    </w:lvl>
    <w:lvl w:ilvl="7" w:tplc="3E0CAE46" w:tentative="1">
      <w:start w:val="1"/>
      <w:numFmt w:val="lowerLetter"/>
      <w:lvlText w:val="%8."/>
      <w:lvlJc w:val="left"/>
      <w:pPr>
        <w:ind w:left="5760" w:hanging="360"/>
      </w:pPr>
    </w:lvl>
    <w:lvl w:ilvl="8" w:tplc="437C7A22" w:tentative="1">
      <w:start w:val="1"/>
      <w:numFmt w:val="lowerRoman"/>
      <w:lvlText w:val="%9."/>
      <w:lvlJc w:val="right"/>
      <w:pPr>
        <w:ind w:left="6480" w:hanging="180"/>
      </w:pPr>
    </w:lvl>
  </w:abstractNum>
  <w:abstractNum w:abstractNumId="8" w15:restartNumberingAfterBreak="0">
    <w:nsid w:val="2F5753F4"/>
    <w:multiLevelType w:val="hybridMultilevel"/>
    <w:tmpl w:val="2BAA709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1"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color w:val="auto"/>
        <w:sz w:val="24"/>
        <w:szCs w:val="24"/>
        <w:u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color w:val="auto"/>
        <w:u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color w:val="auto"/>
        <w:u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color w:val="auto"/>
        <w:u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color w:val="auto"/>
        <w:u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color w:val="auto"/>
        <w:u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color w:val="auto"/>
        <w:u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color w:val="auto"/>
        <w:u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color w:val="auto"/>
        <w:u w:val="none"/>
      </w:rPr>
    </w:lvl>
  </w:abstractNum>
  <w:abstractNum w:abstractNumId="13" w15:restartNumberingAfterBreak="0">
    <w:nsid w:val="39733166"/>
    <w:multiLevelType w:val="hybridMultilevel"/>
    <w:tmpl w:val="3C865FF6"/>
    <w:lvl w:ilvl="0" w:tplc="54BC38C2">
      <w:start w:val="1"/>
      <w:numFmt w:val="decimal"/>
      <w:pStyle w:val="Parties"/>
      <w:lvlText w:val="(%1)"/>
      <w:lvlJc w:val="left"/>
      <w:pPr>
        <w:tabs>
          <w:tab w:val="num" w:pos="709"/>
        </w:tabs>
        <w:ind w:left="709" w:hanging="709"/>
      </w:pPr>
      <w:rPr>
        <w:rFonts w:hint="default"/>
      </w:rPr>
    </w:lvl>
    <w:lvl w:ilvl="1" w:tplc="FA7028EA" w:tentative="1">
      <w:start w:val="1"/>
      <w:numFmt w:val="lowerLetter"/>
      <w:lvlText w:val="%2."/>
      <w:lvlJc w:val="left"/>
      <w:pPr>
        <w:tabs>
          <w:tab w:val="num" w:pos="1440"/>
        </w:tabs>
        <w:ind w:left="1440" w:hanging="360"/>
      </w:pPr>
    </w:lvl>
    <w:lvl w:ilvl="2" w:tplc="10E0C9D6" w:tentative="1">
      <w:start w:val="1"/>
      <w:numFmt w:val="lowerRoman"/>
      <w:lvlText w:val="%3."/>
      <w:lvlJc w:val="right"/>
      <w:pPr>
        <w:tabs>
          <w:tab w:val="num" w:pos="2160"/>
        </w:tabs>
        <w:ind w:left="2160" w:hanging="180"/>
      </w:pPr>
    </w:lvl>
    <w:lvl w:ilvl="3" w:tplc="B0AC5DD6" w:tentative="1">
      <w:start w:val="1"/>
      <w:numFmt w:val="decimal"/>
      <w:lvlText w:val="%4."/>
      <w:lvlJc w:val="left"/>
      <w:pPr>
        <w:tabs>
          <w:tab w:val="num" w:pos="2880"/>
        </w:tabs>
        <w:ind w:left="2880" w:hanging="360"/>
      </w:pPr>
    </w:lvl>
    <w:lvl w:ilvl="4" w:tplc="7458D496" w:tentative="1">
      <w:start w:val="1"/>
      <w:numFmt w:val="lowerLetter"/>
      <w:lvlText w:val="%5."/>
      <w:lvlJc w:val="left"/>
      <w:pPr>
        <w:tabs>
          <w:tab w:val="num" w:pos="3600"/>
        </w:tabs>
        <w:ind w:left="3600" w:hanging="360"/>
      </w:pPr>
    </w:lvl>
    <w:lvl w:ilvl="5" w:tplc="20C6CF94" w:tentative="1">
      <w:start w:val="1"/>
      <w:numFmt w:val="lowerRoman"/>
      <w:lvlText w:val="%6."/>
      <w:lvlJc w:val="right"/>
      <w:pPr>
        <w:tabs>
          <w:tab w:val="num" w:pos="4320"/>
        </w:tabs>
        <w:ind w:left="4320" w:hanging="180"/>
      </w:pPr>
    </w:lvl>
    <w:lvl w:ilvl="6" w:tplc="0ACCAF48" w:tentative="1">
      <w:start w:val="1"/>
      <w:numFmt w:val="decimal"/>
      <w:lvlText w:val="%7."/>
      <w:lvlJc w:val="left"/>
      <w:pPr>
        <w:tabs>
          <w:tab w:val="num" w:pos="5040"/>
        </w:tabs>
        <w:ind w:left="5040" w:hanging="360"/>
      </w:pPr>
    </w:lvl>
    <w:lvl w:ilvl="7" w:tplc="F44246B8" w:tentative="1">
      <w:start w:val="1"/>
      <w:numFmt w:val="lowerLetter"/>
      <w:lvlText w:val="%8."/>
      <w:lvlJc w:val="left"/>
      <w:pPr>
        <w:tabs>
          <w:tab w:val="num" w:pos="5760"/>
        </w:tabs>
        <w:ind w:left="5760" w:hanging="360"/>
      </w:pPr>
    </w:lvl>
    <w:lvl w:ilvl="8" w:tplc="6388BACC" w:tentative="1">
      <w:start w:val="1"/>
      <w:numFmt w:val="lowerRoman"/>
      <w:lvlText w:val="%9."/>
      <w:lvlJc w:val="right"/>
      <w:pPr>
        <w:tabs>
          <w:tab w:val="num" w:pos="6480"/>
        </w:tabs>
        <w:ind w:left="6480" w:hanging="180"/>
      </w:pPr>
    </w:lvl>
  </w:abstractNum>
  <w:abstractNum w:abstractNumId="14" w15:restartNumberingAfterBreak="0">
    <w:nsid w:val="3FA432D1"/>
    <w:multiLevelType w:val="hybridMultilevel"/>
    <w:tmpl w:val="6FA467A6"/>
    <w:lvl w:ilvl="0" w:tplc="F67EDED2">
      <w:start w:val="1"/>
      <w:numFmt w:val="bullet"/>
      <w:lvlText w:val=""/>
      <w:lvlJc w:val="left"/>
      <w:pPr>
        <w:ind w:left="720" w:hanging="360"/>
      </w:pPr>
      <w:rPr>
        <w:rFonts w:ascii="Wingdings" w:hAnsi="Wingdings" w:hint="default"/>
      </w:rPr>
    </w:lvl>
    <w:lvl w:ilvl="1" w:tplc="9A866BF6" w:tentative="1">
      <w:start w:val="1"/>
      <w:numFmt w:val="bullet"/>
      <w:lvlText w:val="o"/>
      <w:lvlJc w:val="left"/>
      <w:pPr>
        <w:ind w:left="1440" w:hanging="360"/>
      </w:pPr>
      <w:rPr>
        <w:rFonts w:ascii="Courier New" w:hAnsi="Courier New" w:cs="Courier New" w:hint="default"/>
      </w:rPr>
    </w:lvl>
    <w:lvl w:ilvl="2" w:tplc="55922600" w:tentative="1">
      <w:start w:val="1"/>
      <w:numFmt w:val="bullet"/>
      <w:lvlText w:val=""/>
      <w:lvlJc w:val="left"/>
      <w:pPr>
        <w:ind w:left="2160" w:hanging="360"/>
      </w:pPr>
      <w:rPr>
        <w:rFonts w:ascii="Wingdings" w:hAnsi="Wingdings" w:hint="default"/>
      </w:rPr>
    </w:lvl>
    <w:lvl w:ilvl="3" w:tplc="270E9F50" w:tentative="1">
      <w:start w:val="1"/>
      <w:numFmt w:val="bullet"/>
      <w:lvlText w:val=""/>
      <w:lvlJc w:val="left"/>
      <w:pPr>
        <w:ind w:left="2880" w:hanging="360"/>
      </w:pPr>
      <w:rPr>
        <w:rFonts w:ascii="Symbol" w:hAnsi="Symbol" w:hint="default"/>
      </w:rPr>
    </w:lvl>
    <w:lvl w:ilvl="4" w:tplc="6D0A9C22" w:tentative="1">
      <w:start w:val="1"/>
      <w:numFmt w:val="bullet"/>
      <w:lvlText w:val="o"/>
      <w:lvlJc w:val="left"/>
      <w:pPr>
        <w:ind w:left="3600" w:hanging="360"/>
      </w:pPr>
      <w:rPr>
        <w:rFonts w:ascii="Courier New" w:hAnsi="Courier New" w:cs="Courier New" w:hint="default"/>
      </w:rPr>
    </w:lvl>
    <w:lvl w:ilvl="5" w:tplc="3424AF78" w:tentative="1">
      <w:start w:val="1"/>
      <w:numFmt w:val="bullet"/>
      <w:lvlText w:val=""/>
      <w:lvlJc w:val="left"/>
      <w:pPr>
        <w:ind w:left="4320" w:hanging="360"/>
      </w:pPr>
      <w:rPr>
        <w:rFonts w:ascii="Wingdings" w:hAnsi="Wingdings" w:hint="default"/>
      </w:rPr>
    </w:lvl>
    <w:lvl w:ilvl="6" w:tplc="1D14F7B6" w:tentative="1">
      <w:start w:val="1"/>
      <w:numFmt w:val="bullet"/>
      <w:lvlText w:val=""/>
      <w:lvlJc w:val="left"/>
      <w:pPr>
        <w:ind w:left="5040" w:hanging="360"/>
      </w:pPr>
      <w:rPr>
        <w:rFonts w:ascii="Symbol" w:hAnsi="Symbol" w:hint="default"/>
      </w:rPr>
    </w:lvl>
    <w:lvl w:ilvl="7" w:tplc="98184A2C" w:tentative="1">
      <w:start w:val="1"/>
      <w:numFmt w:val="bullet"/>
      <w:lvlText w:val="o"/>
      <w:lvlJc w:val="left"/>
      <w:pPr>
        <w:ind w:left="5760" w:hanging="360"/>
      </w:pPr>
      <w:rPr>
        <w:rFonts w:ascii="Courier New" w:hAnsi="Courier New" w:cs="Courier New" w:hint="default"/>
      </w:rPr>
    </w:lvl>
    <w:lvl w:ilvl="8" w:tplc="E078158E" w:tentative="1">
      <w:start w:val="1"/>
      <w:numFmt w:val="bullet"/>
      <w:lvlText w:val=""/>
      <w:lvlJc w:val="left"/>
      <w:pPr>
        <w:ind w:left="6480" w:hanging="360"/>
      </w:pPr>
      <w:rPr>
        <w:rFonts w:ascii="Wingdings" w:hAnsi="Wingdings" w:hint="default"/>
      </w:rPr>
    </w:lvl>
  </w:abstractNum>
  <w:abstractNum w:abstractNumId="15" w15:restartNumberingAfterBreak="0">
    <w:nsid w:val="4FED729E"/>
    <w:multiLevelType w:val="hybridMultilevel"/>
    <w:tmpl w:val="86E8EA42"/>
    <w:lvl w:ilvl="0" w:tplc="521C8A12">
      <w:start w:val="1"/>
      <w:numFmt w:val="lowerLetter"/>
      <w:lvlText w:val="%1)"/>
      <w:lvlJc w:val="left"/>
      <w:pPr>
        <w:ind w:left="927" w:hanging="360"/>
      </w:pPr>
      <w:rPr>
        <w:rFonts w:hint="default"/>
      </w:rPr>
    </w:lvl>
    <w:lvl w:ilvl="1" w:tplc="3C109910" w:tentative="1">
      <w:start w:val="1"/>
      <w:numFmt w:val="lowerLetter"/>
      <w:lvlText w:val="%2."/>
      <w:lvlJc w:val="left"/>
      <w:pPr>
        <w:ind w:left="1647" w:hanging="360"/>
      </w:pPr>
    </w:lvl>
    <w:lvl w:ilvl="2" w:tplc="72F4584E" w:tentative="1">
      <w:start w:val="1"/>
      <w:numFmt w:val="lowerRoman"/>
      <w:lvlText w:val="%3."/>
      <w:lvlJc w:val="right"/>
      <w:pPr>
        <w:ind w:left="2367" w:hanging="180"/>
      </w:pPr>
    </w:lvl>
    <w:lvl w:ilvl="3" w:tplc="0F1CFDFE" w:tentative="1">
      <w:start w:val="1"/>
      <w:numFmt w:val="decimal"/>
      <w:lvlText w:val="%4."/>
      <w:lvlJc w:val="left"/>
      <w:pPr>
        <w:ind w:left="3087" w:hanging="360"/>
      </w:pPr>
    </w:lvl>
    <w:lvl w:ilvl="4" w:tplc="9950174C" w:tentative="1">
      <w:start w:val="1"/>
      <w:numFmt w:val="lowerLetter"/>
      <w:lvlText w:val="%5."/>
      <w:lvlJc w:val="left"/>
      <w:pPr>
        <w:ind w:left="3807" w:hanging="360"/>
      </w:pPr>
    </w:lvl>
    <w:lvl w:ilvl="5" w:tplc="21B46594" w:tentative="1">
      <w:start w:val="1"/>
      <w:numFmt w:val="lowerRoman"/>
      <w:lvlText w:val="%6."/>
      <w:lvlJc w:val="right"/>
      <w:pPr>
        <w:ind w:left="4527" w:hanging="180"/>
      </w:pPr>
    </w:lvl>
    <w:lvl w:ilvl="6" w:tplc="4A4E19FA" w:tentative="1">
      <w:start w:val="1"/>
      <w:numFmt w:val="decimal"/>
      <w:lvlText w:val="%7."/>
      <w:lvlJc w:val="left"/>
      <w:pPr>
        <w:ind w:left="5247" w:hanging="360"/>
      </w:pPr>
    </w:lvl>
    <w:lvl w:ilvl="7" w:tplc="15F83B6C" w:tentative="1">
      <w:start w:val="1"/>
      <w:numFmt w:val="lowerLetter"/>
      <w:lvlText w:val="%8."/>
      <w:lvlJc w:val="left"/>
      <w:pPr>
        <w:ind w:left="5967" w:hanging="360"/>
      </w:pPr>
    </w:lvl>
    <w:lvl w:ilvl="8" w:tplc="1AF2F9EC" w:tentative="1">
      <w:start w:val="1"/>
      <w:numFmt w:val="lowerRoman"/>
      <w:lvlText w:val="%9."/>
      <w:lvlJc w:val="right"/>
      <w:pPr>
        <w:ind w:left="6687" w:hanging="180"/>
      </w:pPr>
    </w:lvl>
  </w:abstractNum>
  <w:abstractNum w:abstractNumId="16" w15:restartNumberingAfterBreak="0">
    <w:nsid w:val="78D13CC0"/>
    <w:multiLevelType w:val="hybridMultilevel"/>
    <w:tmpl w:val="53BCA3EC"/>
    <w:name w:val="Lista a) b) c) d)"/>
    <w:lvl w:ilvl="0" w:tplc="63DEB974">
      <w:start w:val="1"/>
      <w:numFmt w:val="lowerLetter"/>
      <w:pStyle w:val="Listaabcd"/>
      <w:lvlText w:val="%1)"/>
      <w:lvlJc w:val="center"/>
      <w:pPr>
        <w:ind w:left="1080" w:hanging="360"/>
      </w:pPr>
      <w:rPr>
        <w:rFonts w:hint="default"/>
      </w:rPr>
    </w:lvl>
    <w:lvl w:ilvl="1" w:tplc="1A30222E" w:tentative="1">
      <w:start w:val="1"/>
      <w:numFmt w:val="lowerLetter"/>
      <w:lvlText w:val="%2."/>
      <w:lvlJc w:val="left"/>
      <w:pPr>
        <w:ind w:left="1800" w:hanging="360"/>
      </w:pPr>
    </w:lvl>
    <w:lvl w:ilvl="2" w:tplc="9D265C62" w:tentative="1">
      <w:start w:val="1"/>
      <w:numFmt w:val="lowerRoman"/>
      <w:lvlText w:val="%3."/>
      <w:lvlJc w:val="right"/>
      <w:pPr>
        <w:ind w:left="2520" w:hanging="180"/>
      </w:pPr>
    </w:lvl>
    <w:lvl w:ilvl="3" w:tplc="788AC6C4" w:tentative="1">
      <w:start w:val="1"/>
      <w:numFmt w:val="decimal"/>
      <w:lvlText w:val="%4."/>
      <w:lvlJc w:val="left"/>
      <w:pPr>
        <w:ind w:left="3240" w:hanging="360"/>
      </w:pPr>
    </w:lvl>
    <w:lvl w:ilvl="4" w:tplc="EDD0FEBA" w:tentative="1">
      <w:start w:val="1"/>
      <w:numFmt w:val="lowerLetter"/>
      <w:lvlText w:val="%5."/>
      <w:lvlJc w:val="left"/>
      <w:pPr>
        <w:ind w:left="3960" w:hanging="360"/>
      </w:pPr>
    </w:lvl>
    <w:lvl w:ilvl="5" w:tplc="BD504AC6" w:tentative="1">
      <w:start w:val="1"/>
      <w:numFmt w:val="lowerRoman"/>
      <w:lvlText w:val="%6."/>
      <w:lvlJc w:val="right"/>
      <w:pPr>
        <w:ind w:left="4680" w:hanging="180"/>
      </w:pPr>
    </w:lvl>
    <w:lvl w:ilvl="6" w:tplc="E19831B2" w:tentative="1">
      <w:start w:val="1"/>
      <w:numFmt w:val="decimal"/>
      <w:lvlText w:val="%7."/>
      <w:lvlJc w:val="left"/>
      <w:pPr>
        <w:ind w:left="5400" w:hanging="360"/>
      </w:pPr>
    </w:lvl>
    <w:lvl w:ilvl="7" w:tplc="E0908EAC" w:tentative="1">
      <w:start w:val="1"/>
      <w:numFmt w:val="lowerLetter"/>
      <w:lvlText w:val="%8."/>
      <w:lvlJc w:val="left"/>
      <w:pPr>
        <w:ind w:left="6120" w:hanging="360"/>
      </w:pPr>
    </w:lvl>
    <w:lvl w:ilvl="8" w:tplc="F598896C" w:tentative="1">
      <w:start w:val="1"/>
      <w:numFmt w:val="lowerRoman"/>
      <w:lvlText w:val="%9."/>
      <w:lvlJc w:val="right"/>
      <w:pPr>
        <w:ind w:left="6840" w:hanging="180"/>
      </w:pPr>
    </w:lvl>
  </w:abstractNum>
  <w:num w:numId="1" w16cid:durableId="588545903">
    <w:abstractNumId w:val="0"/>
  </w:num>
  <w:num w:numId="2" w16cid:durableId="1617523072">
    <w:abstractNumId w:val="6"/>
  </w:num>
  <w:num w:numId="3" w16cid:durableId="1519199099">
    <w:abstractNumId w:val="13"/>
  </w:num>
  <w:num w:numId="4" w16cid:durableId="217018457">
    <w:abstractNumId w:val="2"/>
  </w:num>
  <w:num w:numId="5" w16cid:durableId="858616239">
    <w:abstractNumId w:val="10"/>
  </w:num>
  <w:num w:numId="6" w16cid:durableId="1759322609">
    <w:abstractNumId w:val="5"/>
  </w:num>
  <w:num w:numId="7" w16cid:durableId="2067365373">
    <w:abstractNumId w:val="14"/>
  </w:num>
  <w:num w:numId="8" w16cid:durableId="1842548768">
    <w:abstractNumId w:val="12"/>
  </w:num>
  <w:num w:numId="9" w16cid:durableId="736322669">
    <w:abstractNumId w:val="16"/>
  </w:num>
  <w:num w:numId="10" w16cid:durableId="1130241864">
    <w:abstractNumId w:val="3"/>
  </w:num>
  <w:num w:numId="11" w16cid:durableId="1910580429">
    <w:abstractNumId w:val="7"/>
  </w:num>
  <w:num w:numId="12" w16cid:durableId="174812612">
    <w:abstractNumId w:val="1"/>
  </w:num>
  <w:num w:numId="13" w16cid:durableId="1170563419">
    <w:abstractNumId w:val="15"/>
  </w:num>
  <w:num w:numId="14" w16cid:durableId="1009141621">
    <w:abstractNumId w:val="8"/>
  </w:num>
  <w:num w:numId="15" w16cid:durableId="917207149">
    <w:abstractNumId w:val="4"/>
  </w:num>
  <w:num w:numId="16" w16cid:durableId="547759414">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drawingGridHorizontalSpacing w:val="105"/>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679"/>
    <w:rsid w:val="00001EFF"/>
    <w:rsid w:val="00002963"/>
    <w:rsid w:val="00002E62"/>
    <w:rsid w:val="00002F65"/>
    <w:rsid w:val="00003D0D"/>
    <w:rsid w:val="0000432A"/>
    <w:rsid w:val="00007904"/>
    <w:rsid w:val="000107D8"/>
    <w:rsid w:val="00010C11"/>
    <w:rsid w:val="00010FA7"/>
    <w:rsid w:val="0001108D"/>
    <w:rsid w:val="00011443"/>
    <w:rsid w:val="000139CD"/>
    <w:rsid w:val="00016CBF"/>
    <w:rsid w:val="000174DD"/>
    <w:rsid w:val="00017607"/>
    <w:rsid w:val="00017925"/>
    <w:rsid w:val="00022245"/>
    <w:rsid w:val="00022340"/>
    <w:rsid w:val="00023549"/>
    <w:rsid w:val="000236FB"/>
    <w:rsid w:val="00023ECC"/>
    <w:rsid w:val="00024196"/>
    <w:rsid w:val="000244A3"/>
    <w:rsid w:val="000246DD"/>
    <w:rsid w:val="00025362"/>
    <w:rsid w:val="00026A34"/>
    <w:rsid w:val="000306E3"/>
    <w:rsid w:val="00031942"/>
    <w:rsid w:val="00032042"/>
    <w:rsid w:val="00034160"/>
    <w:rsid w:val="00034A35"/>
    <w:rsid w:val="000354A3"/>
    <w:rsid w:val="00035E8A"/>
    <w:rsid w:val="00035EF1"/>
    <w:rsid w:val="000407DB"/>
    <w:rsid w:val="00040E28"/>
    <w:rsid w:val="00041450"/>
    <w:rsid w:val="00041FC4"/>
    <w:rsid w:val="000423A0"/>
    <w:rsid w:val="00043012"/>
    <w:rsid w:val="0004544B"/>
    <w:rsid w:val="00047FFB"/>
    <w:rsid w:val="00052686"/>
    <w:rsid w:val="00053179"/>
    <w:rsid w:val="00053299"/>
    <w:rsid w:val="00053A80"/>
    <w:rsid w:val="0006013B"/>
    <w:rsid w:val="00060451"/>
    <w:rsid w:val="000629CB"/>
    <w:rsid w:val="00063ACF"/>
    <w:rsid w:val="00064041"/>
    <w:rsid w:val="00065116"/>
    <w:rsid w:val="00067AFE"/>
    <w:rsid w:val="00070D4D"/>
    <w:rsid w:val="00071125"/>
    <w:rsid w:val="00071E3B"/>
    <w:rsid w:val="00071F76"/>
    <w:rsid w:val="00074534"/>
    <w:rsid w:val="000754F2"/>
    <w:rsid w:val="000758D4"/>
    <w:rsid w:val="00076F91"/>
    <w:rsid w:val="0008119A"/>
    <w:rsid w:val="00081E97"/>
    <w:rsid w:val="00083032"/>
    <w:rsid w:val="00083B8F"/>
    <w:rsid w:val="000847C6"/>
    <w:rsid w:val="00084F70"/>
    <w:rsid w:val="0008524D"/>
    <w:rsid w:val="000868E3"/>
    <w:rsid w:val="00086ABF"/>
    <w:rsid w:val="000871EF"/>
    <w:rsid w:val="000903CA"/>
    <w:rsid w:val="00091813"/>
    <w:rsid w:val="00093909"/>
    <w:rsid w:val="00095778"/>
    <w:rsid w:val="000963EF"/>
    <w:rsid w:val="00096756"/>
    <w:rsid w:val="00096FBB"/>
    <w:rsid w:val="000A2FE5"/>
    <w:rsid w:val="000A3178"/>
    <w:rsid w:val="000A4D37"/>
    <w:rsid w:val="000A51A9"/>
    <w:rsid w:val="000A6825"/>
    <w:rsid w:val="000A7590"/>
    <w:rsid w:val="000B1409"/>
    <w:rsid w:val="000B1978"/>
    <w:rsid w:val="000B20DC"/>
    <w:rsid w:val="000B3E6F"/>
    <w:rsid w:val="000B40DE"/>
    <w:rsid w:val="000B629B"/>
    <w:rsid w:val="000B6BB5"/>
    <w:rsid w:val="000B729C"/>
    <w:rsid w:val="000B7645"/>
    <w:rsid w:val="000B7A72"/>
    <w:rsid w:val="000B7F47"/>
    <w:rsid w:val="000C162B"/>
    <w:rsid w:val="000C1974"/>
    <w:rsid w:val="000C2B8A"/>
    <w:rsid w:val="000C3424"/>
    <w:rsid w:val="000C39AB"/>
    <w:rsid w:val="000C45DB"/>
    <w:rsid w:val="000C4BE9"/>
    <w:rsid w:val="000C5A28"/>
    <w:rsid w:val="000C61A2"/>
    <w:rsid w:val="000C6DAF"/>
    <w:rsid w:val="000C7020"/>
    <w:rsid w:val="000C7615"/>
    <w:rsid w:val="000D1F5C"/>
    <w:rsid w:val="000D528F"/>
    <w:rsid w:val="000D77B5"/>
    <w:rsid w:val="000D7907"/>
    <w:rsid w:val="000D7A8E"/>
    <w:rsid w:val="000E1EBB"/>
    <w:rsid w:val="000E29E7"/>
    <w:rsid w:val="000E3572"/>
    <w:rsid w:val="000E3CC8"/>
    <w:rsid w:val="000E40BE"/>
    <w:rsid w:val="000E444B"/>
    <w:rsid w:val="000E49B2"/>
    <w:rsid w:val="000E4C44"/>
    <w:rsid w:val="000E4D41"/>
    <w:rsid w:val="000E4D60"/>
    <w:rsid w:val="000E56B1"/>
    <w:rsid w:val="000E6D3A"/>
    <w:rsid w:val="000E75A4"/>
    <w:rsid w:val="000F0AD4"/>
    <w:rsid w:val="000F0EE6"/>
    <w:rsid w:val="000F115C"/>
    <w:rsid w:val="000F29B7"/>
    <w:rsid w:val="000F3DF6"/>
    <w:rsid w:val="000F3ECD"/>
    <w:rsid w:val="000F417D"/>
    <w:rsid w:val="000F4F9D"/>
    <w:rsid w:val="000F668F"/>
    <w:rsid w:val="000F6DC5"/>
    <w:rsid w:val="00101A53"/>
    <w:rsid w:val="00101AAF"/>
    <w:rsid w:val="00101DBF"/>
    <w:rsid w:val="0010348A"/>
    <w:rsid w:val="00103EFB"/>
    <w:rsid w:val="00104142"/>
    <w:rsid w:val="00104203"/>
    <w:rsid w:val="001042EB"/>
    <w:rsid w:val="0010516D"/>
    <w:rsid w:val="00106359"/>
    <w:rsid w:val="00106C91"/>
    <w:rsid w:val="00107051"/>
    <w:rsid w:val="0011326C"/>
    <w:rsid w:val="001134FF"/>
    <w:rsid w:val="00114BEC"/>
    <w:rsid w:val="0011513B"/>
    <w:rsid w:val="00115353"/>
    <w:rsid w:val="00115431"/>
    <w:rsid w:val="0011634C"/>
    <w:rsid w:val="00116CF5"/>
    <w:rsid w:val="00120565"/>
    <w:rsid w:val="001209D9"/>
    <w:rsid w:val="001213C6"/>
    <w:rsid w:val="001224CA"/>
    <w:rsid w:val="00123AE2"/>
    <w:rsid w:val="00123CBB"/>
    <w:rsid w:val="001258BA"/>
    <w:rsid w:val="001341FD"/>
    <w:rsid w:val="00134AE3"/>
    <w:rsid w:val="00135AEC"/>
    <w:rsid w:val="00136672"/>
    <w:rsid w:val="00140B94"/>
    <w:rsid w:val="0014202A"/>
    <w:rsid w:val="00143456"/>
    <w:rsid w:val="00143B7C"/>
    <w:rsid w:val="00146EF8"/>
    <w:rsid w:val="0014727A"/>
    <w:rsid w:val="001472B1"/>
    <w:rsid w:val="00150213"/>
    <w:rsid w:val="00150423"/>
    <w:rsid w:val="001543F7"/>
    <w:rsid w:val="00154D3C"/>
    <w:rsid w:val="0015508A"/>
    <w:rsid w:val="0015593D"/>
    <w:rsid w:val="001560B8"/>
    <w:rsid w:val="00156E3C"/>
    <w:rsid w:val="00156EE1"/>
    <w:rsid w:val="001575FD"/>
    <w:rsid w:val="00161F3F"/>
    <w:rsid w:val="0016353A"/>
    <w:rsid w:val="001635F2"/>
    <w:rsid w:val="001639FA"/>
    <w:rsid w:val="00164A05"/>
    <w:rsid w:val="0016555A"/>
    <w:rsid w:val="00165AF2"/>
    <w:rsid w:val="00170BCE"/>
    <w:rsid w:val="00171A10"/>
    <w:rsid w:val="00171F0A"/>
    <w:rsid w:val="0017238C"/>
    <w:rsid w:val="001737BC"/>
    <w:rsid w:val="00173D96"/>
    <w:rsid w:val="0017444C"/>
    <w:rsid w:val="00174E46"/>
    <w:rsid w:val="00175E91"/>
    <w:rsid w:val="00177806"/>
    <w:rsid w:val="00177881"/>
    <w:rsid w:val="00180D0F"/>
    <w:rsid w:val="00182426"/>
    <w:rsid w:val="0018367D"/>
    <w:rsid w:val="00183F8B"/>
    <w:rsid w:val="0018474A"/>
    <w:rsid w:val="00184D6D"/>
    <w:rsid w:val="00184E39"/>
    <w:rsid w:val="00185DED"/>
    <w:rsid w:val="001864D8"/>
    <w:rsid w:val="00190BDA"/>
    <w:rsid w:val="001913C1"/>
    <w:rsid w:val="001923D5"/>
    <w:rsid w:val="00194C58"/>
    <w:rsid w:val="001962B7"/>
    <w:rsid w:val="00197821"/>
    <w:rsid w:val="001A0A66"/>
    <w:rsid w:val="001A15F5"/>
    <w:rsid w:val="001A1761"/>
    <w:rsid w:val="001A1F35"/>
    <w:rsid w:val="001A455A"/>
    <w:rsid w:val="001A4DE3"/>
    <w:rsid w:val="001B08F5"/>
    <w:rsid w:val="001B29C2"/>
    <w:rsid w:val="001B4F9F"/>
    <w:rsid w:val="001B57F7"/>
    <w:rsid w:val="001B649B"/>
    <w:rsid w:val="001B6C6A"/>
    <w:rsid w:val="001C0481"/>
    <w:rsid w:val="001C0E5A"/>
    <w:rsid w:val="001C1D6F"/>
    <w:rsid w:val="001C3695"/>
    <w:rsid w:val="001C43B5"/>
    <w:rsid w:val="001C4539"/>
    <w:rsid w:val="001C48F9"/>
    <w:rsid w:val="001C6850"/>
    <w:rsid w:val="001C691B"/>
    <w:rsid w:val="001D07D4"/>
    <w:rsid w:val="001D133D"/>
    <w:rsid w:val="001D25FF"/>
    <w:rsid w:val="001D294B"/>
    <w:rsid w:val="001D5ABF"/>
    <w:rsid w:val="001D7DA7"/>
    <w:rsid w:val="001E05A6"/>
    <w:rsid w:val="001E29F5"/>
    <w:rsid w:val="001E55BF"/>
    <w:rsid w:val="001E6372"/>
    <w:rsid w:val="001F1958"/>
    <w:rsid w:val="001F2BA2"/>
    <w:rsid w:val="001F39A2"/>
    <w:rsid w:val="001F4119"/>
    <w:rsid w:val="001F45DA"/>
    <w:rsid w:val="00200610"/>
    <w:rsid w:val="00201B05"/>
    <w:rsid w:val="00204512"/>
    <w:rsid w:val="00205ED6"/>
    <w:rsid w:val="00206371"/>
    <w:rsid w:val="00206CFB"/>
    <w:rsid w:val="0021045B"/>
    <w:rsid w:val="00210E15"/>
    <w:rsid w:val="00211977"/>
    <w:rsid w:val="00213287"/>
    <w:rsid w:val="00214FE9"/>
    <w:rsid w:val="00216455"/>
    <w:rsid w:val="00217F36"/>
    <w:rsid w:val="00221E48"/>
    <w:rsid w:val="0022481D"/>
    <w:rsid w:val="00225252"/>
    <w:rsid w:val="00226B38"/>
    <w:rsid w:val="00226E19"/>
    <w:rsid w:val="00227995"/>
    <w:rsid w:val="00227B35"/>
    <w:rsid w:val="00230648"/>
    <w:rsid w:val="00230B2A"/>
    <w:rsid w:val="002310F6"/>
    <w:rsid w:val="00235196"/>
    <w:rsid w:val="00236010"/>
    <w:rsid w:val="0024022B"/>
    <w:rsid w:val="00242B56"/>
    <w:rsid w:val="00243D10"/>
    <w:rsid w:val="00246B5A"/>
    <w:rsid w:val="00247E76"/>
    <w:rsid w:val="0025011A"/>
    <w:rsid w:val="0025196A"/>
    <w:rsid w:val="00252707"/>
    <w:rsid w:val="00252E63"/>
    <w:rsid w:val="00253C44"/>
    <w:rsid w:val="00254475"/>
    <w:rsid w:val="00257420"/>
    <w:rsid w:val="00261E7A"/>
    <w:rsid w:val="00263C38"/>
    <w:rsid w:val="0026415A"/>
    <w:rsid w:val="00264779"/>
    <w:rsid w:val="00265A5B"/>
    <w:rsid w:val="00266260"/>
    <w:rsid w:val="002674B0"/>
    <w:rsid w:val="00267E24"/>
    <w:rsid w:val="00267E85"/>
    <w:rsid w:val="0027059F"/>
    <w:rsid w:val="00270971"/>
    <w:rsid w:val="002714A9"/>
    <w:rsid w:val="00272A16"/>
    <w:rsid w:val="002739E9"/>
    <w:rsid w:val="00276AB0"/>
    <w:rsid w:val="0028371D"/>
    <w:rsid w:val="00283E0D"/>
    <w:rsid w:val="00284B7B"/>
    <w:rsid w:val="00284EA4"/>
    <w:rsid w:val="00285B35"/>
    <w:rsid w:val="00285E04"/>
    <w:rsid w:val="002861C0"/>
    <w:rsid w:val="002910D4"/>
    <w:rsid w:val="00291655"/>
    <w:rsid w:val="00291B76"/>
    <w:rsid w:val="002934AE"/>
    <w:rsid w:val="00293503"/>
    <w:rsid w:val="002962CD"/>
    <w:rsid w:val="00296DBD"/>
    <w:rsid w:val="002A1011"/>
    <w:rsid w:val="002A26E4"/>
    <w:rsid w:val="002A2A0A"/>
    <w:rsid w:val="002A3D1C"/>
    <w:rsid w:val="002A3DA6"/>
    <w:rsid w:val="002A4027"/>
    <w:rsid w:val="002A4A2E"/>
    <w:rsid w:val="002A4EF1"/>
    <w:rsid w:val="002A5ABA"/>
    <w:rsid w:val="002A5C1E"/>
    <w:rsid w:val="002A66EC"/>
    <w:rsid w:val="002A6D8F"/>
    <w:rsid w:val="002A72E4"/>
    <w:rsid w:val="002A7972"/>
    <w:rsid w:val="002B0FDC"/>
    <w:rsid w:val="002B1AC7"/>
    <w:rsid w:val="002B3111"/>
    <w:rsid w:val="002B6012"/>
    <w:rsid w:val="002B6B32"/>
    <w:rsid w:val="002C0B79"/>
    <w:rsid w:val="002C3763"/>
    <w:rsid w:val="002C3DBB"/>
    <w:rsid w:val="002C524A"/>
    <w:rsid w:val="002C6598"/>
    <w:rsid w:val="002D0196"/>
    <w:rsid w:val="002D31BC"/>
    <w:rsid w:val="002D3DBC"/>
    <w:rsid w:val="002D4DC0"/>
    <w:rsid w:val="002D6180"/>
    <w:rsid w:val="002E0332"/>
    <w:rsid w:val="002E0F5F"/>
    <w:rsid w:val="002E1ACA"/>
    <w:rsid w:val="002E5764"/>
    <w:rsid w:val="002E5CB1"/>
    <w:rsid w:val="002E5EAB"/>
    <w:rsid w:val="002F6E68"/>
    <w:rsid w:val="002F71C5"/>
    <w:rsid w:val="00300194"/>
    <w:rsid w:val="0030130B"/>
    <w:rsid w:val="003014C8"/>
    <w:rsid w:val="00301BA2"/>
    <w:rsid w:val="00302817"/>
    <w:rsid w:val="0030329D"/>
    <w:rsid w:val="00303F92"/>
    <w:rsid w:val="00304E82"/>
    <w:rsid w:val="00305B6A"/>
    <w:rsid w:val="00306907"/>
    <w:rsid w:val="003122E7"/>
    <w:rsid w:val="003133FB"/>
    <w:rsid w:val="00315746"/>
    <w:rsid w:val="00315EA2"/>
    <w:rsid w:val="003167C9"/>
    <w:rsid w:val="00316BEA"/>
    <w:rsid w:val="00320EA3"/>
    <w:rsid w:val="003218C2"/>
    <w:rsid w:val="00321B3F"/>
    <w:rsid w:val="003223B4"/>
    <w:rsid w:val="0032297D"/>
    <w:rsid w:val="00322C80"/>
    <w:rsid w:val="003238AC"/>
    <w:rsid w:val="003250E0"/>
    <w:rsid w:val="00325A3B"/>
    <w:rsid w:val="00325E49"/>
    <w:rsid w:val="00327CCA"/>
    <w:rsid w:val="00330050"/>
    <w:rsid w:val="00330A1F"/>
    <w:rsid w:val="00330E52"/>
    <w:rsid w:val="0033290A"/>
    <w:rsid w:val="00332B53"/>
    <w:rsid w:val="003356D9"/>
    <w:rsid w:val="0033602D"/>
    <w:rsid w:val="00341B04"/>
    <w:rsid w:val="0034235B"/>
    <w:rsid w:val="003427B1"/>
    <w:rsid w:val="00344CC5"/>
    <w:rsid w:val="00345756"/>
    <w:rsid w:val="00346822"/>
    <w:rsid w:val="00351FE4"/>
    <w:rsid w:val="003531A0"/>
    <w:rsid w:val="00354458"/>
    <w:rsid w:val="00354E17"/>
    <w:rsid w:val="00356880"/>
    <w:rsid w:val="0035774E"/>
    <w:rsid w:val="00357E9B"/>
    <w:rsid w:val="00360798"/>
    <w:rsid w:val="0036191D"/>
    <w:rsid w:val="0036295E"/>
    <w:rsid w:val="00362D12"/>
    <w:rsid w:val="00362D48"/>
    <w:rsid w:val="0036400E"/>
    <w:rsid w:val="00367C30"/>
    <w:rsid w:val="003702A0"/>
    <w:rsid w:val="003702CC"/>
    <w:rsid w:val="003703F7"/>
    <w:rsid w:val="003709BB"/>
    <w:rsid w:val="003713CE"/>
    <w:rsid w:val="00372054"/>
    <w:rsid w:val="00373CE5"/>
    <w:rsid w:val="003746E0"/>
    <w:rsid w:val="00376F6C"/>
    <w:rsid w:val="003822D7"/>
    <w:rsid w:val="00382ED6"/>
    <w:rsid w:val="003831E4"/>
    <w:rsid w:val="00385ACD"/>
    <w:rsid w:val="00386A2B"/>
    <w:rsid w:val="00386F5A"/>
    <w:rsid w:val="00387194"/>
    <w:rsid w:val="00390367"/>
    <w:rsid w:val="003903C6"/>
    <w:rsid w:val="00391351"/>
    <w:rsid w:val="00391661"/>
    <w:rsid w:val="00391AB8"/>
    <w:rsid w:val="003920CC"/>
    <w:rsid w:val="00393F06"/>
    <w:rsid w:val="00394E08"/>
    <w:rsid w:val="00395ACE"/>
    <w:rsid w:val="00396CFA"/>
    <w:rsid w:val="003A482D"/>
    <w:rsid w:val="003A7D99"/>
    <w:rsid w:val="003B2B47"/>
    <w:rsid w:val="003B327C"/>
    <w:rsid w:val="003B3BB7"/>
    <w:rsid w:val="003B6B7F"/>
    <w:rsid w:val="003B6C01"/>
    <w:rsid w:val="003B752B"/>
    <w:rsid w:val="003C1BE0"/>
    <w:rsid w:val="003C1F74"/>
    <w:rsid w:val="003C2E4B"/>
    <w:rsid w:val="003C3A61"/>
    <w:rsid w:val="003C4058"/>
    <w:rsid w:val="003C4640"/>
    <w:rsid w:val="003C46B9"/>
    <w:rsid w:val="003C5840"/>
    <w:rsid w:val="003C5C30"/>
    <w:rsid w:val="003C7406"/>
    <w:rsid w:val="003C7433"/>
    <w:rsid w:val="003C7CE0"/>
    <w:rsid w:val="003D0092"/>
    <w:rsid w:val="003D03F3"/>
    <w:rsid w:val="003D19AA"/>
    <w:rsid w:val="003D1E8A"/>
    <w:rsid w:val="003D318E"/>
    <w:rsid w:val="003D53FA"/>
    <w:rsid w:val="003D599E"/>
    <w:rsid w:val="003D5F62"/>
    <w:rsid w:val="003D6A6D"/>
    <w:rsid w:val="003E23C4"/>
    <w:rsid w:val="003E2513"/>
    <w:rsid w:val="003E35BD"/>
    <w:rsid w:val="003E4347"/>
    <w:rsid w:val="003E5A71"/>
    <w:rsid w:val="003E7A6F"/>
    <w:rsid w:val="003F2F36"/>
    <w:rsid w:val="003F2FDB"/>
    <w:rsid w:val="003F3522"/>
    <w:rsid w:val="003F5701"/>
    <w:rsid w:val="003F5D5B"/>
    <w:rsid w:val="003F6799"/>
    <w:rsid w:val="00401E2F"/>
    <w:rsid w:val="00402785"/>
    <w:rsid w:val="004034A5"/>
    <w:rsid w:val="00403762"/>
    <w:rsid w:val="0040618C"/>
    <w:rsid w:val="004066F5"/>
    <w:rsid w:val="004069B5"/>
    <w:rsid w:val="004073B3"/>
    <w:rsid w:val="00410417"/>
    <w:rsid w:val="00411032"/>
    <w:rsid w:val="004112EF"/>
    <w:rsid w:val="0041132D"/>
    <w:rsid w:val="00413658"/>
    <w:rsid w:val="0041556B"/>
    <w:rsid w:val="0041636E"/>
    <w:rsid w:val="004164C4"/>
    <w:rsid w:val="00416897"/>
    <w:rsid w:val="00421E26"/>
    <w:rsid w:val="004227E3"/>
    <w:rsid w:val="00423B09"/>
    <w:rsid w:val="004251CA"/>
    <w:rsid w:val="00425873"/>
    <w:rsid w:val="00426A55"/>
    <w:rsid w:val="00427303"/>
    <w:rsid w:val="00430B88"/>
    <w:rsid w:val="004317C0"/>
    <w:rsid w:val="004318BF"/>
    <w:rsid w:val="004322B0"/>
    <w:rsid w:val="00432EBA"/>
    <w:rsid w:val="00433995"/>
    <w:rsid w:val="00433BA7"/>
    <w:rsid w:val="00434098"/>
    <w:rsid w:val="004348B2"/>
    <w:rsid w:val="00434AE3"/>
    <w:rsid w:val="004353BA"/>
    <w:rsid w:val="004358EC"/>
    <w:rsid w:val="00435CFA"/>
    <w:rsid w:val="00436B0E"/>
    <w:rsid w:val="00436CF2"/>
    <w:rsid w:val="004376AA"/>
    <w:rsid w:val="004379F3"/>
    <w:rsid w:val="004406D2"/>
    <w:rsid w:val="00440913"/>
    <w:rsid w:val="00441F62"/>
    <w:rsid w:val="00443C4F"/>
    <w:rsid w:val="004453BB"/>
    <w:rsid w:val="0044584F"/>
    <w:rsid w:val="00445B56"/>
    <w:rsid w:val="004466C0"/>
    <w:rsid w:val="00450B09"/>
    <w:rsid w:val="004518E0"/>
    <w:rsid w:val="00452736"/>
    <w:rsid w:val="0045289A"/>
    <w:rsid w:val="004541EE"/>
    <w:rsid w:val="00454EC0"/>
    <w:rsid w:val="004566B8"/>
    <w:rsid w:val="00456DD7"/>
    <w:rsid w:val="00457ABC"/>
    <w:rsid w:val="004600DC"/>
    <w:rsid w:val="00460539"/>
    <w:rsid w:val="00464120"/>
    <w:rsid w:val="0046566E"/>
    <w:rsid w:val="004659C0"/>
    <w:rsid w:val="004704BB"/>
    <w:rsid w:val="004722B4"/>
    <w:rsid w:val="00472D96"/>
    <w:rsid w:val="00473187"/>
    <w:rsid w:val="00473457"/>
    <w:rsid w:val="00474065"/>
    <w:rsid w:val="00476565"/>
    <w:rsid w:val="00476C41"/>
    <w:rsid w:val="00476DAC"/>
    <w:rsid w:val="00477AA9"/>
    <w:rsid w:val="004819D0"/>
    <w:rsid w:val="00482671"/>
    <w:rsid w:val="00482A2E"/>
    <w:rsid w:val="00483416"/>
    <w:rsid w:val="00483F6F"/>
    <w:rsid w:val="00486178"/>
    <w:rsid w:val="00486920"/>
    <w:rsid w:val="004876B9"/>
    <w:rsid w:val="00487C59"/>
    <w:rsid w:val="00487E4B"/>
    <w:rsid w:val="00490607"/>
    <w:rsid w:val="004913C9"/>
    <w:rsid w:val="00492784"/>
    <w:rsid w:val="0049458C"/>
    <w:rsid w:val="00494622"/>
    <w:rsid w:val="00495F48"/>
    <w:rsid w:val="004961C9"/>
    <w:rsid w:val="00496831"/>
    <w:rsid w:val="00497A2B"/>
    <w:rsid w:val="004A020E"/>
    <w:rsid w:val="004A18D6"/>
    <w:rsid w:val="004A2D83"/>
    <w:rsid w:val="004A3972"/>
    <w:rsid w:val="004A4A11"/>
    <w:rsid w:val="004A6740"/>
    <w:rsid w:val="004A6E07"/>
    <w:rsid w:val="004B05D7"/>
    <w:rsid w:val="004B0E4B"/>
    <w:rsid w:val="004B1FCD"/>
    <w:rsid w:val="004B2A82"/>
    <w:rsid w:val="004B2AC1"/>
    <w:rsid w:val="004B3F05"/>
    <w:rsid w:val="004B4341"/>
    <w:rsid w:val="004B4B60"/>
    <w:rsid w:val="004B4CF3"/>
    <w:rsid w:val="004B5843"/>
    <w:rsid w:val="004B6E3A"/>
    <w:rsid w:val="004C02C7"/>
    <w:rsid w:val="004C22D3"/>
    <w:rsid w:val="004C5255"/>
    <w:rsid w:val="004D0765"/>
    <w:rsid w:val="004D0999"/>
    <w:rsid w:val="004D1790"/>
    <w:rsid w:val="004D2781"/>
    <w:rsid w:val="004D463D"/>
    <w:rsid w:val="004D4E65"/>
    <w:rsid w:val="004D6189"/>
    <w:rsid w:val="004D7597"/>
    <w:rsid w:val="004E1140"/>
    <w:rsid w:val="004E22AD"/>
    <w:rsid w:val="004E6863"/>
    <w:rsid w:val="004E6EB1"/>
    <w:rsid w:val="004F0C69"/>
    <w:rsid w:val="004F1C5E"/>
    <w:rsid w:val="004F5D36"/>
    <w:rsid w:val="004F6A90"/>
    <w:rsid w:val="004F7A0E"/>
    <w:rsid w:val="00500353"/>
    <w:rsid w:val="00500DEC"/>
    <w:rsid w:val="0050233F"/>
    <w:rsid w:val="005025B9"/>
    <w:rsid w:val="00503308"/>
    <w:rsid w:val="005045A9"/>
    <w:rsid w:val="005047B0"/>
    <w:rsid w:val="00505642"/>
    <w:rsid w:val="00505D3A"/>
    <w:rsid w:val="00505D48"/>
    <w:rsid w:val="00506875"/>
    <w:rsid w:val="0050763B"/>
    <w:rsid w:val="00510739"/>
    <w:rsid w:val="0051122E"/>
    <w:rsid w:val="00511258"/>
    <w:rsid w:val="0051505D"/>
    <w:rsid w:val="0051560B"/>
    <w:rsid w:val="005159DF"/>
    <w:rsid w:val="0051767C"/>
    <w:rsid w:val="00520553"/>
    <w:rsid w:val="005217C1"/>
    <w:rsid w:val="00521D74"/>
    <w:rsid w:val="00523982"/>
    <w:rsid w:val="00523D18"/>
    <w:rsid w:val="0052595F"/>
    <w:rsid w:val="00531E2C"/>
    <w:rsid w:val="00532292"/>
    <w:rsid w:val="00532949"/>
    <w:rsid w:val="00533CF7"/>
    <w:rsid w:val="00537F96"/>
    <w:rsid w:val="005427ED"/>
    <w:rsid w:val="00544F45"/>
    <w:rsid w:val="00545538"/>
    <w:rsid w:val="005459D8"/>
    <w:rsid w:val="00545FD2"/>
    <w:rsid w:val="00546F42"/>
    <w:rsid w:val="00547D7B"/>
    <w:rsid w:val="00550D3A"/>
    <w:rsid w:val="0055227A"/>
    <w:rsid w:val="0055351A"/>
    <w:rsid w:val="00553A91"/>
    <w:rsid w:val="0055567A"/>
    <w:rsid w:val="005560EA"/>
    <w:rsid w:val="00557B41"/>
    <w:rsid w:val="00561366"/>
    <w:rsid w:val="0056308A"/>
    <w:rsid w:val="00563D29"/>
    <w:rsid w:val="00564FFA"/>
    <w:rsid w:val="00565E6D"/>
    <w:rsid w:val="00567599"/>
    <w:rsid w:val="00567C43"/>
    <w:rsid w:val="00570D10"/>
    <w:rsid w:val="005727E8"/>
    <w:rsid w:val="005742B7"/>
    <w:rsid w:val="00575C44"/>
    <w:rsid w:val="00577C05"/>
    <w:rsid w:val="00577E36"/>
    <w:rsid w:val="005800B3"/>
    <w:rsid w:val="005813F4"/>
    <w:rsid w:val="00581681"/>
    <w:rsid w:val="00582B21"/>
    <w:rsid w:val="00583884"/>
    <w:rsid w:val="00584BF4"/>
    <w:rsid w:val="00584C63"/>
    <w:rsid w:val="00585553"/>
    <w:rsid w:val="00586325"/>
    <w:rsid w:val="0058714F"/>
    <w:rsid w:val="0059053E"/>
    <w:rsid w:val="00590C69"/>
    <w:rsid w:val="0059297C"/>
    <w:rsid w:val="00593613"/>
    <w:rsid w:val="00593D61"/>
    <w:rsid w:val="00593FD7"/>
    <w:rsid w:val="00596441"/>
    <w:rsid w:val="00596BAC"/>
    <w:rsid w:val="00596CE3"/>
    <w:rsid w:val="0059798A"/>
    <w:rsid w:val="00597F85"/>
    <w:rsid w:val="005A2820"/>
    <w:rsid w:val="005A30B9"/>
    <w:rsid w:val="005A4C8C"/>
    <w:rsid w:val="005A6B10"/>
    <w:rsid w:val="005B0742"/>
    <w:rsid w:val="005B1077"/>
    <w:rsid w:val="005B14A5"/>
    <w:rsid w:val="005B1A52"/>
    <w:rsid w:val="005B292C"/>
    <w:rsid w:val="005B3677"/>
    <w:rsid w:val="005B40A6"/>
    <w:rsid w:val="005B4CBD"/>
    <w:rsid w:val="005B50AA"/>
    <w:rsid w:val="005B5F3E"/>
    <w:rsid w:val="005B78B1"/>
    <w:rsid w:val="005C013F"/>
    <w:rsid w:val="005C20FE"/>
    <w:rsid w:val="005C375F"/>
    <w:rsid w:val="005C404A"/>
    <w:rsid w:val="005C470C"/>
    <w:rsid w:val="005C4D5E"/>
    <w:rsid w:val="005C58DF"/>
    <w:rsid w:val="005C5DD7"/>
    <w:rsid w:val="005C5FBA"/>
    <w:rsid w:val="005C74D9"/>
    <w:rsid w:val="005D6ED1"/>
    <w:rsid w:val="005D70B4"/>
    <w:rsid w:val="005D73B1"/>
    <w:rsid w:val="005D7935"/>
    <w:rsid w:val="005D79DD"/>
    <w:rsid w:val="005D7A96"/>
    <w:rsid w:val="005D7B4B"/>
    <w:rsid w:val="005D7CBA"/>
    <w:rsid w:val="005D7D18"/>
    <w:rsid w:val="005E0DFE"/>
    <w:rsid w:val="005E1786"/>
    <w:rsid w:val="005E18D2"/>
    <w:rsid w:val="005E1B81"/>
    <w:rsid w:val="005E1DC0"/>
    <w:rsid w:val="005E3153"/>
    <w:rsid w:val="005E509E"/>
    <w:rsid w:val="005E57A3"/>
    <w:rsid w:val="005F087D"/>
    <w:rsid w:val="005F2340"/>
    <w:rsid w:val="005F2EB9"/>
    <w:rsid w:val="005F2F67"/>
    <w:rsid w:val="005F30A9"/>
    <w:rsid w:val="005F5EEE"/>
    <w:rsid w:val="005F61A1"/>
    <w:rsid w:val="005F7047"/>
    <w:rsid w:val="005F78E3"/>
    <w:rsid w:val="00600261"/>
    <w:rsid w:val="00600626"/>
    <w:rsid w:val="00600EAD"/>
    <w:rsid w:val="00601E17"/>
    <w:rsid w:val="00606643"/>
    <w:rsid w:val="006068AD"/>
    <w:rsid w:val="00606BB5"/>
    <w:rsid w:val="00606E92"/>
    <w:rsid w:val="00606FEB"/>
    <w:rsid w:val="006075A6"/>
    <w:rsid w:val="00610F5A"/>
    <w:rsid w:val="00611F80"/>
    <w:rsid w:val="00614239"/>
    <w:rsid w:val="0061436A"/>
    <w:rsid w:val="0061515B"/>
    <w:rsid w:val="00615756"/>
    <w:rsid w:val="00620EF1"/>
    <w:rsid w:val="00620EF6"/>
    <w:rsid w:val="00622910"/>
    <w:rsid w:val="00624080"/>
    <w:rsid w:val="00625076"/>
    <w:rsid w:val="0062597D"/>
    <w:rsid w:val="00625AF2"/>
    <w:rsid w:val="00625D85"/>
    <w:rsid w:val="00626A02"/>
    <w:rsid w:val="00626B97"/>
    <w:rsid w:val="00626C39"/>
    <w:rsid w:val="00631605"/>
    <w:rsid w:val="006331EA"/>
    <w:rsid w:val="00633DDB"/>
    <w:rsid w:val="00634148"/>
    <w:rsid w:val="00636955"/>
    <w:rsid w:val="00637472"/>
    <w:rsid w:val="00637CE7"/>
    <w:rsid w:val="00640CD4"/>
    <w:rsid w:val="00641981"/>
    <w:rsid w:val="00643244"/>
    <w:rsid w:val="00643398"/>
    <w:rsid w:val="0064461B"/>
    <w:rsid w:val="006449A0"/>
    <w:rsid w:val="00647429"/>
    <w:rsid w:val="00647535"/>
    <w:rsid w:val="00647AC8"/>
    <w:rsid w:val="00651302"/>
    <w:rsid w:val="00653F32"/>
    <w:rsid w:val="00654605"/>
    <w:rsid w:val="00654693"/>
    <w:rsid w:val="0065682F"/>
    <w:rsid w:val="00660C7D"/>
    <w:rsid w:val="00661D86"/>
    <w:rsid w:val="0066359A"/>
    <w:rsid w:val="00663A48"/>
    <w:rsid w:val="006640BC"/>
    <w:rsid w:val="00664EC6"/>
    <w:rsid w:val="00665A5B"/>
    <w:rsid w:val="006660FD"/>
    <w:rsid w:val="00666A37"/>
    <w:rsid w:val="00666DDA"/>
    <w:rsid w:val="006678BA"/>
    <w:rsid w:val="0067064F"/>
    <w:rsid w:val="00671861"/>
    <w:rsid w:val="00672AA4"/>
    <w:rsid w:val="00673517"/>
    <w:rsid w:val="006757AB"/>
    <w:rsid w:val="0067728D"/>
    <w:rsid w:val="00681945"/>
    <w:rsid w:val="00681C29"/>
    <w:rsid w:val="00682023"/>
    <w:rsid w:val="00683171"/>
    <w:rsid w:val="00684A78"/>
    <w:rsid w:val="00685A0B"/>
    <w:rsid w:val="006860F2"/>
    <w:rsid w:val="00686290"/>
    <w:rsid w:val="00690F56"/>
    <w:rsid w:val="00692572"/>
    <w:rsid w:val="00696AA4"/>
    <w:rsid w:val="00697D5F"/>
    <w:rsid w:val="006A1427"/>
    <w:rsid w:val="006A14A2"/>
    <w:rsid w:val="006A2382"/>
    <w:rsid w:val="006A3375"/>
    <w:rsid w:val="006A5E7B"/>
    <w:rsid w:val="006A7340"/>
    <w:rsid w:val="006A73A0"/>
    <w:rsid w:val="006A7452"/>
    <w:rsid w:val="006B018F"/>
    <w:rsid w:val="006B15E6"/>
    <w:rsid w:val="006B160B"/>
    <w:rsid w:val="006B2358"/>
    <w:rsid w:val="006B4AA8"/>
    <w:rsid w:val="006B603A"/>
    <w:rsid w:val="006C0212"/>
    <w:rsid w:val="006C069D"/>
    <w:rsid w:val="006C180E"/>
    <w:rsid w:val="006C459B"/>
    <w:rsid w:val="006D221D"/>
    <w:rsid w:val="006D57A1"/>
    <w:rsid w:val="006D70CF"/>
    <w:rsid w:val="006D7504"/>
    <w:rsid w:val="006E1EA1"/>
    <w:rsid w:val="006E250F"/>
    <w:rsid w:val="006E5E64"/>
    <w:rsid w:val="006E69B4"/>
    <w:rsid w:val="006F0DF0"/>
    <w:rsid w:val="006F1783"/>
    <w:rsid w:val="006F1BCE"/>
    <w:rsid w:val="006F3257"/>
    <w:rsid w:val="006F3785"/>
    <w:rsid w:val="006F3C08"/>
    <w:rsid w:val="006F4203"/>
    <w:rsid w:val="006F53D5"/>
    <w:rsid w:val="006F6111"/>
    <w:rsid w:val="006F6856"/>
    <w:rsid w:val="007001F6"/>
    <w:rsid w:val="00700267"/>
    <w:rsid w:val="00701630"/>
    <w:rsid w:val="007031FB"/>
    <w:rsid w:val="00703594"/>
    <w:rsid w:val="00704DC6"/>
    <w:rsid w:val="00707AC0"/>
    <w:rsid w:val="00712402"/>
    <w:rsid w:val="00712480"/>
    <w:rsid w:val="007148D6"/>
    <w:rsid w:val="007149EE"/>
    <w:rsid w:val="007156F6"/>
    <w:rsid w:val="0071572A"/>
    <w:rsid w:val="00715930"/>
    <w:rsid w:val="00715B61"/>
    <w:rsid w:val="00715E10"/>
    <w:rsid w:val="00715FC0"/>
    <w:rsid w:val="0071644B"/>
    <w:rsid w:val="007169C1"/>
    <w:rsid w:val="00717EF8"/>
    <w:rsid w:val="00720F33"/>
    <w:rsid w:val="00722907"/>
    <w:rsid w:val="007236EB"/>
    <w:rsid w:val="00723E29"/>
    <w:rsid w:val="00724158"/>
    <w:rsid w:val="007246DA"/>
    <w:rsid w:val="0072546C"/>
    <w:rsid w:val="00727754"/>
    <w:rsid w:val="0073376C"/>
    <w:rsid w:val="007348F8"/>
    <w:rsid w:val="00734FBC"/>
    <w:rsid w:val="0073601B"/>
    <w:rsid w:val="007369C0"/>
    <w:rsid w:val="00736F2D"/>
    <w:rsid w:val="007372AF"/>
    <w:rsid w:val="00742EA9"/>
    <w:rsid w:val="00742EC4"/>
    <w:rsid w:val="00743076"/>
    <w:rsid w:val="00743516"/>
    <w:rsid w:val="00745DAA"/>
    <w:rsid w:val="007471A1"/>
    <w:rsid w:val="007503C6"/>
    <w:rsid w:val="007507EB"/>
    <w:rsid w:val="00750C7F"/>
    <w:rsid w:val="00750E01"/>
    <w:rsid w:val="007533ED"/>
    <w:rsid w:val="00753F32"/>
    <w:rsid w:val="007540F1"/>
    <w:rsid w:val="00754A30"/>
    <w:rsid w:val="00762D2D"/>
    <w:rsid w:val="007642D4"/>
    <w:rsid w:val="0076442B"/>
    <w:rsid w:val="0076789C"/>
    <w:rsid w:val="00767A38"/>
    <w:rsid w:val="00773A15"/>
    <w:rsid w:val="0077421F"/>
    <w:rsid w:val="00774536"/>
    <w:rsid w:val="00774D91"/>
    <w:rsid w:val="00775D7D"/>
    <w:rsid w:val="00775FC4"/>
    <w:rsid w:val="00776C77"/>
    <w:rsid w:val="00783202"/>
    <w:rsid w:val="007839A7"/>
    <w:rsid w:val="007839CC"/>
    <w:rsid w:val="00784E17"/>
    <w:rsid w:val="00785116"/>
    <w:rsid w:val="0079036D"/>
    <w:rsid w:val="00790859"/>
    <w:rsid w:val="00791E0A"/>
    <w:rsid w:val="00791E50"/>
    <w:rsid w:val="007A07AB"/>
    <w:rsid w:val="007A0AFD"/>
    <w:rsid w:val="007A12E9"/>
    <w:rsid w:val="007A19C7"/>
    <w:rsid w:val="007A1ACB"/>
    <w:rsid w:val="007A26D6"/>
    <w:rsid w:val="007A3C4E"/>
    <w:rsid w:val="007A45B7"/>
    <w:rsid w:val="007B159D"/>
    <w:rsid w:val="007B1753"/>
    <w:rsid w:val="007B20D2"/>
    <w:rsid w:val="007B2D1F"/>
    <w:rsid w:val="007B576F"/>
    <w:rsid w:val="007B6C13"/>
    <w:rsid w:val="007C0176"/>
    <w:rsid w:val="007C03F7"/>
    <w:rsid w:val="007C17F4"/>
    <w:rsid w:val="007C1AE6"/>
    <w:rsid w:val="007C4430"/>
    <w:rsid w:val="007C4550"/>
    <w:rsid w:val="007C4823"/>
    <w:rsid w:val="007C5838"/>
    <w:rsid w:val="007C654C"/>
    <w:rsid w:val="007C6737"/>
    <w:rsid w:val="007C79DD"/>
    <w:rsid w:val="007D0ADB"/>
    <w:rsid w:val="007D10E8"/>
    <w:rsid w:val="007D2C44"/>
    <w:rsid w:val="007D35FA"/>
    <w:rsid w:val="007D4683"/>
    <w:rsid w:val="007D491C"/>
    <w:rsid w:val="007D549E"/>
    <w:rsid w:val="007D6651"/>
    <w:rsid w:val="007D66B8"/>
    <w:rsid w:val="007D7878"/>
    <w:rsid w:val="007E18E5"/>
    <w:rsid w:val="007E267C"/>
    <w:rsid w:val="007E4421"/>
    <w:rsid w:val="007E4E1C"/>
    <w:rsid w:val="007E6CE7"/>
    <w:rsid w:val="007E7FCE"/>
    <w:rsid w:val="007F0A63"/>
    <w:rsid w:val="007F21E5"/>
    <w:rsid w:val="007F48B9"/>
    <w:rsid w:val="007F497C"/>
    <w:rsid w:val="007F52B7"/>
    <w:rsid w:val="007F7E38"/>
    <w:rsid w:val="007F7F66"/>
    <w:rsid w:val="00800289"/>
    <w:rsid w:val="00800C4F"/>
    <w:rsid w:val="00803344"/>
    <w:rsid w:val="008033B7"/>
    <w:rsid w:val="00803C91"/>
    <w:rsid w:val="00804091"/>
    <w:rsid w:val="0080461B"/>
    <w:rsid w:val="008062CF"/>
    <w:rsid w:val="008063D2"/>
    <w:rsid w:val="00806F57"/>
    <w:rsid w:val="008071BC"/>
    <w:rsid w:val="0080746F"/>
    <w:rsid w:val="0080765F"/>
    <w:rsid w:val="00810821"/>
    <w:rsid w:val="008110E5"/>
    <w:rsid w:val="008111B3"/>
    <w:rsid w:val="0081246A"/>
    <w:rsid w:val="00814A55"/>
    <w:rsid w:val="00815275"/>
    <w:rsid w:val="0081565A"/>
    <w:rsid w:val="00817237"/>
    <w:rsid w:val="00817A0D"/>
    <w:rsid w:val="00817C7D"/>
    <w:rsid w:val="00821714"/>
    <w:rsid w:val="00822317"/>
    <w:rsid w:val="00824768"/>
    <w:rsid w:val="00826150"/>
    <w:rsid w:val="00826943"/>
    <w:rsid w:val="008305D6"/>
    <w:rsid w:val="00831AE4"/>
    <w:rsid w:val="008323F1"/>
    <w:rsid w:val="00833223"/>
    <w:rsid w:val="0083420B"/>
    <w:rsid w:val="00836546"/>
    <w:rsid w:val="008368C1"/>
    <w:rsid w:val="00836CBE"/>
    <w:rsid w:val="008372D5"/>
    <w:rsid w:val="00840894"/>
    <w:rsid w:val="00840D0F"/>
    <w:rsid w:val="008417C4"/>
    <w:rsid w:val="00841E0C"/>
    <w:rsid w:val="00841F61"/>
    <w:rsid w:val="00843FE1"/>
    <w:rsid w:val="00844153"/>
    <w:rsid w:val="00845384"/>
    <w:rsid w:val="00845ECC"/>
    <w:rsid w:val="00846B31"/>
    <w:rsid w:val="00853D50"/>
    <w:rsid w:val="008559A0"/>
    <w:rsid w:val="008606DD"/>
    <w:rsid w:val="0086131A"/>
    <w:rsid w:val="00861588"/>
    <w:rsid w:val="00861C52"/>
    <w:rsid w:val="00862F7C"/>
    <w:rsid w:val="0086495C"/>
    <w:rsid w:val="00872A64"/>
    <w:rsid w:val="00872F07"/>
    <w:rsid w:val="0087354C"/>
    <w:rsid w:val="00876524"/>
    <w:rsid w:val="00877082"/>
    <w:rsid w:val="00877326"/>
    <w:rsid w:val="00877FDD"/>
    <w:rsid w:val="00881AF7"/>
    <w:rsid w:val="0088285D"/>
    <w:rsid w:val="00885C01"/>
    <w:rsid w:val="00886D37"/>
    <w:rsid w:val="00887025"/>
    <w:rsid w:val="008906F8"/>
    <w:rsid w:val="0089080B"/>
    <w:rsid w:val="00890B2B"/>
    <w:rsid w:val="0089185D"/>
    <w:rsid w:val="00893588"/>
    <w:rsid w:val="0089496A"/>
    <w:rsid w:val="00895063"/>
    <w:rsid w:val="00895A70"/>
    <w:rsid w:val="008A0691"/>
    <w:rsid w:val="008A3051"/>
    <w:rsid w:val="008A31ED"/>
    <w:rsid w:val="008A355B"/>
    <w:rsid w:val="008A38A6"/>
    <w:rsid w:val="008A5D26"/>
    <w:rsid w:val="008A5FA4"/>
    <w:rsid w:val="008A69E4"/>
    <w:rsid w:val="008A6F45"/>
    <w:rsid w:val="008B0345"/>
    <w:rsid w:val="008B0BFD"/>
    <w:rsid w:val="008B1B92"/>
    <w:rsid w:val="008B2806"/>
    <w:rsid w:val="008B4477"/>
    <w:rsid w:val="008B44E6"/>
    <w:rsid w:val="008B4B32"/>
    <w:rsid w:val="008B5E58"/>
    <w:rsid w:val="008B6C9B"/>
    <w:rsid w:val="008C09DF"/>
    <w:rsid w:val="008C1226"/>
    <w:rsid w:val="008C15DB"/>
    <w:rsid w:val="008C23F8"/>
    <w:rsid w:val="008C40CD"/>
    <w:rsid w:val="008C438C"/>
    <w:rsid w:val="008C47E8"/>
    <w:rsid w:val="008C77D5"/>
    <w:rsid w:val="008C7ADC"/>
    <w:rsid w:val="008D1436"/>
    <w:rsid w:val="008D2618"/>
    <w:rsid w:val="008D3FA8"/>
    <w:rsid w:val="008D459A"/>
    <w:rsid w:val="008D586E"/>
    <w:rsid w:val="008D6AED"/>
    <w:rsid w:val="008D7450"/>
    <w:rsid w:val="008E0D77"/>
    <w:rsid w:val="008E1364"/>
    <w:rsid w:val="008E444D"/>
    <w:rsid w:val="008E562A"/>
    <w:rsid w:val="008E60CC"/>
    <w:rsid w:val="008F1989"/>
    <w:rsid w:val="008F26A7"/>
    <w:rsid w:val="008F3824"/>
    <w:rsid w:val="008F5E36"/>
    <w:rsid w:val="008F7FF3"/>
    <w:rsid w:val="00901FCE"/>
    <w:rsid w:val="00902741"/>
    <w:rsid w:val="00902A1D"/>
    <w:rsid w:val="00904B3C"/>
    <w:rsid w:val="009055E4"/>
    <w:rsid w:val="00906392"/>
    <w:rsid w:val="00907BBA"/>
    <w:rsid w:val="00911200"/>
    <w:rsid w:val="009117A1"/>
    <w:rsid w:val="00911B48"/>
    <w:rsid w:val="00913D00"/>
    <w:rsid w:val="00916321"/>
    <w:rsid w:val="0091666A"/>
    <w:rsid w:val="009171EA"/>
    <w:rsid w:val="0091734D"/>
    <w:rsid w:val="00920A69"/>
    <w:rsid w:val="00921637"/>
    <w:rsid w:val="0092166B"/>
    <w:rsid w:val="00921719"/>
    <w:rsid w:val="009231FA"/>
    <w:rsid w:val="00923417"/>
    <w:rsid w:val="00924DF9"/>
    <w:rsid w:val="00925002"/>
    <w:rsid w:val="0092617D"/>
    <w:rsid w:val="0092683A"/>
    <w:rsid w:val="00926C6A"/>
    <w:rsid w:val="009319B2"/>
    <w:rsid w:val="00932FB4"/>
    <w:rsid w:val="009332F7"/>
    <w:rsid w:val="00934D26"/>
    <w:rsid w:val="00936DE7"/>
    <w:rsid w:val="00941685"/>
    <w:rsid w:val="009425BB"/>
    <w:rsid w:val="00942715"/>
    <w:rsid w:val="00942859"/>
    <w:rsid w:val="009441CE"/>
    <w:rsid w:val="00945437"/>
    <w:rsid w:val="0094555D"/>
    <w:rsid w:val="00945804"/>
    <w:rsid w:val="00946613"/>
    <w:rsid w:val="009469CF"/>
    <w:rsid w:val="00946AE4"/>
    <w:rsid w:val="00947AE8"/>
    <w:rsid w:val="0095152E"/>
    <w:rsid w:val="009515B0"/>
    <w:rsid w:val="0095415C"/>
    <w:rsid w:val="00954AE0"/>
    <w:rsid w:val="0095691C"/>
    <w:rsid w:val="00957028"/>
    <w:rsid w:val="0095708F"/>
    <w:rsid w:val="009573E1"/>
    <w:rsid w:val="00960CFA"/>
    <w:rsid w:val="00960ED9"/>
    <w:rsid w:val="009617C1"/>
    <w:rsid w:val="00961A69"/>
    <w:rsid w:val="009651CF"/>
    <w:rsid w:val="0096664A"/>
    <w:rsid w:val="00966A7F"/>
    <w:rsid w:val="009671B3"/>
    <w:rsid w:val="00967B22"/>
    <w:rsid w:val="00967D80"/>
    <w:rsid w:val="0097322E"/>
    <w:rsid w:val="00974420"/>
    <w:rsid w:val="0097482C"/>
    <w:rsid w:val="00975666"/>
    <w:rsid w:val="009771B7"/>
    <w:rsid w:val="00977958"/>
    <w:rsid w:val="00980321"/>
    <w:rsid w:val="009818FC"/>
    <w:rsid w:val="00983539"/>
    <w:rsid w:val="0098376F"/>
    <w:rsid w:val="00984CB2"/>
    <w:rsid w:val="00986ACC"/>
    <w:rsid w:val="00987BEC"/>
    <w:rsid w:val="009902F4"/>
    <w:rsid w:val="00990C1A"/>
    <w:rsid w:val="009924C2"/>
    <w:rsid w:val="00994A90"/>
    <w:rsid w:val="00994BAE"/>
    <w:rsid w:val="0099750A"/>
    <w:rsid w:val="009A0BE1"/>
    <w:rsid w:val="009A1F3C"/>
    <w:rsid w:val="009A2957"/>
    <w:rsid w:val="009A545C"/>
    <w:rsid w:val="009A6796"/>
    <w:rsid w:val="009A7412"/>
    <w:rsid w:val="009A7888"/>
    <w:rsid w:val="009B0092"/>
    <w:rsid w:val="009B104D"/>
    <w:rsid w:val="009B10B1"/>
    <w:rsid w:val="009B2BF4"/>
    <w:rsid w:val="009B2F07"/>
    <w:rsid w:val="009B377E"/>
    <w:rsid w:val="009B4BEF"/>
    <w:rsid w:val="009B7FC4"/>
    <w:rsid w:val="009C14C9"/>
    <w:rsid w:val="009C1E37"/>
    <w:rsid w:val="009C36C2"/>
    <w:rsid w:val="009C5D6F"/>
    <w:rsid w:val="009C76B1"/>
    <w:rsid w:val="009C79EE"/>
    <w:rsid w:val="009C7AB6"/>
    <w:rsid w:val="009C7FFD"/>
    <w:rsid w:val="009D047A"/>
    <w:rsid w:val="009D1800"/>
    <w:rsid w:val="009D24F1"/>
    <w:rsid w:val="009D2A51"/>
    <w:rsid w:val="009D32BC"/>
    <w:rsid w:val="009D452F"/>
    <w:rsid w:val="009D5899"/>
    <w:rsid w:val="009D5C82"/>
    <w:rsid w:val="009D72AA"/>
    <w:rsid w:val="009D79A9"/>
    <w:rsid w:val="009E0709"/>
    <w:rsid w:val="009E0DB7"/>
    <w:rsid w:val="009E40F3"/>
    <w:rsid w:val="009E5624"/>
    <w:rsid w:val="009E6716"/>
    <w:rsid w:val="009E67D9"/>
    <w:rsid w:val="009E6EC9"/>
    <w:rsid w:val="009E7145"/>
    <w:rsid w:val="009E7991"/>
    <w:rsid w:val="009F0D7D"/>
    <w:rsid w:val="009F1270"/>
    <w:rsid w:val="009F190E"/>
    <w:rsid w:val="009F3152"/>
    <w:rsid w:val="009F37C8"/>
    <w:rsid w:val="009F3AA9"/>
    <w:rsid w:val="009F407B"/>
    <w:rsid w:val="009F4167"/>
    <w:rsid w:val="009F4178"/>
    <w:rsid w:val="009F4CDA"/>
    <w:rsid w:val="009F4ED6"/>
    <w:rsid w:val="009F5E0D"/>
    <w:rsid w:val="009F71DF"/>
    <w:rsid w:val="009F7E1F"/>
    <w:rsid w:val="00A008A2"/>
    <w:rsid w:val="00A02381"/>
    <w:rsid w:val="00A02D0D"/>
    <w:rsid w:val="00A04144"/>
    <w:rsid w:val="00A04BDF"/>
    <w:rsid w:val="00A0776D"/>
    <w:rsid w:val="00A077AB"/>
    <w:rsid w:val="00A106A1"/>
    <w:rsid w:val="00A10895"/>
    <w:rsid w:val="00A10C70"/>
    <w:rsid w:val="00A11298"/>
    <w:rsid w:val="00A12082"/>
    <w:rsid w:val="00A1232C"/>
    <w:rsid w:val="00A138CD"/>
    <w:rsid w:val="00A13F95"/>
    <w:rsid w:val="00A15594"/>
    <w:rsid w:val="00A155DB"/>
    <w:rsid w:val="00A16301"/>
    <w:rsid w:val="00A17663"/>
    <w:rsid w:val="00A205DD"/>
    <w:rsid w:val="00A21DFD"/>
    <w:rsid w:val="00A23128"/>
    <w:rsid w:val="00A23180"/>
    <w:rsid w:val="00A249F3"/>
    <w:rsid w:val="00A24ECD"/>
    <w:rsid w:val="00A25360"/>
    <w:rsid w:val="00A25C4E"/>
    <w:rsid w:val="00A30264"/>
    <w:rsid w:val="00A34842"/>
    <w:rsid w:val="00A35A5E"/>
    <w:rsid w:val="00A35E3C"/>
    <w:rsid w:val="00A407B9"/>
    <w:rsid w:val="00A42CE3"/>
    <w:rsid w:val="00A43F5C"/>
    <w:rsid w:val="00A4541A"/>
    <w:rsid w:val="00A4597F"/>
    <w:rsid w:val="00A45CF8"/>
    <w:rsid w:val="00A4605C"/>
    <w:rsid w:val="00A463A5"/>
    <w:rsid w:val="00A47C60"/>
    <w:rsid w:val="00A50A49"/>
    <w:rsid w:val="00A549A9"/>
    <w:rsid w:val="00A54CED"/>
    <w:rsid w:val="00A55DB8"/>
    <w:rsid w:val="00A55E98"/>
    <w:rsid w:val="00A573C0"/>
    <w:rsid w:val="00A60A95"/>
    <w:rsid w:val="00A613C8"/>
    <w:rsid w:val="00A615E5"/>
    <w:rsid w:val="00A621A1"/>
    <w:rsid w:val="00A623A1"/>
    <w:rsid w:val="00A64762"/>
    <w:rsid w:val="00A64F15"/>
    <w:rsid w:val="00A66AD8"/>
    <w:rsid w:val="00A67799"/>
    <w:rsid w:val="00A67AD5"/>
    <w:rsid w:val="00A7003A"/>
    <w:rsid w:val="00A709B0"/>
    <w:rsid w:val="00A716C5"/>
    <w:rsid w:val="00A724C5"/>
    <w:rsid w:val="00A73801"/>
    <w:rsid w:val="00A73BDF"/>
    <w:rsid w:val="00A73E56"/>
    <w:rsid w:val="00A747FE"/>
    <w:rsid w:val="00A75852"/>
    <w:rsid w:val="00A75888"/>
    <w:rsid w:val="00A75BDC"/>
    <w:rsid w:val="00A75F3B"/>
    <w:rsid w:val="00A76588"/>
    <w:rsid w:val="00A77E09"/>
    <w:rsid w:val="00A81791"/>
    <w:rsid w:val="00A81F4A"/>
    <w:rsid w:val="00A82279"/>
    <w:rsid w:val="00A82CF0"/>
    <w:rsid w:val="00A82D94"/>
    <w:rsid w:val="00A82FD0"/>
    <w:rsid w:val="00A8300B"/>
    <w:rsid w:val="00A853D9"/>
    <w:rsid w:val="00A85A59"/>
    <w:rsid w:val="00A8694D"/>
    <w:rsid w:val="00A872D5"/>
    <w:rsid w:val="00A87343"/>
    <w:rsid w:val="00A92E9B"/>
    <w:rsid w:val="00A9359F"/>
    <w:rsid w:val="00A94537"/>
    <w:rsid w:val="00A94BCC"/>
    <w:rsid w:val="00A94F20"/>
    <w:rsid w:val="00A95E06"/>
    <w:rsid w:val="00A96503"/>
    <w:rsid w:val="00A96E58"/>
    <w:rsid w:val="00AA0368"/>
    <w:rsid w:val="00AA0D8A"/>
    <w:rsid w:val="00AA18BF"/>
    <w:rsid w:val="00AA2C3F"/>
    <w:rsid w:val="00AA3D20"/>
    <w:rsid w:val="00AA422A"/>
    <w:rsid w:val="00AA4279"/>
    <w:rsid w:val="00AA47AD"/>
    <w:rsid w:val="00AB0F61"/>
    <w:rsid w:val="00AB15B2"/>
    <w:rsid w:val="00AB1956"/>
    <w:rsid w:val="00AB26B3"/>
    <w:rsid w:val="00AB2BC5"/>
    <w:rsid w:val="00AB364C"/>
    <w:rsid w:val="00AB3C82"/>
    <w:rsid w:val="00AB5F79"/>
    <w:rsid w:val="00AB62D6"/>
    <w:rsid w:val="00AC1718"/>
    <w:rsid w:val="00AC1816"/>
    <w:rsid w:val="00AC192E"/>
    <w:rsid w:val="00AC42FB"/>
    <w:rsid w:val="00AC440F"/>
    <w:rsid w:val="00AC5579"/>
    <w:rsid w:val="00AC568B"/>
    <w:rsid w:val="00AC67C2"/>
    <w:rsid w:val="00AC6D0C"/>
    <w:rsid w:val="00AC719B"/>
    <w:rsid w:val="00AC75A5"/>
    <w:rsid w:val="00AC7ADD"/>
    <w:rsid w:val="00AD059A"/>
    <w:rsid w:val="00AD10D0"/>
    <w:rsid w:val="00AD1807"/>
    <w:rsid w:val="00AD1921"/>
    <w:rsid w:val="00AD2466"/>
    <w:rsid w:val="00AD2DC0"/>
    <w:rsid w:val="00AD3CD5"/>
    <w:rsid w:val="00AD7A4B"/>
    <w:rsid w:val="00AD7BF1"/>
    <w:rsid w:val="00AE064D"/>
    <w:rsid w:val="00AE3A94"/>
    <w:rsid w:val="00AE494E"/>
    <w:rsid w:val="00AE6229"/>
    <w:rsid w:val="00AE76BA"/>
    <w:rsid w:val="00AE77BF"/>
    <w:rsid w:val="00AF1851"/>
    <w:rsid w:val="00AF24F4"/>
    <w:rsid w:val="00AF36F4"/>
    <w:rsid w:val="00AF4E83"/>
    <w:rsid w:val="00AF6416"/>
    <w:rsid w:val="00AF6514"/>
    <w:rsid w:val="00AF6736"/>
    <w:rsid w:val="00B00BFC"/>
    <w:rsid w:val="00B01129"/>
    <w:rsid w:val="00B015A2"/>
    <w:rsid w:val="00B026DB"/>
    <w:rsid w:val="00B102BC"/>
    <w:rsid w:val="00B1323B"/>
    <w:rsid w:val="00B149BE"/>
    <w:rsid w:val="00B1591C"/>
    <w:rsid w:val="00B15C5A"/>
    <w:rsid w:val="00B17DFC"/>
    <w:rsid w:val="00B20B33"/>
    <w:rsid w:val="00B22049"/>
    <w:rsid w:val="00B24919"/>
    <w:rsid w:val="00B24B14"/>
    <w:rsid w:val="00B2589B"/>
    <w:rsid w:val="00B25C74"/>
    <w:rsid w:val="00B25E15"/>
    <w:rsid w:val="00B2725F"/>
    <w:rsid w:val="00B27AFB"/>
    <w:rsid w:val="00B3211F"/>
    <w:rsid w:val="00B34A41"/>
    <w:rsid w:val="00B35BFE"/>
    <w:rsid w:val="00B416B6"/>
    <w:rsid w:val="00B4284C"/>
    <w:rsid w:val="00B4532D"/>
    <w:rsid w:val="00B45C31"/>
    <w:rsid w:val="00B460F9"/>
    <w:rsid w:val="00B46AD2"/>
    <w:rsid w:val="00B52736"/>
    <w:rsid w:val="00B54746"/>
    <w:rsid w:val="00B55596"/>
    <w:rsid w:val="00B57443"/>
    <w:rsid w:val="00B57A55"/>
    <w:rsid w:val="00B57E7B"/>
    <w:rsid w:val="00B60218"/>
    <w:rsid w:val="00B61A28"/>
    <w:rsid w:val="00B61C5B"/>
    <w:rsid w:val="00B637F0"/>
    <w:rsid w:val="00B63EA4"/>
    <w:rsid w:val="00B640FB"/>
    <w:rsid w:val="00B64C49"/>
    <w:rsid w:val="00B66A24"/>
    <w:rsid w:val="00B703F4"/>
    <w:rsid w:val="00B71028"/>
    <w:rsid w:val="00B72C67"/>
    <w:rsid w:val="00B7462A"/>
    <w:rsid w:val="00B7617F"/>
    <w:rsid w:val="00B7746F"/>
    <w:rsid w:val="00B8026E"/>
    <w:rsid w:val="00B825EC"/>
    <w:rsid w:val="00B83FF4"/>
    <w:rsid w:val="00B85FD0"/>
    <w:rsid w:val="00B86D0B"/>
    <w:rsid w:val="00B86D2F"/>
    <w:rsid w:val="00B872C3"/>
    <w:rsid w:val="00B872F3"/>
    <w:rsid w:val="00B8730C"/>
    <w:rsid w:val="00B87618"/>
    <w:rsid w:val="00B87E9E"/>
    <w:rsid w:val="00B902A5"/>
    <w:rsid w:val="00B9098E"/>
    <w:rsid w:val="00B92307"/>
    <w:rsid w:val="00B92B09"/>
    <w:rsid w:val="00B949E2"/>
    <w:rsid w:val="00BA20AD"/>
    <w:rsid w:val="00BA2814"/>
    <w:rsid w:val="00BA6132"/>
    <w:rsid w:val="00BA6578"/>
    <w:rsid w:val="00BA7CF8"/>
    <w:rsid w:val="00BB05DE"/>
    <w:rsid w:val="00BB1E90"/>
    <w:rsid w:val="00BB2325"/>
    <w:rsid w:val="00BB23B9"/>
    <w:rsid w:val="00BB437C"/>
    <w:rsid w:val="00BB46CF"/>
    <w:rsid w:val="00BB46E8"/>
    <w:rsid w:val="00BB50CA"/>
    <w:rsid w:val="00BC22D1"/>
    <w:rsid w:val="00BC4C3D"/>
    <w:rsid w:val="00BC6D0B"/>
    <w:rsid w:val="00BC6EB2"/>
    <w:rsid w:val="00BD117B"/>
    <w:rsid w:val="00BD17F6"/>
    <w:rsid w:val="00BD26A8"/>
    <w:rsid w:val="00BD2D73"/>
    <w:rsid w:val="00BD4823"/>
    <w:rsid w:val="00BD52A7"/>
    <w:rsid w:val="00BD7E3D"/>
    <w:rsid w:val="00BE1867"/>
    <w:rsid w:val="00BE3E85"/>
    <w:rsid w:val="00BE5199"/>
    <w:rsid w:val="00BE56C7"/>
    <w:rsid w:val="00BE5E7A"/>
    <w:rsid w:val="00BE6FB3"/>
    <w:rsid w:val="00BE7F58"/>
    <w:rsid w:val="00BF502A"/>
    <w:rsid w:val="00BF54B7"/>
    <w:rsid w:val="00BF5DD0"/>
    <w:rsid w:val="00BF5E2D"/>
    <w:rsid w:val="00BF60B2"/>
    <w:rsid w:val="00BF6223"/>
    <w:rsid w:val="00BF784C"/>
    <w:rsid w:val="00C00825"/>
    <w:rsid w:val="00C00A6C"/>
    <w:rsid w:val="00C020E7"/>
    <w:rsid w:val="00C03F6D"/>
    <w:rsid w:val="00C04488"/>
    <w:rsid w:val="00C05234"/>
    <w:rsid w:val="00C05BB4"/>
    <w:rsid w:val="00C05CCB"/>
    <w:rsid w:val="00C06113"/>
    <w:rsid w:val="00C06E02"/>
    <w:rsid w:val="00C072CE"/>
    <w:rsid w:val="00C10065"/>
    <w:rsid w:val="00C10D16"/>
    <w:rsid w:val="00C1247B"/>
    <w:rsid w:val="00C1366E"/>
    <w:rsid w:val="00C137CE"/>
    <w:rsid w:val="00C13FB4"/>
    <w:rsid w:val="00C16ACB"/>
    <w:rsid w:val="00C17057"/>
    <w:rsid w:val="00C17E0F"/>
    <w:rsid w:val="00C21A7E"/>
    <w:rsid w:val="00C222D8"/>
    <w:rsid w:val="00C25254"/>
    <w:rsid w:val="00C266C0"/>
    <w:rsid w:val="00C27816"/>
    <w:rsid w:val="00C3257B"/>
    <w:rsid w:val="00C34E74"/>
    <w:rsid w:val="00C372A1"/>
    <w:rsid w:val="00C40C31"/>
    <w:rsid w:val="00C43E27"/>
    <w:rsid w:val="00C45E6A"/>
    <w:rsid w:val="00C467C4"/>
    <w:rsid w:val="00C52FDB"/>
    <w:rsid w:val="00C53E4F"/>
    <w:rsid w:val="00C556F8"/>
    <w:rsid w:val="00C56F0F"/>
    <w:rsid w:val="00C62347"/>
    <w:rsid w:val="00C62685"/>
    <w:rsid w:val="00C63669"/>
    <w:rsid w:val="00C647C1"/>
    <w:rsid w:val="00C65C35"/>
    <w:rsid w:val="00C708A6"/>
    <w:rsid w:val="00C71AC7"/>
    <w:rsid w:val="00C74916"/>
    <w:rsid w:val="00C76CF4"/>
    <w:rsid w:val="00C776E8"/>
    <w:rsid w:val="00C7796F"/>
    <w:rsid w:val="00C77B83"/>
    <w:rsid w:val="00C77C6E"/>
    <w:rsid w:val="00C8006E"/>
    <w:rsid w:val="00C812D8"/>
    <w:rsid w:val="00C819B9"/>
    <w:rsid w:val="00C824F6"/>
    <w:rsid w:val="00C829A4"/>
    <w:rsid w:val="00C83009"/>
    <w:rsid w:val="00C8422D"/>
    <w:rsid w:val="00C845C3"/>
    <w:rsid w:val="00C84F65"/>
    <w:rsid w:val="00C86505"/>
    <w:rsid w:val="00C86CDB"/>
    <w:rsid w:val="00C872FC"/>
    <w:rsid w:val="00C9029D"/>
    <w:rsid w:val="00C90951"/>
    <w:rsid w:val="00C9244D"/>
    <w:rsid w:val="00C940B5"/>
    <w:rsid w:val="00C95035"/>
    <w:rsid w:val="00C958F2"/>
    <w:rsid w:val="00C96286"/>
    <w:rsid w:val="00CA0261"/>
    <w:rsid w:val="00CA04C1"/>
    <w:rsid w:val="00CA04FE"/>
    <w:rsid w:val="00CA15BC"/>
    <w:rsid w:val="00CA3274"/>
    <w:rsid w:val="00CA3487"/>
    <w:rsid w:val="00CA48E0"/>
    <w:rsid w:val="00CA4902"/>
    <w:rsid w:val="00CA5149"/>
    <w:rsid w:val="00CB3E65"/>
    <w:rsid w:val="00CB7AC6"/>
    <w:rsid w:val="00CC10E7"/>
    <w:rsid w:val="00CC1695"/>
    <w:rsid w:val="00CC2557"/>
    <w:rsid w:val="00CC3EDC"/>
    <w:rsid w:val="00CC40C4"/>
    <w:rsid w:val="00CC5808"/>
    <w:rsid w:val="00CD131B"/>
    <w:rsid w:val="00CD1948"/>
    <w:rsid w:val="00CD1B6C"/>
    <w:rsid w:val="00CD1BF3"/>
    <w:rsid w:val="00CD3223"/>
    <w:rsid w:val="00CD33DC"/>
    <w:rsid w:val="00CD3C44"/>
    <w:rsid w:val="00CD402E"/>
    <w:rsid w:val="00CD43F3"/>
    <w:rsid w:val="00CD5241"/>
    <w:rsid w:val="00CD59F4"/>
    <w:rsid w:val="00CD6B07"/>
    <w:rsid w:val="00CE04AC"/>
    <w:rsid w:val="00CE0EBD"/>
    <w:rsid w:val="00CE10BA"/>
    <w:rsid w:val="00CE195E"/>
    <w:rsid w:val="00CE2D50"/>
    <w:rsid w:val="00CE2DE4"/>
    <w:rsid w:val="00CE478A"/>
    <w:rsid w:val="00CE5348"/>
    <w:rsid w:val="00CE59EF"/>
    <w:rsid w:val="00CE6602"/>
    <w:rsid w:val="00CE6BAA"/>
    <w:rsid w:val="00CE6FA2"/>
    <w:rsid w:val="00CE7735"/>
    <w:rsid w:val="00CF3181"/>
    <w:rsid w:val="00CF692C"/>
    <w:rsid w:val="00D001C1"/>
    <w:rsid w:val="00D0171F"/>
    <w:rsid w:val="00D020C7"/>
    <w:rsid w:val="00D02BAD"/>
    <w:rsid w:val="00D02C56"/>
    <w:rsid w:val="00D03D1D"/>
    <w:rsid w:val="00D0538C"/>
    <w:rsid w:val="00D06864"/>
    <w:rsid w:val="00D118AD"/>
    <w:rsid w:val="00D1273C"/>
    <w:rsid w:val="00D12862"/>
    <w:rsid w:val="00D128B1"/>
    <w:rsid w:val="00D12F4E"/>
    <w:rsid w:val="00D140A5"/>
    <w:rsid w:val="00D1522B"/>
    <w:rsid w:val="00D2178B"/>
    <w:rsid w:val="00D22689"/>
    <w:rsid w:val="00D2474F"/>
    <w:rsid w:val="00D247E3"/>
    <w:rsid w:val="00D2538C"/>
    <w:rsid w:val="00D258E6"/>
    <w:rsid w:val="00D25E01"/>
    <w:rsid w:val="00D266A8"/>
    <w:rsid w:val="00D26E73"/>
    <w:rsid w:val="00D304E8"/>
    <w:rsid w:val="00D30978"/>
    <w:rsid w:val="00D310C4"/>
    <w:rsid w:val="00D3497C"/>
    <w:rsid w:val="00D36C2B"/>
    <w:rsid w:val="00D377DC"/>
    <w:rsid w:val="00D37BB5"/>
    <w:rsid w:val="00D37F59"/>
    <w:rsid w:val="00D408E0"/>
    <w:rsid w:val="00D41828"/>
    <w:rsid w:val="00D42113"/>
    <w:rsid w:val="00D428E7"/>
    <w:rsid w:val="00D43995"/>
    <w:rsid w:val="00D439A2"/>
    <w:rsid w:val="00D443C3"/>
    <w:rsid w:val="00D44871"/>
    <w:rsid w:val="00D458E5"/>
    <w:rsid w:val="00D46036"/>
    <w:rsid w:val="00D46045"/>
    <w:rsid w:val="00D46F7C"/>
    <w:rsid w:val="00D50788"/>
    <w:rsid w:val="00D50E4D"/>
    <w:rsid w:val="00D52AAD"/>
    <w:rsid w:val="00D53CDC"/>
    <w:rsid w:val="00D53D73"/>
    <w:rsid w:val="00D5451B"/>
    <w:rsid w:val="00D54BD9"/>
    <w:rsid w:val="00D558F4"/>
    <w:rsid w:val="00D55E1D"/>
    <w:rsid w:val="00D55F5E"/>
    <w:rsid w:val="00D6012D"/>
    <w:rsid w:val="00D606BC"/>
    <w:rsid w:val="00D64BE2"/>
    <w:rsid w:val="00D6574B"/>
    <w:rsid w:val="00D67411"/>
    <w:rsid w:val="00D67459"/>
    <w:rsid w:val="00D72A94"/>
    <w:rsid w:val="00D73279"/>
    <w:rsid w:val="00D73E9E"/>
    <w:rsid w:val="00D74EC7"/>
    <w:rsid w:val="00D75106"/>
    <w:rsid w:val="00D75305"/>
    <w:rsid w:val="00D755FD"/>
    <w:rsid w:val="00D76386"/>
    <w:rsid w:val="00D76A11"/>
    <w:rsid w:val="00D8023F"/>
    <w:rsid w:val="00D90E48"/>
    <w:rsid w:val="00D90E67"/>
    <w:rsid w:val="00D92A72"/>
    <w:rsid w:val="00D936B0"/>
    <w:rsid w:val="00D93DDF"/>
    <w:rsid w:val="00D973B5"/>
    <w:rsid w:val="00DA0310"/>
    <w:rsid w:val="00DA2A80"/>
    <w:rsid w:val="00DA57E1"/>
    <w:rsid w:val="00DB2BD6"/>
    <w:rsid w:val="00DB2FA0"/>
    <w:rsid w:val="00DB3193"/>
    <w:rsid w:val="00DB3F49"/>
    <w:rsid w:val="00DB4683"/>
    <w:rsid w:val="00DB46F5"/>
    <w:rsid w:val="00DB5D43"/>
    <w:rsid w:val="00DB60B0"/>
    <w:rsid w:val="00DC0360"/>
    <w:rsid w:val="00DC0E56"/>
    <w:rsid w:val="00DC11C1"/>
    <w:rsid w:val="00DC3CDB"/>
    <w:rsid w:val="00DC4A84"/>
    <w:rsid w:val="00DC4BC6"/>
    <w:rsid w:val="00DC505C"/>
    <w:rsid w:val="00DC5B5C"/>
    <w:rsid w:val="00DC5DDF"/>
    <w:rsid w:val="00DC6D7D"/>
    <w:rsid w:val="00DC7480"/>
    <w:rsid w:val="00DC7DC7"/>
    <w:rsid w:val="00DD09F4"/>
    <w:rsid w:val="00DD0CAA"/>
    <w:rsid w:val="00DD2AF4"/>
    <w:rsid w:val="00DD49ED"/>
    <w:rsid w:val="00DD769A"/>
    <w:rsid w:val="00DE129D"/>
    <w:rsid w:val="00DE2469"/>
    <w:rsid w:val="00DE3288"/>
    <w:rsid w:val="00DE3A4D"/>
    <w:rsid w:val="00DE3FDA"/>
    <w:rsid w:val="00DE6249"/>
    <w:rsid w:val="00DF0E09"/>
    <w:rsid w:val="00DF345C"/>
    <w:rsid w:val="00DF3DB7"/>
    <w:rsid w:val="00DF451D"/>
    <w:rsid w:val="00DF5844"/>
    <w:rsid w:val="00DF683D"/>
    <w:rsid w:val="00DF7FAD"/>
    <w:rsid w:val="00E01A30"/>
    <w:rsid w:val="00E01D2A"/>
    <w:rsid w:val="00E030F5"/>
    <w:rsid w:val="00E03EA0"/>
    <w:rsid w:val="00E04119"/>
    <w:rsid w:val="00E0498C"/>
    <w:rsid w:val="00E051E7"/>
    <w:rsid w:val="00E05224"/>
    <w:rsid w:val="00E053D5"/>
    <w:rsid w:val="00E078DB"/>
    <w:rsid w:val="00E07DE5"/>
    <w:rsid w:val="00E1000A"/>
    <w:rsid w:val="00E101BD"/>
    <w:rsid w:val="00E102AC"/>
    <w:rsid w:val="00E10FFA"/>
    <w:rsid w:val="00E1181C"/>
    <w:rsid w:val="00E11A50"/>
    <w:rsid w:val="00E11FE4"/>
    <w:rsid w:val="00E122FD"/>
    <w:rsid w:val="00E12496"/>
    <w:rsid w:val="00E14097"/>
    <w:rsid w:val="00E1442F"/>
    <w:rsid w:val="00E14911"/>
    <w:rsid w:val="00E16BC4"/>
    <w:rsid w:val="00E17707"/>
    <w:rsid w:val="00E17C4B"/>
    <w:rsid w:val="00E17DBF"/>
    <w:rsid w:val="00E20951"/>
    <w:rsid w:val="00E220F2"/>
    <w:rsid w:val="00E23BE8"/>
    <w:rsid w:val="00E25753"/>
    <w:rsid w:val="00E25B21"/>
    <w:rsid w:val="00E277C4"/>
    <w:rsid w:val="00E27A6F"/>
    <w:rsid w:val="00E301E5"/>
    <w:rsid w:val="00E30201"/>
    <w:rsid w:val="00E33F6B"/>
    <w:rsid w:val="00E34962"/>
    <w:rsid w:val="00E36ECD"/>
    <w:rsid w:val="00E40247"/>
    <w:rsid w:val="00E431B1"/>
    <w:rsid w:val="00E45669"/>
    <w:rsid w:val="00E45680"/>
    <w:rsid w:val="00E50861"/>
    <w:rsid w:val="00E5173D"/>
    <w:rsid w:val="00E51CB7"/>
    <w:rsid w:val="00E5287B"/>
    <w:rsid w:val="00E53D03"/>
    <w:rsid w:val="00E549A5"/>
    <w:rsid w:val="00E54FFA"/>
    <w:rsid w:val="00E563D6"/>
    <w:rsid w:val="00E56800"/>
    <w:rsid w:val="00E57286"/>
    <w:rsid w:val="00E5742C"/>
    <w:rsid w:val="00E60692"/>
    <w:rsid w:val="00E61D61"/>
    <w:rsid w:val="00E61F2A"/>
    <w:rsid w:val="00E62863"/>
    <w:rsid w:val="00E63098"/>
    <w:rsid w:val="00E63C2E"/>
    <w:rsid w:val="00E64073"/>
    <w:rsid w:val="00E65E2E"/>
    <w:rsid w:val="00E67F47"/>
    <w:rsid w:val="00E70B7A"/>
    <w:rsid w:val="00E71200"/>
    <w:rsid w:val="00E7193F"/>
    <w:rsid w:val="00E72F21"/>
    <w:rsid w:val="00E7387E"/>
    <w:rsid w:val="00E7477B"/>
    <w:rsid w:val="00E750AF"/>
    <w:rsid w:val="00E754D7"/>
    <w:rsid w:val="00E81E3F"/>
    <w:rsid w:val="00E83B87"/>
    <w:rsid w:val="00E83E8B"/>
    <w:rsid w:val="00E84424"/>
    <w:rsid w:val="00E861A1"/>
    <w:rsid w:val="00E867A2"/>
    <w:rsid w:val="00E87571"/>
    <w:rsid w:val="00E9015E"/>
    <w:rsid w:val="00E9102A"/>
    <w:rsid w:val="00E93500"/>
    <w:rsid w:val="00E9595F"/>
    <w:rsid w:val="00E96C95"/>
    <w:rsid w:val="00EA01B3"/>
    <w:rsid w:val="00EA2926"/>
    <w:rsid w:val="00EA2D53"/>
    <w:rsid w:val="00EA3562"/>
    <w:rsid w:val="00EA3811"/>
    <w:rsid w:val="00EA41FF"/>
    <w:rsid w:val="00EA4CBA"/>
    <w:rsid w:val="00EA6879"/>
    <w:rsid w:val="00EA6933"/>
    <w:rsid w:val="00EA77B2"/>
    <w:rsid w:val="00EB1573"/>
    <w:rsid w:val="00EB2A41"/>
    <w:rsid w:val="00EB38A1"/>
    <w:rsid w:val="00EB408D"/>
    <w:rsid w:val="00EB47AF"/>
    <w:rsid w:val="00EB659A"/>
    <w:rsid w:val="00EB698C"/>
    <w:rsid w:val="00EB6A3E"/>
    <w:rsid w:val="00EB74D8"/>
    <w:rsid w:val="00EC189F"/>
    <w:rsid w:val="00EC1E6E"/>
    <w:rsid w:val="00EC34DC"/>
    <w:rsid w:val="00EC35E8"/>
    <w:rsid w:val="00EC4E26"/>
    <w:rsid w:val="00EC5FF1"/>
    <w:rsid w:val="00EC64A8"/>
    <w:rsid w:val="00EC71A4"/>
    <w:rsid w:val="00EC7304"/>
    <w:rsid w:val="00ED01CC"/>
    <w:rsid w:val="00ED08A9"/>
    <w:rsid w:val="00ED098C"/>
    <w:rsid w:val="00ED39EB"/>
    <w:rsid w:val="00ED7401"/>
    <w:rsid w:val="00EE436F"/>
    <w:rsid w:val="00EE52CE"/>
    <w:rsid w:val="00EE5E05"/>
    <w:rsid w:val="00EE6A80"/>
    <w:rsid w:val="00EE7EBB"/>
    <w:rsid w:val="00EF1DEB"/>
    <w:rsid w:val="00EF233C"/>
    <w:rsid w:val="00EF3BBA"/>
    <w:rsid w:val="00EF4F25"/>
    <w:rsid w:val="00EF5CFB"/>
    <w:rsid w:val="00EF6722"/>
    <w:rsid w:val="00EF6932"/>
    <w:rsid w:val="00EF694D"/>
    <w:rsid w:val="00EF6961"/>
    <w:rsid w:val="00EF7F42"/>
    <w:rsid w:val="00F001F0"/>
    <w:rsid w:val="00F00474"/>
    <w:rsid w:val="00F01EC9"/>
    <w:rsid w:val="00F04112"/>
    <w:rsid w:val="00F04402"/>
    <w:rsid w:val="00F05539"/>
    <w:rsid w:val="00F061D9"/>
    <w:rsid w:val="00F07159"/>
    <w:rsid w:val="00F07220"/>
    <w:rsid w:val="00F07534"/>
    <w:rsid w:val="00F11590"/>
    <w:rsid w:val="00F150F6"/>
    <w:rsid w:val="00F164AB"/>
    <w:rsid w:val="00F16B6F"/>
    <w:rsid w:val="00F17812"/>
    <w:rsid w:val="00F17B47"/>
    <w:rsid w:val="00F17DF1"/>
    <w:rsid w:val="00F2344D"/>
    <w:rsid w:val="00F241AB"/>
    <w:rsid w:val="00F25B62"/>
    <w:rsid w:val="00F27601"/>
    <w:rsid w:val="00F27727"/>
    <w:rsid w:val="00F308DB"/>
    <w:rsid w:val="00F326FD"/>
    <w:rsid w:val="00F327F7"/>
    <w:rsid w:val="00F33118"/>
    <w:rsid w:val="00F335A6"/>
    <w:rsid w:val="00F34BF6"/>
    <w:rsid w:val="00F37B27"/>
    <w:rsid w:val="00F40242"/>
    <w:rsid w:val="00F40C0A"/>
    <w:rsid w:val="00F4128D"/>
    <w:rsid w:val="00F41431"/>
    <w:rsid w:val="00F44AF9"/>
    <w:rsid w:val="00F44E51"/>
    <w:rsid w:val="00F4710E"/>
    <w:rsid w:val="00F474E5"/>
    <w:rsid w:val="00F50748"/>
    <w:rsid w:val="00F51759"/>
    <w:rsid w:val="00F526F4"/>
    <w:rsid w:val="00F55B33"/>
    <w:rsid w:val="00F55E6B"/>
    <w:rsid w:val="00F560E6"/>
    <w:rsid w:val="00F5645F"/>
    <w:rsid w:val="00F56642"/>
    <w:rsid w:val="00F56F5F"/>
    <w:rsid w:val="00F576F6"/>
    <w:rsid w:val="00F60DCF"/>
    <w:rsid w:val="00F61360"/>
    <w:rsid w:val="00F61EAE"/>
    <w:rsid w:val="00F62673"/>
    <w:rsid w:val="00F628C5"/>
    <w:rsid w:val="00F65138"/>
    <w:rsid w:val="00F67F84"/>
    <w:rsid w:val="00F70CE8"/>
    <w:rsid w:val="00F718CD"/>
    <w:rsid w:val="00F719C2"/>
    <w:rsid w:val="00F71F16"/>
    <w:rsid w:val="00F7320D"/>
    <w:rsid w:val="00F73835"/>
    <w:rsid w:val="00F7598A"/>
    <w:rsid w:val="00F7630B"/>
    <w:rsid w:val="00F7632E"/>
    <w:rsid w:val="00F775C0"/>
    <w:rsid w:val="00F816A5"/>
    <w:rsid w:val="00F8190E"/>
    <w:rsid w:val="00F82019"/>
    <w:rsid w:val="00F8208C"/>
    <w:rsid w:val="00F82CC8"/>
    <w:rsid w:val="00F839CF"/>
    <w:rsid w:val="00F8597B"/>
    <w:rsid w:val="00F85A82"/>
    <w:rsid w:val="00F8685A"/>
    <w:rsid w:val="00F879B5"/>
    <w:rsid w:val="00F87AAB"/>
    <w:rsid w:val="00F903F3"/>
    <w:rsid w:val="00F904FA"/>
    <w:rsid w:val="00F9068E"/>
    <w:rsid w:val="00F90769"/>
    <w:rsid w:val="00F90FC7"/>
    <w:rsid w:val="00F9112B"/>
    <w:rsid w:val="00F91164"/>
    <w:rsid w:val="00F91F6C"/>
    <w:rsid w:val="00F9520E"/>
    <w:rsid w:val="00F95754"/>
    <w:rsid w:val="00F969F7"/>
    <w:rsid w:val="00F97E79"/>
    <w:rsid w:val="00FA0BBA"/>
    <w:rsid w:val="00FA0D11"/>
    <w:rsid w:val="00FA2A6B"/>
    <w:rsid w:val="00FA7C7B"/>
    <w:rsid w:val="00FB030F"/>
    <w:rsid w:val="00FB1F1F"/>
    <w:rsid w:val="00FB2326"/>
    <w:rsid w:val="00FB2B42"/>
    <w:rsid w:val="00FB3679"/>
    <w:rsid w:val="00FB38EA"/>
    <w:rsid w:val="00FB41B2"/>
    <w:rsid w:val="00FB5385"/>
    <w:rsid w:val="00FB7DF9"/>
    <w:rsid w:val="00FC0BE8"/>
    <w:rsid w:val="00FC20F0"/>
    <w:rsid w:val="00FC290F"/>
    <w:rsid w:val="00FC3332"/>
    <w:rsid w:val="00FC3B20"/>
    <w:rsid w:val="00FC4567"/>
    <w:rsid w:val="00FC4900"/>
    <w:rsid w:val="00FC6FBE"/>
    <w:rsid w:val="00FC784A"/>
    <w:rsid w:val="00FD033F"/>
    <w:rsid w:val="00FD0590"/>
    <w:rsid w:val="00FD104A"/>
    <w:rsid w:val="00FD1FBF"/>
    <w:rsid w:val="00FD3BAD"/>
    <w:rsid w:val="00FD639F"/>
    <w:rsid w:val="00FD6C8A"/>
    <w:rsid w:val="00FD77FC"/>
    <w:rsid w:val="00FD7B0B"/>
    <w:rsid w:val="00FE08AF"/>
    <w:rsid w:val="00FE1786"/>
    <w:rsid w:val="00FE31BF"/>
    <w:rsid w:val="00FE44F3"/>
    <w:rsid w:val="00FE5DA8"/>
    <w:rsid w:val="00FE6315"/>
    <w:rsid w:val="00FE6722"/>
    <w:rsid w:val="00FE6E9D"/>
    <w:rsid w:val="00FF20B2"/>
    <w:rsid w:val="00FF2107"/>
    <w:rsid w:val="00FF23E9"/>
    <w:rsid w:val="00FF7EB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4139AD"/>
  <w15:docId w15:val="{66877561-122D-4A4C-81D3-E03434052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13"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w:uiPriority="29"/>
    <w:lsdException w:name="List Bullet" w:semiHidden="1" w:uiPriority="29" w:unhideWhenUsed="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33"/>
    <w:lsdException w:name="Bibliography" w:semiHidden="1" w:uiPriority="4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2910D4"/>
    <w:rPr>
      <w:rFonts w:eastAsia="Arial Unicode MS"/>
    </w:rPr>
  </w:style>
  <w:style w:type="paragraph" w:styleId="Ttulo1">
    <w:name w:val="heading 1"/>
    <w:basedOn w:val="Level1"/>
    <w:next w:val="Body2"/>
    <w:link w:val="Ttulo1Car"/>
    <w:uiPriority w:val="4"/>
    <w:qFormat/>
    <w:rsid w:val="00002F65"/>
    <w:pPr>
      <w:keepNext/>
    </w:pPr>
    <w:rPr>
      <w:b/>
      <w:smallCaps/>
    </w:rPr>
  </w:style>
  <w:style w:type="paragraph" w:styleId="Ttulo2">
    <w:name w:val="heading 2"/>
    <w:basedOn w:val="Level2"/>
    <w:next w:val="Body2"/>
    <w:link w:val="Ttulo2Car"/>
    <w:uiPriority w:val="4"/>
    <w:qFormat/>
    <w:rsid w:val="00002F65"/>
    <w:pPr>
      <w:keepNext/>
    </w:pPr>
    <w:rPr>
      <w:b/>
    </w:rPr>
  </w:style>
  <w:style w:type="paragraph" w:styleId="Ttulo3">
    <w:name w:val="heading 3"/>
    <w:basedOn w:val="Level3"/>
    <w:next w:val="Body3"/>
    <w:link w:val="Ttulo3Car"/>
    <w:uiPriority w:val="4"/>
    <w:qFormat/>
    <w:rsid w:val="00002F65"/>
    <w:pPr>
      <w:keepNext/>
      <w:ind w:left="1418" w:hanging="709"/>
    </w:pPr>
    <w:rPr>
      <w:b/>
    </w:rPr>
  </w:style>
  <w:style w:type="paragraph" w:styleId="Ttulo4">
    <w:name w:val="heading 4"/>
    <w:basedOn w:val="Level4"/>
    <w:next w:val="Body4"/>
    <w:link w:val="Ttulo4Car"/>
    <w:uiPriority w:val="5"/>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5"/>
    <w:semiHidden/>
    <w:qFormat/>
    <w:pPr>
      <w:spacing w:before="240" w:after="60"/>
      <w:outlineLvl w:val="4"/>
    </w:pPr>
    <w:rPr>
      <w:sz w:val="22"/>
    </w:rPr>
  </w:style>
  <w:style w:type="paragraph" w:styleId="Ttulo6">
    <w:name w:val="heading 6"/>
    <w:basedOn w:val="Normal"/>
    <w:next w:val="Normal"/>
    <w:uiPriority w:val="16"/>
    <w:semiHidden/>
    <w:qFormat/>
    <w:pPr>
      <w:spacing w:before="240" w:after="60"/>
      <w:outlineLvl w:val="5"/>
    </w:pPr>
    <w:rPr>
      <w:rFonts w:ascii="Times New Roman" w:hAnsi="Times New Roman"/>
      <w:i/>
      <w:sz w:val="22"/>
    </w:rPr>
  </w:style>
  <w:style w:type="paragraph" w:styleId="Ttulo7">
    <w:name w:val="heading 7"/>
    <w:basedOn w:val="Normal"/>
    <w:next w:val="Normal"/>
    <w:uiPriority w:val="16"/>
    <w:semiHidden/>
    <w:qFormat/>
    <w:pPr>
      <w:spacing w:before="240" w:after="60"/>
      <w:outlineLvl w:val="6"/>
    </w:pPr>
    <w:rPr>
      <w:sz w:val="20"/>
    </w:rPr>
  </w:style>
  <w:style w:type="paragraph" w:styleId="Ttulo8">
    <w:name w:val="heading 8"/>
    <w:basedOn w:val="Normal"/>
    <w:next w:val="Normal"/>
    <w:uiPriority w:val="16"/>
    <w:semiHidden/>
    <w:qFormat/>
    <w:pPr>
      <w:spacing w:before="240" w:after="60"/>
      <w:outlineLvl w:val="7"/>
    </w:pPr>
    <w:rPr>
      <w:i/>
      <w:sz w:val="20"/>
    </w:rPr>
  </w:style>
  <w:style w:type="paragraph" w:styleId="Ttulo9">
    <w:name w:val="heading 9"/>
    <w:basedOn w:val="Normal"/>
    <w:next w:val="Normal"/>
    <w:uiPriority w:val="16"/>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13"/>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Ref. de nota al pie1"/>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AD7A4B"/>
    <w:pPr>
      <w:tabs>
        <w:tab w:val="left" w:pos="709"/>
        <w:tab w:val="right" w:pos="9015"/>
      </w:tabs>
      <w:spacing w:after="120"/>
      <w:ind w:left="709" w:right="425" w:hanging="709"/>
      <w:jc w:val="left"/>
    </w:pPr>
    <w:rPr>
      <w:b/>
      <w:smallCaps/>
    </w:rPr>
  </w:style>
  <w:style w:type="paragraph" w:styleId="TDC2">
    <w:name w:val="toc 2"/>
    <w:basedOn w:val="TDC1"/>
    <w:uiPriority w:val="39"/>
    <w:semiHidden/>
    <w:rsid w:val="00AD7A4B"/>
    <w:pPr>
      <w:tabs>
        <w:tab w:val="clear" w:pos="709"/>
        <w:tab w:val="left" w:pos="1418"/>
      </w:tabs>
      <w:ind w:left="1418"/>
    </w:pPr>
    <w:rPr>
      <w:smallCaps w:val="0"/>
    </w:rPr>
  </w:style>
  <w:style w:type="paragraph" w:styleId="TDC3">
    <w:name w:val="toc 3"/>
    <w:basedOn w:val="TDC2"/>
    <w:uiPriority w:val="39"/>
    <w:semiHidden/>
    <w:rsid w:val="00AD7A4B"/>
    <w:pPr>
      <w:tabs>
        <w:tab w:val="clear" w:pos="1418"/>
        <w:tab w:val="left" w:pos="2126"/>
      </w:tabs>
      <w:ind w:left="2127"/>
    </w:pPr>
  </w:style>
  <w:style w:type="paragraph" w:styleId="TDC4">
    <w:name w:val="toc 4"/>
    <w:basedOn w:val="Normal"/>
    <w:next w:val="Normal"/>
    <w:uiPriority w:val="39"/>
    <w:semiHidden/>
    <w:rsid w:val="00AD7A4B"/>
    <w:pPr>
      <w:numPr>
        <w:numId w:val="6"/>
      </w:numPr>
      <w:tabs>
        <w:tab w:val="left" w:pos="709"/>
        <w:tab w:val="right" w:pos="9015"/>
      </w:tabs>
      <w:spacing w:after="120"/>
      <w:ind w:left="709" w:right="425"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17"/>
    <w:semiHidden/>
    <w:rPr>
      <w:sz w:val="16"/>
    </w:rPr>
  </w:style>
  <w:style w:type="paragraph" w:styleId="Textocomentario">
    <w:name w:val="annotation text"/>
    <w:basedOn w:val="Normal"/>
    <w:link w:val="TextocomentarioCar"/>
    <w:uiPriority w:val="17"/>
    <w:semiHidden/>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0"/>
    <w:qFormat/>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99"/>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AD7A4B"/>
    <w:pPr>
      <w:tabs>
        <w:tab w:val="right" w:pos="9015"/>
      </w:tabs>
      <w:spacing w:after="120"/>
      <w:ind w:left="709" w:right="425"/>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17"/>
    <w:semiHidden/>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13"/>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link w:val="SinespaciadoCar"/>
    <w:uiPriority w:val="1"/>
    <w:qFormat/>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4"/>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4"/>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4"/>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5"/>
    <w:semiHidden/>
    <w:rsid w:val="00ED08A9"/>
    <w:rPr>
      <w:rFonts w:ascii="Arial Bold" w:eastAsia="Arial Unicode MS" w:hAnsi="Arial Bold"/>
      <w:b/>
    </w:rPr>
  </w:style>
  <w:style w:type="character" w:customStyle="1" w:styleId="Ttulo5Car">
    <w:name w:val="Título 5 Car"/>
    <w:basedOn w:val="Fuentedeprrafopredeter"/>
    <w:link w:val="Ttulo5"/>
    <w:uiPriority w:val="5"/>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character" w:customStyle="1" w:styleId="SinespaciadoCar">
    <w:name w:val="Sin espaciado Car"/>
    <w:basedOn w:val="Fuentedeprrafopredeter"/>
    <w:link w:val="Sinespaciado"/>
    <w:uiPriority w:val="1"/>
    <w:rsid w:val="002E0332"/>
  </w:style>
  <w:style w:type="paragraph" w:styleId="Asuntodelcomentario">
    <w:name w:val="annotation subject"/>
    <w:basedOn w:val="Textocomentario"/>
    <w:next w:val="Textocomentario"/>
    <w:link w:val="AsuntodelcomentarioCar"/>
    <w:uiPriority w:val="17"/>
    <w:semiHidden/>
    <w:unhideWhenUsed/>
    <w:rsid w:val="00A64F15"/>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A64F15"/>
    <w:rPr>
      <w:rFonts w:eastAsia="Arial Unicode MS"/>
      <w:b/>
      <w:bCs/>
      <w:sz w:val="20"/>
      <w:szCs w:val="20"/>
    </w:rPr>
  </w:style>
  <w:style w:type="character" w:customStyle="1" w:styleId="Mencinsinresolver1">
    <w:name w:val="Mención sin resolver1"/>
    <w:basedOn w:val="Fuentedeprrafopredeter"/>
    <w:uiPriority w:val="99"/>
    <w:semiHidden/>
    <w:unhideWhenUsed/>
    <w:rsid w:val="006F53D5"/>
    <w:rPr>
      <w:color w:val="605E5C"/>
      <w:shd w:val="clear" w:color="auto" w:fill="E1DFDD"/>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link w:val="Textonotapie"/>
    <w:uiPriority w:val="99"/>
    <w:qFormat/>
    <w:locked/>
    <w:rsid w:val="000A2FE5"/>
    <w:rPr>
      <w:rFonts w:eastAsia="Arial Unicode MS"/>
      <w:sz w:val="16"/>
    </w:rPr>
  </w:style>
  <w:style w:type="paragraph" w:customStyle="1" w:styleId="FWNL1">
    <w:name w:val="FWN_L1"/>
    <w:basedOn w:val="Normal"/>
    <w:rsid w:val="000A2FE5"/>
    <w:pPr>
      <w:numPr>
        <w:numId w:val="8"/>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0A2FE5"/>
    <w:pPr>
      <w:numPr>
        <w:ilvl w:val="1"/>
      </w:numPr>
    </w:pPr>
  </w:style>
  <w:style w:type="paragraph" w:customStyle="1" w:styleId="FWNL3">
    <w:name w:val="FWN_L3"/>
    <w:basedOn w:val="FWNL2"/>
    <w:rsid w:val="000A2FE5"/>
    <w:pPr>
      <w:numPr>
        <w:ilvl w:val="2"/>
      </w:numPr>
    </w:pPr>
  </w:style>
  <w:style w:type="paragraph" w:customStyle="1" w:styleId="FWNL4">
    <w:name w:val="FWN_L4"/>
    <w:basedOn w:val="FWNL3"/>
    <w:rsid w:val="000A2FE5"/>
    <w:pPr>
      <w:numPr>
        <w:ilvl w:val="3"/>
      </w:numPr>
    </w:pPr>
  </w:style>
  <w:style w:type="paragraph" w:customStyle="1" w:styleId="FWNL5">
    <w:name w:val="FWN_L5"/>
    <w:basedOn w:val="FWNL4"/>
    <w:rsid w:val="000A2FE5"/>
    <w:pPr>
      <w:numPr>
        <w:ilvl w:val="4"/>
      </w:numPr>
    </w:pPr>
  </w:style>
  <w:style w:type="paragraph" w:customStyle="1" w:styleId="FWNL6">
    <w:name w:val="FWN_L6"/>
    <w:basedOn w:val="FWNL5"/>
    <w:rsid w:val="000A2FE5"/>
    <w:pPr>
      <w:numPr>
        <w:ilvl w:val="5"/>
      </w:numPr>
    </w:pPr>
  </w:style>
  <w:style w:type="paragraph" w:customStyle="1" w:styleId="FWNL7">
    <w:name w:val="FWN_L7"/>
    <w:basedOn w:val="FWNL6"/>
    <w:rsid w:val="000A2FE5"/>
    <w:pPr>
      <w:numPr>
        <w:ilvl w:val="6"/>
      </w:numPr>
    </w:pPr>
  </w:style>
  <w:style w:type="paragraph" w:customStyle="1" w:styleId="Listaabcd">
    <w:name w:val="Lista a) b) c) d)"/>
    <w:basedOn w:val="Normal"/>
    <w:qFormat/>
    <w:rsid w:val="000A2FE5"/>
    <w:pPr>
      <w:numPr>
        <w:numId w:val="9"/>
      </w:numPr>
      <w:spacing w:line="320" w:lineRule="atLeast"/>
      <w:jc w:val="left"/>
    </w:pPr>
    <w:rPr>
      <w:rFonts w:ascii="Times New Roman" w:eastAsia="Calibri" w:hAnsi="Times New Roman"/>
      <w:sz w:val="24"/>
      <w:szCs w:val="22"/>
      <w:lang w:val="en-US" w:eastAsia="en-US"/>
    </w:rPr>
  </w:style>
  <w:style w:type="paragraph" w:styleId="Revisin">
    <w:name w:val="Revision"/>
    <w:hidden/>
    <w:uiPriority w:val="99"/>
    <w:semiHidden/>
    <w:rsid w:val="002A6D8F"/>
    <w:pPr>
      <w:spacing w:line="240" w:lineRule="auto"/>
      <w:jc w:val="left"/>
    </w:pPr>
    <w:rPr>
      <w:rFonts w:eastAsia="Arial Unicode MS"/>
    </w:rPr>
  </w:style>
  <w:style w:type="numbering" w:customStyle="1" w:styleId="ListaUM1">
    <w:name w:val="Lista UM 1"/>
    <w:uiPriority w:val="99"/>
    <w:rsid w:val="001E29F5"/>
    <w:pPr>
      <w:numPr>
        <w:numId w:val="10"/>
      </w:numPr>
    </w:pPr>
  </w:style>
  <w:style w:type="character" w:customStyle="1" w:styleId="PrrafodelistaCar">
    <w:name w:val="Párrafo de lista Car"/>
    <w:aliases w:val="1. Anexo Car,GCC. Instructa numeración general Car,Lista raya Car"/>
    <w:basedOn w:val="Fuentedeprrafopredeter"/>
    <w:link w:val="Prrafodelista"/>
    <w:uiPriority w:val="34"/>
    <w:rsid w:val="00942715"/>
    <w:rPr>
      <w:rFonts w:eastAsia="Arial Unicode MS"/>
    </w:rPr>
  </w:style>
  <w:style w:type="character" w:customStyle="1" w:styleId="Mencinsinresolver2">
    <w:name w:val="Mención sin resolver2"/>
    <w:basedOn w:val="Fuentedeprrafopredeter"/>
    <w:rsid w:val="005C013F"/>
    <w:rPr>
      <w:color w:val="605E5C"/>
      <w:shd w:val="clear" w:color="auto" w:fill="E1DFDD"/>
    </w:rPr>
  </w:style>
  <w:style w:type="character" w:customStyle="1" w:styleId="UnresolvedMention1">
    <w:name w:val="Unresolved Mention1"/>
    <w:basedOn w:val="Fuentedeprrafopredeter"/>
    <w:rsid w:val="00293503"/>
    <w:rPr>
      <w:color w:val="605E5C"/>
      <w:shd w:val="clear" w:color="auto" w:fill="E1DFDD"/>
    </w:rPr>
  </w:style>
  <w:style w:type="character" w:customStyle="1" w:styleId="UnresolvedMention2">
    <w:name w:val="Unresolved Mention2"/>
    <w:basedOn w:val="Fuentedeprrafopredeter"/>
    <w:rsid w:val="004B2A82"/>
    <w:rPr>
      <w:color w:val="605E5C"/>
      <w:shd w:val="clear" w:color="auto" w:fill="E1DFDD"/>
    </w:rPr>
  </w:style>
  <w:style w:type="character" w:styleId="Textoennegrita">
    <w:name w:val="Strong"/>
    <w:basedOn w:val="Fuentedeprrafopredeter"/>
    <w:uiPriority w:val="22"/>
    <w:qFormat/>
    <w:rsid w:val="00EA6933"/>
    <w:rPr>
      <w:b/>
      <w:bCs/>
    </w:rPr>
  </w:style>
  <w:style w:type="character" w:customStyle="1" w:styleId="sr-only">
    <w:name w:val="sr-only"/>
    <w:basedOn w:val="Fuentedeprrafopredeter"/>
    <w:rsid w:val="002F71C5"/>
  </w:style>
  <w:style w:type="table" w:styleId="Tablaconcuadrcula">
    <w:name w:val="Table Grid"/>
    <w:basedOn w:val="Tablanormal"/>
    <w:uiPriority w:val="39"/>
    <w:rsid w:val="00B25C74"/>
    <w:pPr>
      <w:spacing w:line="240" w:lineRule="auto"/>
      <w:jc w:val="left"/>
    </w:pPr>
    <w:rPr>
      <w:rFonts w:asciiTheme="minorHAnsi" w:eastAsiaTheme="minorHAnsi" w:hAnsiTheme="minorHAnsi" w:cstheme="minorBidi"/>
      <w:sz w:val="22"/>
      <w:szCs w:val="22"/>
      <w:lang w:val="es-ES_tradn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Fuentedeprrafopredeter"/>
    <w:rsid w:val="009D452F"/>
  </w:style>
  <w:style w:type="character" w:customStyle="1" w:styleId="Mencinsinresolver3">
    <w:name w:val="Mención sin resolver3"/>
    <w:basedOn w:val="Fuentedeprrafopredeter"/>
    <w:uiPriority w:val="99"/>
    <w:semiHidden/>
    <w:unhideWhenUsed/>
    <w:rsid w:val="00533C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2786030">
      <w:bodyDiv w:val="1"/>
      <w:marLeft w:val="0"/>
      <w:marRight w:val="0"/>
      <w:marTop w:val="0"/>
      <w:marBottom w:val="0"/>
      <w:divBdr>
        <w:top w:val="none" w:sz="0" w:space="0" w:color="auto"/>
        <w:left w:val="none" w:sz="0" w:space="0" w:color="auto"/>
        <w:bottom w:val="none" w:sz="0" w:space="0" w:color="auto"/>
        <w:right w:val="none" w:sz="0" w:space="0" w:color="auto"/>
      </w:divBdr>
    </w:div>
    <w:div w:id="1932928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CFEBFA7061544428FA349656C0416C2" ma:contentTypeVersion="12" ma:contentTypeDescription="Crear nuevo documento." ma:contentTypeScope="" ma:versionID="bf9a3983dc92f95174f2dba2d81877cb">
  <xsd:schema xmlns:xsd="http://www.w3.org/2001/XMLSchema" xmlns:xs="http://www.w3.org/2001/XMLSchema" xmlns:p="http://schemas.microsoft.com/office/2006/metadata/properties" xmlns:ns3="13141080-2a86-4d51-9580-729264b632ef" xmlns:ns4="d32b2513-740d-44fe-91f9-7b54183ed8a6" targetNamespace="http://schemas.microsoft.com/office/2006/metadata/properties" ma:root="true" ma:fieldsID="45193b29730c084aa8d84358144fb90e" ns3:_="" ns4:_="">
    <xsd:import namespace="13141080-2a86-4d51-9580-729264b632ef"/>
    <xsd:import namespace="d32b2513-740d-44fe-91f9-7b54183ed8a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141080-2a86-4d51-9580-729264b632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2b2513-740d-44fe-91f9-7b54183ed8a6"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ustomdocument xmlns="http://hoganlovells.com/word2010/custom">
  <fields>
    <field id="Author" dmfield="AUTHOR_ID" type="string">1089364</field>
    <field id="AuthorName" dmfield="" type="string"/>
    <field id="ClientNumber" dmfield="CLIENT_ID" type="string">1N9999</field>
    <field id="MatterNumber" dmfield="MATTER_ID" type="string">000260</field>
    <field id="DocumentType" dmfield="TYPE_ID" type="string">OTH</field>
    <field id="DocumentTitle" dmfield="DOCNAME" type="string"/>
    <field id="DocumentNumber" dmfield="DOCNUM" type="string">874031</field>
    <field id="Library" dmfield="" type="string">MDRLIB01</field>
    <field id="Version" dmfield="" type="string">2</field>
    <field id="Language" dmfield="" type="string"/>
    <field id="Office" dmfield="" type="string"/>
    <field id="PaperTypeFirst" dmfield="" type="string"/>
    <field id="PaperTypeCont" dmfield="" type="string"/>
    <field id="ExcludeFooterUpdate" dmfield="" type="string">False</field>
    <field id="LtrDocNo" dmfield="" type="">874031</field>
    <field id="FirstPageHeaded" dmfield="" type="">False</field>
    <field id="ContPage" dmfield="" type="">False</field>
    <field id="DraftSpacing" dmfield="" type="">False</field>
    <field id="DocID" dmfield="" type="">MDRLIB01/1089364/874031.2</field>
    <field id="FirmName" dmfield="" type="">Hogan Lovells</field>
    <field id="FooterType" dmfield="" type="">Continuation Page Footer</field>
  </fields>
</customdocument>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E70196-C15D-431D-89DB-4E28FBFC1E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658CFD1-EA28-4CD9-B883-C50DFC2E2A3F}">
  <ds:schemaRefs>
    <ds:schemaRef ds:uri="http://schemas.microsoft.com/sharepoint/v3/contenttype/forms"/>
  </ds:schemaRefs>
</ds:datastoreItem>
</file>

<file path=customXml/itemProps3.xml><?xml version="1.0" encoding="utf-8"?>
<ds:datastoreItem xmlns:ds="http://schemas.openxmlformats.org/officeDocument/2006/customXml" ds:itemID="{1C2CABC4-D52A-4719-93D6-C574B48492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141080-2a86-4d51-9580-729264b632ef"/>
    <ds:schemaRef ds:uri="d32b2513-740d-44fe-91f9-7b54183ed8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4155B8-47EB-43EE-A958-0E2701544FBB}">
  <ds:schemaRefs>
    <ds:schemaRef ds:uri="http://hoganlovells.com/word2010/custom"/>
  </ds:schemaRefs>
</ds:datastoreItem>
</file>

<file path=customXml/itemProps5.xml><?xml version="1.0" encoding="utf-8"?>
<ds:datastoreItem xmlns:ds="http://schemas.openxmlformats.org/officeDocument/2006/customXml" ds:itemID="{FE10C98C-656E-46C0-B4FC-25FA281DD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document.dotm</Template>
  <TotalTime>78</TotalTime>
  <Pages>14</Pages>
  <Words>4846</Words>
  <Characters>26654</Characters>
  <Application>Microsoft Office Word</Application>
  <DocSecurity>0</DocSecurity>
  <Lines>222</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Marta Perez Carrascosa</dc:creator>
  <cp:lastModifiedBy>AVALENTIA ABOGADOS - ÁREA ADMINISTRATIVO</cp:lastModifiedBy>
  <cp:revision>45</cp:revision>
  <dcterms:created xsi:type="dcterms:W3CDTF">2023-02-28T20:03:00Z</dcterms:created>
  <dcterms:modified xsi:type="dcterms:W3CDTF">2024-04-03T09:17:00Z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0x010100BCFEBFA7061544428FA349656C0416C2</vt:lpwstr>
  </property>
  <property fmtid="{D5CDD505-2E9C-101B-9397-08002B2CF9AE}" pid="3" name="eDOCS AutoSave">
    <vt:lpwstr/>
  </property>
</Properties>
</file>