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FangSong" w:hAnsi="FangSong" w:eastAsia="FangSong"/>
          <w:b/>
          <w:sz w:val="32"/>
        </w:rPr>
        <w:t>教案空表模板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授课章节及课题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审核人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授课班级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授课日期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授课地点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授课类型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授课形式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学情分析</w:t>
            </w:r>
          </w:p>
        </w:tc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知识储备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学情分析</w:t>
            </w:r>
          </w:p>
        </w:tc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学习习惯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学情分析</w:t>
            </w:r>
          </w:p>
        </w:tc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认知特点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教学重点</w:t>
            </w:r>
          </w:p>
        </w:tc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内容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解决措施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教学难点</w:t>
            </w:r>
          </w:p>
        </w:tc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内容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解决措施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知识目标</w:t>
            </w:r>
          </w:p>
        </w:tc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目标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能力目标</w:t>
            </w:r>
          </w:p>
        </w:tc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目标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素质目标</w:t>
            </w:r>
          </w:p>
        </w:tc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目标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教学方法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教学工具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课程资源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教学内容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教学活动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教学工具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设计意图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课前准备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教学内容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教学活动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设计意图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教学内容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教学活动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教学过程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教学内容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教学活动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思政意图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环节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教学内容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教学活动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思政意图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温故知新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新课引入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知识探究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总结评价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课后拓展教学活动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 w:val="0"/>
                <w:sz w:val="24"/>
              </w:rPr>
              <w:t>考核评价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