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human is the training which allows us to observe performers in action, their interactions, their limitations, etc. Physical theatre moderates that process.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machine is the interface that allows us to make sense of the signals by turning them into meaningful content. AI-powered cognitive sciences moderate that process.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culture can come either before, as a situation for training—but then it interferes with the human—or after, as a way to build speculative scenarios based on what the machine tells us about the human. Speculative design moderates that process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 order to avoid regurgitating ready-made futures—even being critical or pushing them further—we need to avoid basing them on the technology.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have a unique framework in the training, which allows us to base our speculation purely on the human. The machine is a tool to understand the human. An interesting research question would be their mutual influence: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— if the machine can tell us more about the human, can it help us know ourselves better?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— what would society &amp; culture look like if humans knew themselves better, understood first-hand their own cognition, how it is embodied, how it develops?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— which technology would be developed in a society of humans with better metacognition / embodied metacognition?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— how would these technologies in turn influence these humans? What would it allo them to see? What is the next step up? Or down?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mentioned before that our strength is in the ability to keep the research question fluid. Maybe that is a great opportunity to research the fluidity of interferences and feedback loops between humans and machines?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Verdana" w:cs="Verdana" w:eastAsia="Verdana" w:hAnsi="Verdana"/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rtl w:val="0"/>
        </w:rPr>
        <w:t xml:space="preserve">Human-Machine Learning; Embodied Metacognition; 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6"/>
          <w:szCs w:val="26"/>
          <w:rtl w:val="0"/>
        </w:rPr>
        <w:t xml:space="preserve">Animalistic Technology; Commoning Practices; Agency Negotiation; De-anthropomorphisation; Infectious Moods</w:t>
      </w:r>
    </w:p>
    <w:sectPr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