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船夫健康 (Boatman Health) 营养调研问卷交互逻辑说明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业务流程总览 (User Flow)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本流程旨在引导高净值客户完成精细化的营养与生活方式评估，采用沉浸式向导设计，确保海量表单内容的填写体验专业且不显臃肿。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核心动线：入口引导 -&gt; 账号激活(未登录状态) -&gt; 分步向导填写(10个步骤) -&gt; 提交成功。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页面交互详情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阶段一：准入与激活逻辑和“健康档案”一致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阶段二：分步向导填写 (Steps 01-10)逻辑和“健康档案”一致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所有页面遵循统一的向导框架：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顶部栏</w:t>
      </w:r>
      <w:r>
        <w:rPr>
          <w:rFonts w:eastAsia="等线" w:ascii="Arial" w:cs="Arial" w:hAnsi="Arial"/>
          <w:sz w:val="22"/>
        </w:rPr>
        <w:t>：展示品牌名、当前板块标题（如：03 饮食习惯）及实时百分比进度条。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主体区</w:t>
      </w:r>
      <w:r>
        <w:rPr>
          <w:rFonts w:eastAsia="等线" w:ascii="Arial" w:cs="Arial" w:hAnsi="Arial"/>
          <w:sz w:val="22"/>
        </w:rPr>
        <w:t>：沉浸式卡片布局，支持上下滑动查看问题，支持左右滑动手势切换步骤。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底部栏</w:t>
      </w:r>
      <w:r>
        <w:rPr>
          <w:rFonts w:eastAsia="等线" w:ascii="Arial" w:cs="Arial" w:hAnsi="Arial"/>
          <w:sz w:val="22"/>
        </w:rPr>
        <w:t>：展示 10 个进度圆点指示器及“下一模块”引导按钮。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阶段三：提交与反馈逻辑和“健康档案”一致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 全局规则与技术特性，逻辑和“健康档案”一致</w:t>
      </w:r>
      <w:bookmarkEnd w:id="5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动态条件渲染 (Conditional Logic)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  <w:shd w:fill="f76964"/>
        </w:rPr>
        <w:t>如上述“运动习惯”所示，问卷支持基于用户选项的题目动态跳过，如果客户在“运动习惯”选择日常，则不需要填写“运动习惯2-9问题，提升填写效率。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数据自动保存 (Local Persistence)</w:t>
      </w:r>
      <w:r>
        <w:rPr>
          <w:rFonts w:eastAsia="等线" w:ascii="Arial" w:cs="Arial" w:hAnsi="Arial"/>
          <w:sz w:val="22"/>
        </w:rPr>
        <w:t xml:space="preserve">：每个字段的输入均实时保存至浏览器 </w:t>
      </w:r>
      <w:r>
        <w:rPr>
          <w:rFonts w:eastAsia="Consolas" w:ascii="Consolas" w:cs="Consolas" w:hAnsi="Consolas"/>
          <w:sz w:val="22"/>
          <w:shd w:fill="EFF0F1"/>
        </w:rPr>
        <w:t>localStorage</w:t>
      </w:r>
      <w:r>
        <w:rPr>
          <w:rFonts w:eastAsia="等线" w:ascii="Arial" w:cs="Arial" w:hAnsi="Arial"/>
          <w:sz w:val="22"/>
        </w:rPr>
        <w:t>，防丢防错。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视觉规范执行 (Azure Stewardship)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无边框法则：全站禁止使用 1px 实线，通过背景色块对比与高级阴影区分层级。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排版权威感：使用 Manrope 字体，保持充足留白与杂志化非对称排版。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纯净高效：无位图加载，纯 CSS 渲染，确保在各种弱网环境下秒开。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联动反馈</w:t>
      </w:r>
      <w:r>
        <w:rPr>
          <w:rFonts w:eastAsia="等线" w:ascii="Arial" w:cs="Arial" w:hAnsi="Arial"/>
          <w:sz w:val="22"/>
        </w:rPr>
        <w:t>：顶部进度条、底部 Dots 与滑动页面实时一一对应。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0873">
    <w:lvl>
      <w:numFmt w:val="bullet"/>
      <w:suff w:val="tab"/>
      <w:lvlText w:val="•"/>
      <w:rPr>
        <w:color w:val="3370ff"/>
      </w:rPr>
    </w:lvl>
  </w:abstractNum>
  <w:abstractNum w:abstractNumId="210874">
    <w:lvl>
      <w:numFmt w:val="bullet"/>
      <w:suff w:val="tab"/>
      <w:lvlText w:val="•"/>
      <w:rPr>
        <w:color w:val="3370ff"/>
      </w:rPr>
    </w:lvl>
  </w:abstractNum>
  <w:abstractNum w:abstractNumId="210875">
    <w:lvl>
      <w:numFmt w:val="bullet"/>
      <w:suff w:val="tab"/>
      <w:lvlText w:val="•"/>
      <w:rPr>
        <w:color w:val="3370ff"/>
      </w:rPr>
    </w:lvl>
  </w:abstractNum>
  <w:abstractNum w:abstractNumId="210876">
    <w:lvl>
      <w:start w:val="1"/>
      <w:numFmt w:val="decimal"/>
      <w:suff w:val="tab"/>
      <w:lvlText w:val="%1."/>
      <w:rPr>
        <w:color w:val="3370ff"/>
      </w:rPr>
    </w:lvl>
  </w:abstractNum>
  <w:abstractNum w:abstractNumId="210877">
    <w:lvl>
      <w:start w:val="2"/>
      <w:numFmt w:val="decimal"/>
      <w:suff w:val="tab"/>
      <w:lvlText w:val="%1."/>
      <w:rPr>
        <w:color w:val="3370ff"/>
      </w:rPr>
    </w:lvl>
  </w:abstractNum>
  <w:abstractNum w:abstractNumId="210878">
    <w:lvl>
      <w:start w:val="3"/>
      <w:numFmt w:val="decimal"/>
      <w:suff w:val="tab"/>
      <w:lvlText w:val="%1."/>
      <w:rPr>
        <w:color w:val="3370ff"/>
      </w:rPr>
    </w:lvl>
  </w:abstractNum>
  <w:abstractNum w:abstractNumId="210879">
    <w:lvl>
      <w:numFmt w:val="bullet"/>
      <w:suff w:val="tab"/>
      <w:lvlText w:val="￮"/>
      <w:rPr>
        <w:color w:val="3370ff"/>
      </w:rPr>
    </w:lvl>
  </w:abstractNum>
  <w:abstractNum w:abstractNumId="210880">
    <w:lvl>
      <w:numFmt w:val="bullet"/>
      <w:suff w:val="tab"/>
      <w:lvlText w:val="￮"/>
      <w:rPr>
        <w:color w:val="3370ff"/>
      </w:rPr>
    </w:lvl>
  </w:abstractNum>
  <w:abstractNum w:abstractNumId="210881">
    <w:lvl>
      <w:numFmt w:val="bullet"/>
      <w:suff w:val="tab"/>
      <w:lvlText w:val="￮"/>
      <w:rPr>
        <w:color w:val="3370ff"/>
      </w:rPr>
    </w:lvl>
  </w:abstractNum>
  <w:abstractNum w:abstractNumId="210882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10873"/>
  </w:num>
  <w:num w:numId="2">
    <w:abstractNumId w:val="210874"/>
  </w:num>
  <w:num w:numId="3">
    <w:abstractNumId w:val="210875"/>
  </w:num>
  <w:num w:numId="4">
    <w:abstractNumId w:val="210876"/>
  </w:num>
  <w:num w:numId="5">
    <w:abstractNumId w:val="210877"/>
  </w:num>
  <w:num w:numId="6">
    <w:abstractNumId w:val="210878"/>
  </w:num>
  <w:num w:numId="7">
    <w:abstractNumId w:val="210879"/>
  </w:num>
  <w:num w:numId="8">
    <w:abstractNumId w:val="210880"/>
  </w:num>
  <w:num w:numId="9">
    <w:abstractNumId w:val="210881"/>
  </w:num>
  <w:num w:numId="10">
    <w:abstractNumId w:val="2108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2026-04-11T06:43:11Z</dcterms:created>
  <dc:creator>Apache POI</dc:creator>
</cp:coreProperties>
</file>