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船夫健康 (Boatman Health) - 营养调研问卷在线设计文档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流程概述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本问卷旨在为高净值客户提供全方位的营养与生活方式评估。流程采用沉浸式向导设计，共分为10个精细化步骤，确保海量表单内容的填写体验专业、高效且私密。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页面清单与核心逻辑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阶段一：准入与激活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01 (含注册激活版) </w:t>
      </w:r>
      <w:r>
        <w:rPr>
          <w:rFonts w:eastAsia="Consolas" w:ascii="Consolas" w:cs="Consolas" w:hAnsi="Consolas"/>
          <w:sz w:val="22"/>
          <w:shd w:fill="EFF0F1"/>
        </w:rPr>
        <w:t>{{DATA:SCREEN:SCREEN_200}}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功能：针对未登录客户，通过底部悬浮模块引导完成手机号与密码注册。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交互：激活后解锁背景制灰的表单。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阶段二：分步向导式填写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01 (动机与体征) </w:t>
      </w:r>
      <w:r>
        <w:rPr>
          <w:rFonts w:eastAsia="Consolas" w:ascii="Consolas" w:cs="Consolas" w:hAnsi="Consolas"/>
          <w:sz w:val="22"/>
          <w:shd w:fill="EFF0F1"/>
        </w:rPr>
        <w:t>{{DATA:SCREEN:SCREEN_23}}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采集项：咨询原因、支持目标、基础体征（身高/体重）及现病史。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02 (饮食习惯 1/4) </w:t>
      </w:r>
      <w:r>
        <w:rPr>
          <w:rFonts w:eastAsia="Consolas" w:ascii="Consolas" w:cs="Consolas" w:hAnsi="Consolas"/>
          <w:sz w:val="22"/>
          <w:shd w:fill="EFF0F1"/>
        </w:rPr>
        <w:t>{{DATA:SCREEN:SCREEN_5}}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采集项：主餐频率、早餐习惯、零食偏好及食物来源。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03 (饮食习惯 2/4) </w:t>
      </w:r>
      <w:r>
        <w:rPr>
          <w:rFonts w:eastAsia="Consolas" w:ascii="Consolas" w:cs="Consolas" w:hAnsi="Consolas"/>
          <w:sz w:val="22"/>
          <w:shd w:fill="EFF0F1"/>
        </w:rPr>
        <w:t>{{DATA:SCREEN:SCREEN_104}}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{{DATA:SCREEN:SCREEN_345}}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{{DATA:SCREEN:SCREEN_393}}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功能：涵盖食物禁忌、特定饮食计划及谷薯/水果摄入频率。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细节：提供“无特定饮食计划”选项及支持文字输入的“其他”项。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04 (饮食习惯 3/4) </w:t>
      </w:r>
      <w:r>
        <w:rPr>
          <w:rFonts w:eastAsia="Consolas" w:ascii="Consolas" w:cs="Consolas" w:hAnsi="Consolas"/>
          <w:sz w:val="22"/>
          <w:shd w:fill="EFF0F1"/>
        </w:rPr>
        <w:t>{{DATA:SCREEN:SCREEN_203}}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采集项：蔬菜类与蛋白质类食物的摄入频率矩阵。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05 (饮食习惯 4/4) </w:t>
      </w:r>
      <w:r>
        <w:rPr>
          <w:rFonts w:eastAsia="Consolas" w:ascii="Consolas" w:cs="Consolas" w:hAnsi="Consolas"/>
          <w:sz w:val="22"/>
          <w:shd w:fill="EFF0F1"/>
        </w:rPr>
        <w:t>{{DATA:SCREEN:SCREEN_397}}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采集项：乳制品、代乳品及零食甜点的摄入频率。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06 (运动习惯 1/2) </w:t>
      </w:r>
      <w:r>
        <w:rPr>
          <w:rFonts w:eastAsia="Consolas" w:ascii="Consolas" w:cs="Consolas" w:hAnsi="Consolas"/>
          <w:sz w:val="22"/>
          <w:shd w:fill="EFF0F1"/>
        </w:rPr>
        <w:t>{{DATA:SCREEN:SCREEN_88}}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功能：评估当前运动水平，包含基于“日常活动量”选项的动态隐藏逻辑。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07 (运动习惯 2/2) </w:t>
      </w:r>
      <w:r>
        <w:rPr>
          <w:rFonts w:eastAsia="Consolas" w:ascii="Consolas" w:cs="Consolas" w:hAnsi="Consolas"/>
          <w:sz w:val="22"/>
          <w:shd w:fill="EFF0F1"/>
        </w:rPr>
        <w:t>{{DATA:SCREEN:SCREEN_328}}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采集项：运动挑战、特定运动目标及社交运动偏好。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09 (社交与反馈) </w:t>
      </w:r>
      <w:r>
        <w:rPr>
          <w:rFonts w:eastAsia="Consolas" w:ascii="Consolas" w:cs="Consolas" w:hAnsi="Consolas"/>
          <w:sz w:val="22"/>
          <w:shd w:fill="EFF0F1"/>
        </w:rPr>
        <w:t>{{DATA:SCREEN:SCREEN_283}}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采集项：日常社交活动多选及开放式意见反馈。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阶段三：反馈与交付</w:t>
      </w:r>
      <w:bookmarkEnd w:id="5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提交成功页 </w:t>
      </w:r>
      <w:r>
        <w:rPr>
          <w:rFonts w:eastAsia="Consolas" w:ascii="Consolas" w:cs="Consolas" w:hAnsi="Consolas"/>
          <w:sz w:val="22"/>
          <w:shd w:fill="EFF0F1"/>
        </w:rPr>
        <w:t>{{DATA:SCREEN:SCREEN_278}}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功能：确认数据同步，引导用户返回账户中心。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3844">
    <w:lvl>
      <w:numFmt w:val="bullet"/>
      <w:suff w:val="tab"/>
      <w:lvlText w:val="•"/>
      <w:rPr>
        <w:color w:val="3370ff"/>
      </w:rPr>
    </w:lvl>
  </w:abstractNum>
  <w:abstractNum w:abstractNumId="183845">
    <w:lvl>
      <w:numFmt w:val="bullet"/>
      <w:suff w:val="tab"/>
      <w:lvlText w:val="￮"/>
      <w:rPr>
        <w:color w:val="3370ff"/>
      </w:rPr>
    </w:lvl>
  </w:abstractNum>
  <w:abstractNum w:abstractNumId="183846">
    <w:lvl>
      <w:numFmt w:val="bullet"/>
      <w:suff w:val="tab"/>
      <w:lvlText w:val="￮"/>
      <w:rPr>
        <w:color w:val="3370ff"/>
      </w:rPr>
    </w:lvl>
  </w:abstractNum>
  <w:abstractNum w:abstractNumId="183847">
    <w:lvl>
      <w:numFmt w:val="bullet"/>
      <w:suff w:val="tab"/>
      <w:lvlText w:val="•"/>
      <w:rPr>
        <w:color w:val="3370ff"/>
      </w:rPr>
    </w:lvl>
  </w:abstractNum>
  <w:abstractNum w:abstractNumId="183848">
    <w:lvl>
      <w:numFmt w:val="bullet"/>
      <w:suff w:val="tab"/>
      <w:lvlText w:val="￮"/>
      <w:rPr>
        <w:color w:val="3370ff"/>
      </w:rPr>
    </w:lvl>
  </w:abstractNum>
  <w:abstractNum w:abstractNumId="183849">
    <w:lvl>
      <w:numFmt w:val="bullet"/>
      <w:suff w:val="tab"/>
      <w:lvlText w:val="•"/>
      <w:rPr>
        <w:color w:val="3370ff"/>
      </w:rPr>
    </w:lvl>
  </w:abstractNum>
  <w:abstractNum w:abstractNumId="183850">
    <w:lvl>
      <w:numFmt w:val="bullet"/>
      <w:suff w:val="tab"/>
      <w:lvlText w:val="￮"/>
      <w:rPr>
        <w:color w:val="3370ff"/>
      </w:rPr>
    </w:lvl>
  </w:abstractNum>
  <w:abstractNum w:abstractNumId="183851">
    <w:lvl>
      <w:numFmt w:val="bullet"/>
      <w:suff w:val="tab"/>
      <w:lvlText w:val="•"/>
      <w:rPr>
        <w:color w:val="3370ff"/>
      </w:rPr>
    </w:lvl>
  </w:abstractNum>
  <w:abstractNum w:abstractNumId="183852">
    <w:lvl>
      <w:numFmt w:val="bullet"/>
      <w:suff w:val="tab"/>
      <w:lvlText w:val="￮"/>
      <w:rPr>
        <w:color w:val="3370ff"/>
      </w:rPr>
    </w:lvl>
  </w:abstractNum>
  <w:abstractNum w:abstractNumId="183853">
    <w:lvl>
      <w:numFmt w:val="bullet"/>
      <w:suff w:val="tab"/>
      <w:lvlText w:val="￮"/>
      <w:rPr>
        <w:color w:val="3370ff"/>
      </w:rPr>
    </w:lvl>
  </w:abstractNum>
  <w:abstractNum w:abstractNumId="183854">
    <w:lvl>
      <w:numFmt w:val="bullet"/>
      <w:suff w:val="tab"/>
      <w:lvlText w:val="•"/>
      <w:rPr>
        <w:color w:val="3370ff"/>
      </w:rPr>
    </w:lvl>
  </w:abstractNum>
  <w:abstractNum w:abstractNumId="183855">
    <w:lvl>
      <w:numFmt w:val="bullet"/>
      <w:suff w:val="tab"/>
      <w:lvlText w:val="￮"/>
      <w:rPr>
        <w:color w:val="3370ff"/>
      </w:rPr>
    </w:lvl>
  </w:abstractNum>
  <w:abstractNum w:abstractNumId="183856">
    <w:lvl>
      <w:numFmt w:val="bullet"/>
      <w:suff w:val="tab"/>
      <w:lvlText w:val="•"/>
      <w:rPr>
        <w:color w:val="3370ff"/>
      </w:rPr>
    </w:lvl>
  </w:abstractNum>
  <w:abstractNum w:abstractNumId="183857">
    <w:lvl>
      <w:numFmt w:val="bullet"/>
      <w:suff w:val="tab"/>
      <w:lvlText w:val="￮"/>
      <w:rPr>
        <w:color w:val="3370ff"/>
      </w:rPr>
    </w:lvl>
  </w:abstractNum>
  <w:abstractNum w:abstractNumId="183858">
    <w:lvl>
      <w:numFmt w:val="bullet"/>
      <w:suff w:val="tab"/>
      <w:lvlText w:val="•"/>
      <w:rPr>
        <w:color w:val="3370ff"/>
      </w:rPr>
    </w:lvl>
  </w:abstractNum>
  <w:abstractNum w:abstractNumId="183859">
    <w:lvl>
      <w:numFmt w:val="bullet"/>
      <w:suff w:val="tab"/>
      <w:lvlText w:val="￮"/>
      <w:rPr>
        <w:color w:val="3370ff"/>
      </w:rPr>
    </w:lvl>
  </w:abstractNum>
  <w:abstractNum w:abstractNumId="183860">
    <w:lvl>
      <w:numFmt w:val="bullet"/>
      <w:suff w:val="tab"/>
      <w:lvlText w:val="•"/>
      <w:rPr>
        <w:color w:val="3370ff"/>
      </w:rPr>
    </w:lvl>
  </w:abstractNum>
  <w:abstractNum w:abstractNumId="183861">
    <w:lvl>
      <w:numFmt w:val="bullet"/>
      <w:suff w:val="tab"/>
      <w:lvlText w:val="￮"/>
      <w:rPr>
        <w:color w:val="3370ff"/>
      </w:rPr>
    </w:lvl>
  </w:abstractNum>
  <w:abstractNum w:abstractNumId="183862">
    <w:lvl>
      <w:numFmt w:val="bullet"/>
      <w:suff w:val="tab"/>
      <w:lvlText w:val="•"/>
      <w:rPr>
        <w:color w:val="3370ff"/>
      </w:rPr>
    </w:lvl>
  </w:abstractNum>
  <w:abstractNum w:abstractNumId="183863">
    <w:lvl>
      <w:numFmt w:val="bullet"/>
      <w:suff w:val="tab"/>
      <w:lvlText w:val="￮"/>
      <w:rPr>
        <w:color w:val="3370ff"/>
      </w:rPr>
    </w:lvl>
  </w:abstractNum>
  <w:abstractNum w:abstractNumId="183864">
    <w:lvl>
      <w:numFmt w:val="bullet"/>
      <w:suff w:val="tab"/>
      <w:lvlText w:val="•"/>
      <w:rPr>
        <w:color w:val="3370ff"/>
      </w:rPr>
    </w:lvl>
  </w:abstractNum>
  <w:abstractNum w:abstractNumId="183865">
    <w:lvl>
      <w:numFmt w:val="bullet"/>
      <w:suff w:val="tab"/>
      <w:lvlText w:val="￮"/>
      <w:rPr>
        <w:color w:val="3370ff"/>
      </w:rPr>
    </w:lvl>
  </w:abstractNum>
  <w:num w:numId="1">
    <w:abstractNumId w:val="183844"/>
  </w:num>
  <w:num w:numId="2">
    <w:abstractNumId w:val="183845"/>
  </w:num>
  <w:num w:numId="3">
    <w:abstractNumId w:val="183846"/>
  </w:num>
  <w:num w:numId="4">
    <w:abstractNumId w:val="183847"/>
  </w:num>
  <w:num w:numId="5">
    <w:abstractNumId w:val="183848"/>
  </w:num>
  <w:num w:numId="6">
    <w:abstractNumId w:val="183849"/>
  </w:num>
  <w:num w:numId="7">
    <w:abstractNumId w:val="183850"/>
  </w:num>
  <w:num w:numId="8">
    <w:abstractNumId w:val="183851"/>
  </w:num>
  <w:num w:numId="9">
    <w:abstractNumId w:val="183852"/>
  </w:num>
  <w:num w:numId="10">
    <w:abstractNumId w:val="183853"/>
  </w:num>
  <w:num w:numId="11">
    <w:abstractNumId w:val="183854"/>
  </w:num>
  <w:num w:numId="12">
    <w:abstractNumId w:val="183855"/>
  </w:num>
  <w:num w:numId="13">
    <w:abstractNumId w:val="183856"/>
  </w:num>
  <w:num w:numId="14">
    <w:abstractNumId w:val="183857"/>
  </w:num>
  <w:num w:numId="15">
    <w:abstractNumId w:val="183858"/>
  </w:num>
  <w:num w:numId="16">
    <w:abstractNumId w:val="183859"/>
  </w:num>
  <w:num w:numId="17">
    <w:abstractNumId w:val="183860"/>
  </w:num>
  <w:num w:numId="18">
    <w:abstractNumId w:val="183861"/>
  </w:num>
  <w:num w:numId="19">
    <w:abstractNumId w:val="183862"/>
  </w:num>
  <w:num w:numId="20">
    <w:abstractNumId w:val="183863"/>
  </w:num>
  <w:num w:numId="21">
    <w:abstractNumId w:val="183864"/>
  </w:num>
  <w:num w:numId="22">
    <w:abstractNumId w:val="1838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2026-04-11T06:42:19Z</dcterms:created>
  <dc:creator>Apache POI</dc:creator>
</cp:coreProperties>
</file>