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rFonts w:ascii="Calibri" w:hAnsi="Calibri"/>
          <w:b/>
          <w:color w:val="153243"/>
          <w:sz w:val="50"/>
        </w:rPr>
        <w:t>Hsiao-Ping Ni</w:t>
      </w:r>
      <w:r>
        <w:rPr>
          <w:rFonts w:ascii="Calibri" w:hAnsi="Calibri"/>
          <w:b/>
          <w:color w:val="8A5A34"/>
          <w:sz w:val="26"/>
        </w:rPr>
        <w:t xml:space="preserve">  |  Postdoctoral Research Scholar</w:t>
      </w:r>
    </w:p>
    <w:p>
      <w:pPr>
        <w:spacing w:before="0" w:after="140" w:line="276" w:lineRule="auto"/>
        <w:pBdr>
          <w:bottom w:val="single" w:sz="12" w:space="6" w:color="20576F"/>
        </w:pBdr>
      </w:pPr>
      <w:r>
        <w:rPr>
          <w:rFonts w:ascii="Calibri" w:hAnsi="Calibri"/>
          <w:b/>
          <w:color w:val="20576F"/>
          <w:sz w:val="22"/>
        </w:rPr>
        <w:t>Semiconductor Monitoring and AI for Reliability &amp; Digital Twins</w:t>
      </w:r>
    </w:p>
    <w:p>
      <w:pPr>
        <w:spacing w:before="0" w:after="180" w:line="276" w:lineRule="auto"/>
      </w:pPr>
      <w:r>
        <w:rPr>
          <w:rFonts w:ascii="Calibri" w:hAnsi="Calibri"/>
          <w:color w:val="1F2933"/>
          <w:sz w:val="18"/>
        </w:rPr>
        <w:t>Tempe, AZ, USA</w:t>
      </w:r>
      <w:r>
        <w:rPr>
          <w:rFonts w:ascii="Calibri" w:hAnsi="Calibri"/>
          <w:color w:val="5D6B78"/>
          <w:sz w:val="18"/>
        </w:rPr>
        <w:t xml:space="preserve">  |  </w:t>
      </w:r>
      <w:r>
        <w:rPr>
          <w:rFonts w:ascii="Calibri" w:hAnsi="Calibri"/>
          <w:color w:val="1F2933"/>
          <w:sz w:val="18"/>
        </w:rPr>
        <w:t>hsiaoping316@gmail.com</w:t>
      </w:r>
      <w:r>
        <w:rPr>
          <w:rFonts w:ascii="Calibri" w:hAnsi="Calibri"/>
          <w:color w:val="5D6B78"/>
          <w:sz w:val="18"/>
        </w:rPr>
        <w:t xml:space="preserve">  |  </w:t>
      </w:r>
      <w:r>
        <w:rPr>
          <w:rFonts w:ascii="Calibri" w:hAnsi="Calibri"/>
          <w:color w:val="1F2933"/>
          <w:sz w:val="18"/>
        </w:rPr>
        <w:t>(480) 297-8966</w:t>
      </w:r>
      <w:r>
        <w:rPr>
          <w:rFonts w:ascii="Calibri" w:hAnsi="Calibri"/>
          <w:color w:val="5D6B78"/>
          <w:sz w:val="18"/>
        </w:rPr>
        <w:t xml:space="preserve">  |  </w:t>
      </w:r>
      <w:r>
        <w:rPr>
          <w:rFonts w:ascii="Calibri" w:hAnsi="Calibri"/>
          <w:color w:val="1F2933"/>
          <w:sz w:val="18"/>
        </w:rPr>
        <w:t>linkedin.com/in/hsiaopingni</w:t>
      </w:r>
      <w:r>
        <w:rPr>
          <w:rFonts w:ascii="Calibri" w:hAnsi="Calibri"/>
          <w:color w:val="5D6B78"/>
          <w:sz w:val="18"/>
        </w:rPr>
        <w:t xml:space="preserve">  |  </w:t>
      </w:r>
      <w:r>
        <w:rPr>
          <w:rFonts w:ascii="Calibri" w:hAnsi="Calibri"/>
          <w:color w:val="1F2933"/>
          <w:sz w:val="18"/>
        </w:rPr>
        <w:t>scholar.google.com/citations?user=0Wai3BMAAAAJ</w:t>
      </w:r>
      <w:r>
        <w:rPr>
          <w:rFonts w:ascii="Calibri" w:hAnsi="Calibri"/>
          <w:color w:val="5D6B78"/>
          <w:sz w:val="18"/>
        </w:rPr>
        <w:t xml:space="preserve">  |  </w:t>
      </w:r>
      <w:r>
        <w:rPr>
          <w:rFonts w:ascii="Calibri" w:hAnsi="Calibri"/>
          <w:color w:val="1F2933"/>
          <w:sz w:val="18"/>
        </w:rPr>
        <w:t>ORCID: 0009-0004-2955-0871</w:t>
      </w:r>
      <w:r>
        <w:rPr>
          <w:rFonts w:ascii="Calibri" w:hAnsi="Calibri"/>
          <w:color w:val="5D6B78"/>
          <w:sz w:val="18"/>
        </w:rPr>
        <w:t xml:space="preserve">  |  </w:t>
      </w:r>
      <w:r>
        <w:rPr>
          <w:rFonts w:ascii="Calibri" w:hAnsi="Calibri"/>
          <w:color w:val="1F2933"/>
          <w:sz w:val="18"/>
        </w:rPr>
        <w:t>Citizenship: Taiwan</w:t>
      </w:r>
    </w:p>
    <w:tbl>
      <w:tblPr>
        <w:tblW w:type="dxa" w:w="9360"/>
        <w:jc w:val="center"/>
        <w:tblLook w:firstColumn="1" w:firstRow="1" w:lastColumn="0" w:lastRow="0" w:noHBand="0" w:noVBand="1" w:val="04A0"/>
        <w:tblInd w:type="dxa" w:w="120"/>
        <w:tblLayout w:type="fixed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  <w:tcBorders>
              <w:top w:val="single" w:sz="6" w:space="0" w:color="B9C8D1"/>
              <w:left w:val="single" w:sz="6" w:space="0" w:color="B9C8D1"/>
              <w:bottom w:val="single" w:sz="6" w:space="0" w:color="B9C8D1"/>
              <w:right w:val="single" w:sz="6" w:space="0" w:color="B9C8D1"/>
            </w:tcBorders>
          </w:tcPr>
          <w:p>
            <w:pPr>
              <w:spacing w:before="0" w:after="40" w:line="288" w:lineRule="auto"/>
            </w:pPr>
            <w:r>
              <w:rPr>
                <w:rFonts w:ascii="Calibri" w:hAnsi="Calibri"/>
                <w:b/>
                <w:color w:val="8A5A34"/>
                <w:sz w:val="19"/>
              </w:rPr>
              <w:t>RESEARCH PROFILE</w:t>
            </w:r>
          </w:p>
          <w:p>
            <w:pPr>
              <w:spacing w:before="0" w:after="0" w:line="300" w:lineRule="auto"/>
            </w:pPr>
            <w:r>
              <w:rPr>
                <w:rFonts w:ascii="Calibri" w:hAnsi="Calibri"/>
                <w:color w:val="1F2933"/>
                <w:sz w:val="20"/>
              </w:rPr>
              <w:t>Postdoctoral Research Scholar in semiconductor systems, telemetry analytics, and AI-driven system optimization. I develop deployable, explainable, and low-overhead AI frameworks that use chip-, host-, and facility-level telemetry to improve reliability, energy efficiency, security monitoring, and operational resilience in semiconductor manufacturing facilities and computing platforms.</w:t>
            </w:r>
          </w:p>
        </w:tc>
      </w:tr>
    </w:tbl>
    <w:tbl>
      <w:tblPr>
        <w:tblW w:type="dxa" w:w="9360"/>
        <w:jc w:val="center"/>
        <w:tblLook w:firstColumn="1" w:firstRow="1" w:lastColumn="0" w:lastRow="0" w:noHBand="0" w:noVBand="1" w:val="04A0"/>
        <w:tblInd w:type="dxa" w:w="120"/>
        <w:tblLayout w:type="fixed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153243"/>
                <w:sz w:val="28"/>
              </w:rPr>
              <w:t>&lt;0.005%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5D6B78"/>
                <w:sz w:val="17"/>
              </w:rPr>
              <w:t>EXACT CPU die-area overhead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153243"/>
                <w:sz w:val="28"/>
              </w:rPr>
              <w:t>3.4 pJ/sample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5D6B78"/>
                <w:sz w:val="17"/>
              </w:rPr>
              <w:t>edge causal telemetry score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153243"/>
                <w:sz w:val="28"/>
              </w:rPr>
              <w:t>95%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5D6B78"/>
                <w:sz w:val="17"/>
              </w:rPr>
              <w:t>DICE rich-telemetry detection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153243"/>
                <w:sz w:val="28"/>
              </w:rPr>
              <w:t>3,000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5D6B78"/>
                <w:sz w:val="17"/>
              </w:rPr>
              <w:t>A100 GPU-hours grant</w:t>
            </w:r>
          </w:p>
        </w:tc>
      </w:tr>
    </w:tbl>
    <w:tbl>
      <w:tblPr>
        <w:tblW w:type="dxa" w:w="9360"/>
        <w:jc w:val="center"/>
        <w:tblLook w:firstColumn="1" w:firstRow="1" w:lastColumn="0" w:lastRow="0" w:noHBand="0" w:noVBand="1" w:val="04A0"/>
        <w:tblInd w:type="dxa" w:w="120"/>
        <w:tblLayout w:type="fixed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  <w:tcBorders>
              <w:top w:val="single" w:sz="6" w:space="0" w:color="B9C8D1"/>
              <w:left w:val="single" w:sz="6" w:space="0" w:color="B9C8D1"/>
              <w:bottom w:val="single" w:sz="6" w:space="0" w:color="B9C8D1"/>
              <w:right w:val="single" w:sz="6" w:space="0" w:color="B9C8D1"/>
            </w:tcBorders>
          </w:tcPr>
          <w:p>
            <w:pPr>
              <w:spacing w:before="0" w:after="40" w:line="288" w:lineRule="auto"/>
            </w:pPr>
            <w:r>
              <w:rPr>
                <w:rFonts w:ascii="Calibri" w:hAnsi="Calibri"/>
                <w:b/>
                <w:color w:val="8A5A34"/>
                <w:sz w:val="19"/>
              </w:rPr>
              <w:t>LONG-TERM PROPOSED ENDEAVOR</w:t>
            </w:r>
          </w:p>
          <w:p>
            <w:pPr>
              <w:spacing w:before="0" w:after="0" w:line="300" w:lineRule="auto"/>
            </w:pPr>
            <w:r>
              <w:rPr>
                <w:rFonts w:ascii="Calibri" w:hAnsi="Calibri"/>
                <w:color w:val="1F2933"/>
                <w:sz w:val="20"/>
              </w:rPr>
              <w:t>Advance scalable telemetry-driven Silicon Lifecycle Management and semiconductor facility intelligence through causal/explainable AI, digital twins, fixed-point edge analytics, and guardrailed decision support for dependable and energy-efficient operations.</w:t>
            </w:r>
          </w:p>
        </w:tc>
      </w:tr>
    </w:tbl>
    <w:p>
      <w:pPr>
        <w:spacing w:before="240" w:after="100" w:line="276" w:lineRule="auto"/>
        <w:pBdr>
          <w:bottom w:val="single" w:sz="6" w:space="6" w:color="D8E0E6"/>
        </w:pBdr>
      </w:pPr>
      <w:r>
        <w:rPr>
          <w:rFonts w:ascii="Calibri" w:hAnsi="Calibri"/>
          <w:b/>
          <w:color w:val="20576F"/>
          <w:sz w:val="23"/>
        </w:rPr>
        <w:t>RESEARCH SIGNATURE</w:t>
      </w:r>
    </w:p>
    <w:tbl>
      <w:tblPr>
        <w:tblW w:type="dxa" w:w="9360"/>
        <w:jc w:val="center"/>
        <w:tblLook w:firstColumn="1" w:firstRow="1" w:lastColumn="0" w:lastRow="0" w:noHBand="0" w:noVBand="1" w:val="04A0"/>
        <w:tblInd w:type="dxa" w:w="120"/>
        <w:tblLayout w:type="fixed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0576F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Measure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0576F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Explain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0576F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Act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>
            <w:pPr>
              <w:spacing w:before="0" w:after="0" w:line="283" w:lineRule="auto"/>
            </w:pPr>
            <w:r>
              <w:rPr>
                <w:rFonts w:ascii="Calibri" w:hAnsi="Calibri"/>
                <w:color w:val="1F2933"/>
                <w:sz w:val="19"/>
              </w:rPr>
              <w:t>Target-referenced gap metrics from chip, host, and facility telemetry.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>
            <w:pPr>
              <w:spacing w:before="0" w:after="0" w:line="283" w:lineRule="auto"/>
            </w:pPr>
            <w:r>
              <w:rPr>
                <w:rFonts w:ascii="Calibri" w:hAnsi="Calibri"/>
                <w:color w:val="1F2933"/>
                <w:sz w:val="19"/>
              </w:rPr>
              <w:t>Causal/dependency-aware features, calibrated evidence, and interpretable anomaly scores.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>
            <w:pPr>
              <w:spacing w:before="0" w:after="0" w:line="283" w:lineRule="auto"/>
            </w:pPr>
            <w:r>
              <w:rPr>
                <w:rFonts w:ascii="Calibri" w:hAnsi="Calibri"/>
                <w:color w:val="1F2933"/>
                <w:sz w:val="19"/>
              </w:rPr>
              <w:t>Guardrailed decision policies for safe, drift-aware lifecycle operations.</w:t>
            </w:r>
          </w:p>
        </w:tc>
      </w:tr>
    </w:tbl>
    <w:p>
      <w:pPr>
        <w:spacing w:before="240" w:after="100" w:line="276" w:lineRule="auto"/>
        <w:pBdr>
          <w:bottom w:val="single" w:sz="6" w:space="6" w:color="D8E0E6"/>
        </w:pBdr>
      </w:pPr>
      <w:r>
        <w:rPr>
          <w:rFonts w:ascii="Calibri" w:hAnsi="Calibri"/>
          <w:b/>
          <w:color w:val="20576F"/>
          <w:sz w:val="23"/>
        </w:rPr>
        <w:t>EDUCATION</w:t>
      </w:r>
    </w:p>
    <w:tbl>
      <w:tblPr>
        <w:tblW w:type="dxa" w:w="9360"/>
        <w:jc w:val="center"/>
        <w:tblLook w:firstColumn="1" w:firstRow="1" w:lastColumn="0" w:lastRow="0" w:noHBand="0" w:noVBand="1" w:val="04A0"/>
        <w:tblInd w:type="dxa" w:w="120"/>
        <w:tblLayout w:type="fixed"/>
      </w:tblPr>
      <w:tblGrid>
        <w:gridCol w:w="6900"/>
        <w:gridCol w:w="2460"/>
      </w:tblGrid>
      <w:tr>
        <w:tc>
          <w:tcPr>
            <w:tcW w:type="dxa" w:w="6900"/>
            <w:tcMar>
              <w:top w:w="20" w:type="dxa"/>
              <w:start w:w="0" w:type="dxa"/>
              <w:bottom w:w="20" w:type="dxa"/>
              <w:end w:w="0" w:type="dxa"/>
            </w:tcMar>
            <w:vAlign w:val="center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53243"/>
                <w:sz w:val="21"/>
              </w:rPr>
              <w:t>Ph.D., Systems Engineering | Arizona State University, Mesa, AZ</w:t>
            </w:r>
          </w:p>
        </w:tc>
        <w:tc>
          <w:tcPr>
            <w:tcW w:type="dxa" w:w="2460"/>
            <w:tcMar>
              <w:top w:w="20" w:type="dxa"/>
              <w:start w:w="0" w:type="dxa"/>
              <w:bottom w:w="20" w:type="dxa"/>
              <w:end w:w="0" w:type="dxa"/>
            </w:tcMar>
            <w:vAlign w:val="center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before="0" w:after="0" w:line="276" w:lineRule="auto"/>
              <w:jc w:val="right"/>
            </w:pPr>
            <w:r>
              <w:rPr>
                <w:rFonts w:ascii="Calibri" w:hAnsi="Calibri"/>
                <w:b/>
                <w:color w:val="5D6B78"/>
                <w:sz w:val="19"/>
              </w:rPr>
              <w:t>May 2025</w:t>
            </w:r>
          </w:p>
        </w:tc>
      </w:tr>
    </w:tbl>
    <w:p>
      <w:pPr>
        <w:pStyle w:val="ListBullet"/>
        <w:spacing w:before="0" w:after="80" w:line="300" w:lineRule="auto"/>
      </w:pPr>
      <w:r>
        <w:rPr>
          <w:rFonts w:ascii="Calibri" w:hAnsi="Calibri"/>
          <w:color w:val="1F2933"/>
          <w:sz w:val="20"/>
        </w:rPr>
        <w:t>Dissertation: System Optimization of HVAC Systems in Semiconductor Manufacturing Facilities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1F2933"/>
          <w:sz w:val="20"/>
        </w:rPr>
        <w:t>Research emphasis: data-intensive semiconductor facility modeling, HVAC energy optimization, predictive monitoring, and semiconductor lifecycle analytics</w:t>
      </w:r>
    </w:p>
    <w:tbl>
      <w:tblPr>
        <w:tblW w:type="dxa" w:w="9360"/>
        <w:jc w:val="center"/>
        <w:tblLook w:firstColumn="1" w:firstRow="1" w:lastColumn="0" w:lastRow="0" w:noHBand="0" w:noVBand="1" w:val="04A0"/>
        <w:tblInd w:type="dxa" w:w="120"/>
        <w:tblLayout w:type="fixed"/>
      </w:tblPr>
      <w:tblGrid>
        <w:gridCol w:w="6900"/>
        <w:gridCol w:w="2460"/>
      </w:tblGrid>
      <w:tr>
        <w:tc>
          <w:tcPr>
            <w:tcW w:type="dxa" w:w="6900"/>
            <w:tcMar>
              <w:top w:w="20" w:type="dxa"/>
              <w:start w:w="0" w:type="dxa"/>
              <w:bottom w:w="20" w:type="dxa"/>
              <w:end w:w="0" w:type="dxa"/>
            </w:tcMar>
            <w:vAlign w:val="center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53243"/>
                <w:sz w:val="21"/>
              </w:rPr>
              <w:t>M.S., Robotics and Autonomous Systems | Arizona State University, Mesa, AZ</w:t>
            </w:r>
          </w:p>
        </w:tc>
        <w:tc>
          <w:tcPr>
            <w:tcW w:type="dxa" w:w="2460"/>
            <w:tcMar>
              <w:top w:w="20" w:type="dxa"/>
              <w:start w:w="0" w:type="dxa"/>
              <w:bottom w:w="20" w:type="dxa"/>
              <w:end w:w="0" w:type="dxa"/>
            </w:tcMar>
            <w:vAlign w:val="center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before="0" w:after="0" w:line="276" w:lineRule="auto"/>
              <w:jc w:val="right"/>
            </w:pPr>
            <w:r>
              <w:rPr>
                <w:rFonts w:ascii="Calibri" w:hAnsi="Calibri"/>
                <w:b/>
                <w:color w:val="5D6B78"/>
                <w:sz w:val="19"/>
              </w:rPr>
              <w:t>May 2022</w:t>
            </w:r>
          </w:p>
        </w:tc>
      </w:tr>
    </w:tbl>
    <w:p>
      <w:pPr>
        <w:pStyle w:val="ListBullet"/>
        <w:spacing w:before="0" w:after="80" w:line="300" w:lineRule="auto"/>
      </w:pPr>
      <w:r>
        <w:rPr>
          <w:rFonts w:ascii="Calibri" w:hAnsi="Calibri"/>
          <w:color w:val="1F2933"/>
          <w:sz w:val="20"/>
        </w:rPr>
        <w:t>Concentration: Systems Engineering</w:t>
      </w:r>
    </w:p>
    <w:tbl>
      <w:tblPr>
        <w:tblW w:type="dxa" w:w="9360"/>
        <w:jc w:val="center"/>
        <w:tblLook w:firstColumn="1" w:firstRow="1" w:lastColumn="0" w:lastRow="0" w:noHBand="0" w:noVBand="1" w:val="04A0"/>
        <w:tblInd w:type="dxa" w:w="120"/>
        <w:tblLayout w:type="fixed"/>
      </w:tblPr>
      <w:tblGrid>
        <w:gridCol w:w="6900"/>
        <w:gridCol w:w="2460"/>
      </w:tblGrid>
      <w:tr>
        <w:tc>
          <w:tcPr>
            <w:tcW w:type="dxa" w:w="6900"/>
            <w:tcMar>
              <w:top w:w="20" w:type="dxa"/>
              <w:start w:w="0" w:type="dxa"/>
              <w:bottom w:w="20" w:type="dxa"/>
              <w:end w:w="0" w:type="dxa"/>
            </w:tcMar>
            <w:vAlign w:val="center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53243"/>
                <w:sz w:val="21"/>
              </w:rPr>
              <w:t>B.S., Mechanical Engineering | Michigan State University, East Lansing, MI</w:t>
            </w:r>
          </w:p>
        </w:tc>
        <w:tc>
          <w:tcPr>
            <w:tcW w:type="dxa" w:w="2460"/>
            <w:tcMar>
              <w:top w:w="20" w:type="dxa"/>
              <w:start w:w="0" w:type="dxa"/>
              <w:bottom w:w="20" w:type="dxa"/>
              <w:end w:w="0" w:type="dxa"/>
            </w:tcMar>
            <w:vAlign w:val="center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before="0" w:after="0" w:line="276" w:lineRule="auto"/>
              <w:jc w:val="right"/>
            </w:pPr>
            <w:r>
              <w:rPr>
                <w:rFonts w:ascii="Calibri" w:hAnsi="Calibri"/>
                <w:b/>
                <w:color w:val="5D6B78"/>
                <w:sz w:val="19"/>
              </w:rPr>
              <w:t>May 2017</w:t>
            </w:r>
          </w:p>
        </w:tc>
      </w:tr>
    </w:tbl>
    <w:p>
      <w:pPr>
        <w:spacing w:before="240" w:after="100" w:line="276" w:lineRule="auto"/>
        <w:pBdr>
          <w:bottom w:val="single" w:sz="6" w:space="6" w:color="D8E0E6"/>
        </w:pBdr>
      </w:pPr>
      <w:r>
        <w:rPr>
          <w:rFonts w:ascii="Calibri" w:hAnsi="Calibri"/>
          <w:b/>
          <w:color w:val="20576F"/>
          <w:sz w:val="23"/>
        </w:rPr>
        <w:t>RESEARCH AREAS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1F2933"/>
          <w:sz w:val="20"/>
        </w:rPr>
        <w:t>SLM, in-field telemetry, anomaly detection, and reliability-aware chip monitoring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1F2933"/>
          <w:sz w:val="20"/>
        </w:rPr>
        <w:t>AI-driven semiconductor infrastructure optimization and lifecycle gap analysis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1F2933"/>
          <w:sz w:val="20"/>
        </w:rPr>
        <w:t>Hardware/software co-design, fixed-point edge analytics, and telemetry compression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1F2933"/>
          <w:sz w:val="20"/>
        </w:rPr>
        <w:t>Explainable AI, causal-aware feature selection, graph-based AI, and digital twins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1F2933"/>
          <w:sz w:val="20"/>
        </w:rPr>
        <w:t>Drift-aware calibration, conformal uncertainty, guardrailed decision policies, and operational resilience</w:t>
      </w:r>
    </w:p>
    <w:p>
      <w:pPr>
        <w:spacing w:before="240" w:after="100" w:line="276" w:lineRule="auto"/>
        <w:pBdr>
          <w:bottom w:val="single" w:sz="6" w:space="6" w:color="D8E0E6"/>
        </w:pBdr>
      </w:pPr>
      <w:r>
        <w:rPr>
          <w:rFonts w:ascii="Calibri" w:hAnsi="Calibri"/>
          <w:b/>
          <w:color w:val="20576F"/>
          <w:sz w:val="23"/>
        </w:rPr>
        <w:t>PROFESSIONAL EXPERIENCE</w:t>
      </w:r>
    </w:p>
    <w:tbl>
      <w:tblPr>
        <w:tblW w:type="dxa" w:w="9360"/>
        <w:jc w:val="center"/>
        <w:tblLook w:firstColumn="1" w:firstRow="1" w:lastColumn="0" w:lastRow="0" w:noHBand="0" w:noVBand="1" w:val="04A0"/>
        <w:tblInd w:type="dxa" w:w="120"/>
        <w:tblLayout w:type="fixed"/>
      </w:tblPr>
      <w:tblGrid>
        <w:gridCol w:w="6900"/>
        <w:gridCol w:w="2460"/>
      </w:tblGrid>
      <w:tr>
        <w:tc>
          <w:tcPr>
            <w:tcW w:type="dxa" w:w="6900"/>
            <w:tcMar>
              <w:top w:w="20" w:type="dxa"/>
              <w:start w:w="0" w:type="dxa"/>
              <w:bottom w:w="20" w:type="dxa"/>
              <w:end w:w="0" w:type="dxa"/>
            </w:tcMar>
            <w:vAlign w:val="center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53243"/>
                <w:sz w:val="21"/>
              </w:rPr>
              <w:t>Postdoctoral Research Scholar | Arizona State University, Tempe, AZ</w:t>
            </w:r>
          </w:p>
        </w:tc>
        <w:tc>
          <w:tcPr>
            <w:tcW w:type="dxa" w:w="2460"/>
            <w:tcMar>
              <w:top w:w="20" w:type="dxa"/>
              <w:start w:w="0" w:type="dxa"/>
              <w:bottom w:w="20" w:type="dxa"/>
              <w:end w:w="0" w:type="dxa"/>
            </w:tcMar>
            <w:vAlign w:val="center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before="0" w:after="0" w:line="276" w:lineRule="auto"/>
              <w:jc w:val="right"/>
            </w:pPr>
            <w:r>
              <w:rPr>
                <w:rFonts w:ascii="Calibri" w:hAnsi="Calibri"/>
                <w:b/>
                <w:color w:val="5D6B78"/>
                <w:sz w:val="19"/>
              </w:rPr>
              <w:t>Aug 2025 - Present</w:t>
            </w:r>
          </w:p>
        </w:tc>
      </w:tr>
    </w:tbl>
    <w:p>
      <w:pPr>
        <w:pStyle w:val="ListBullet"/>
        <w:spacing w:before="0" w:after="80" w:line="300" w:lineRule="auto"/>
      </w:pPr>
      <w:r>
        <w:rPr>
          <w:rFonts w:ascii="Calibri" w:hAnsi="Calibri"/>
          <w:color w:val="1F2933"/>
          <w:sz w:val="20"/>
        </w:rPr>
        <w:t>Develop AI-driven telemetry analytics for SLM, focusing on in-field anomaly detection, explainable diagnosis, digital twins, and reliability-aware edge monitoring.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1F2933"/>
          <w:sz w:val="20"/>
        </w:rPr>
        <w:t>Design fixed-point edge analytics for semiconductor telemetry, including causal feature selection, compact anomaly scoring, and hardware/software co-design for deployable SLM systems.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1F2933"/>
          <w:sz w:val="20"/>
        </w:rPr>
        <w:t>Co-developed X-OCTANE with less than 0.75% CPU die-area overhead, less than 1% non-idle power overhead, and more than 20% improvement in anomaly diagnosis accuracy.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1F2933"/>
          <w:sz w:val="20"/>
        </w:rPr>
        <w:t>Developed EXACT using a 15-feature budget, fixed-point anomaly scoring, less than 0.005% CPU die-area overhead, and 3.4 pJ/sample evaluation cost.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1F2933"/>
          <w:sz w:val="20"/>
        </w:rPr>
        <w:t>Developed DICE, a host-side digital-twin framework, achieving 75% anomaly detection with zero false alarms using a compact profile and 95% detection with zero false alarms using richer telemetry.</w:t>
      </w:r>
    </w:p>
    <w:tbl>
      <w:tblPr>
        <w:tblW w:type="dxa" w:w="9360"/>
        <w:jc w:val="center"/>
        <w:tblLook w:firstColumn="1" w:firstRow="1" w:lastColumn="0" w:lastRow="0" w:noHBand="0" w:noVBand="1" w:val="04A0"/>
        <w:tblInd w:type="dxa" w:w="120"/>
        <w:tblLayout w:type="fixed"/>
      </w:tblPr>
      <w:tblGrid>
        <w:gridCol w:w="6900"/>
        <w:gridCol w:w="2460"/>
      </w:tblGrid>
      <w:tr>
        <w:tc>
          <w:tcPr>
            <w:tcW w:type="dxa" w:w="6900"/>
            <w:tcMar>
              <w:top w:w="20" w:type="dxa"/>
              <w:start w:w="0" w:type="dxa"/>
              <w:bottom w:w="20" w:type="dxa"/>
              <w:end w:w="0" w:type="dxa"/>
            </w:tcMar>
            <w:vAlign w:val="center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53243"/>
                <w:sz w:val="21"/>
              </w:rPr>
              <w:t>Graduate Research Associate | Arizona State University, Mesa, AZ</w:t>
            </w:r>
          </w:p>
        </w:tc>
        <w:tc>
          <w:tcPr>
            <w:tcW w:type="dxa" w:w="2460"/>
            <w:tcMar>
              <w:top w:w="20" w:type="dxa"/>
              <w:start w:w="0" w:type="dxa"/>
              <w:bottom w:w="20" w:type="dxa"/>
              <w:end w:w="0" w:type="dxa"/>
            </w:tcMar>
            <w:vAlign w:val="center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before="0" w:after="0" w:line="276" w:lineRule="auto"/>
              <w:jc w:val="right"/>
            </w:pPr>
            <w:r>
              <w:rPr>
                <w:rFonts w:ascii="Calibri" w:hAnsi="Calibri"/>
                <w:b/>
                <w:color w:val="5D6B78"/>
                <w:sz w:val="19"/>
              </w:rPr>
              <w:t>Aug 2022 - Jul 2025</w:t>
            </w:r>
          </w:p>
        </w:tc>
      </w:tr>
    </w:tbl>
    <w:p>
      <w:pPr>
        <w:pStyle w:val="ListBullet"/>
        <w:spacing w:before="0" w:after="80" w:line="300" w:lineRule="auto"/>
      </w:pPr>
      <w:r>
        <w:rPr>
          <w:rFonts w:ascii="Calibri" w:hAnsi="Calibri"/>
          <w:color w:val="1F2933"/>
          <w:sz w:val="20"/>
        </w:rPr>
        <w:t>Developed AI-driven optimization frameworks for semiconductor manufacturing facility systems, focusing on HVAC energy efficiency, operational reliability, lifecycle-gap analysis, and data-intensive facility modeling.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1F2933"/>
          <w:sz w:val="20"/>
        </w:rPr>
        <w:t>Applied AI-optimized deep learning and generative AI-based data augmentation to semiconductor HVAC modeling, reducing make-up air unit exit-temperature prediction error to 0.03% MAPE.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1F2933"/>
          <w:sz w:val="20"/>
        </w:rPr>
        <w:t>Led research on graph-based multimodal AI for semiconductor HVAC supply-chain resilience, integrating anomaly detection, compliance monitoring, and inventory optimization.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1F2933"/>
          <w:sz w:val="20"/>
        </w:rPr>
        <w:t>Published peer-reviewed work in Building and Environment, Applied Energy, and Journal of Building Engineering.</w:t>
      </w:r>
    </w:p>
    <w:tbl>
      <w:tblPr>
        <w:tblW w:type="dxa" w:w="9360"/>
        <w:jc w:val="center"/>
        <w:tblLook w:firstColumn="1" w:firstRow="1" w:lastColumn="0" w:lastRow="0" w:noHBand="0" w:noVBand="1" w:val="04A0"/>
        <w:tblInd w:type="dxa" w:w="120"/>
        <w:tblLayout w:type="fixed"/>
      </w:tblPr>
      <w:tblGrid>
        <w:gridCol w:w="6900"/>
        <w:gridCol w:w="2460"/>
      </w:tblGrid>
      <w:tr>
        <w:tc>
          <w:tcPr>
            <w:tcW w:type="dxa" w:w="6900"/>
            <w:tcMar>
              <w:top w:w="20" w:type="dxa"/>
              <w:start w:w="0" w:type="dxa"/>
              <w:bottom w:w="20" w:type="dxa"/>
              <w:end w:w="0" w:type="dxa"/>
            </w:tcMar>
            <w:vAlign w:val="center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53243"/>
                <w:sz w:val="21"/>
              </w:rPr>
              <w:t>Mechanical System Intern | United Integrated Services, Phoenix, AZ</w:t>
            </w:r>
          </w:p>
        </w:tc>
        <w:tc>
          <w:tcPr>
            <w:tcW w:type="dxa" w:w="2460"/>
            <w:tcMar>
              <w:top w:w="20" w:type="dxa"/>
              <w:start w:w="0" w:type="dxa"/>
              <w:bottom w:w="20" w:type="dxa"/>
              <w:end w:w="0" w:type="dxa"/>
            </w:tcMar>
            <w:vAlign w:val="center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before="0" w:after="0" w:line="276" w:lineRule="auto"/>
              <w:jc w:val="right"/>
            </w:pPr>
            <w:r>
              <w:rPr>
                <w:rFonts w:ascii="Calibri" w:hAnsi="Calibri"/>
                <w:b/>
                <w:color w:val="5D6B78"/>
                <w:sz w:val="19"/>
              </w:rPr>
              <w:t>Aug 2022 - May 2025</w:t>
            </w:r>
          </w:p>
        </w:tc>
      </w:tr>
    </w:tbl>
    <w:p>
      <w:pPr>
        <w:pStyle w:val="ListBullet"/>
        <w:spacing w:before="0" w:after="80" w:line="300" w:lineRule="auto"/>
      </w:pPr>
      <w:r>
        <w:rPr>
          <w:rFonts w:ascii="Calibri" w:hAnsi="Calibri"/>
          <w:color w:val="1F2933"/>
          <w:sz w:val="20"/>
        </w:rPr>
        <w:t>Supported TSMC semiconductor fab construction and facility engineering, including HVAC and fire-protection systems in a high-reliability cleanroom environment.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1F2933"/>
          <w:sz w:val="20"/>
        </w:rPr>
        <w:t>Reviewed engineering drawings, identified installation and integration issues, and coordinated across 10+ engineers, subcontractors, and construction stakeholders.</w:t>
      </w:r>
    </w:p>
    <w:tbl>
      <w:tblPr>
        <w:tblW w:type="dxa" w:w="9360"/>
        <w:jc w:val="center"/>
        <w:tblLook w:firstColumn="1" w:firstRow="1" w:lastColumn="0" w:lastRow="0" w:noHBand="0" w:noVBand="1" w:val="04A0"/>
        <w:tblInd w:type="dxa" w:w="120"/>
        <w:tblLayout w:type="fixed"/>
      </w:tblPr>
      <w:tblGrid>
        <w:gridCol w:w="6900"/>
        <w:gridCol w:w="2460"/>
      </w:tblGrid>
      <w:tr>
        <w:tc>
          <w:tcPr>
            <w:tcW w:type="dxa" w:w="6900"/>
            <w:tcMar>
              <w:top w:w="20" w:type="dxa"/>
              <w:start w:w="0" w:type="dxa"/>
              <w:bottom w:w="20" w:type="dxa"/>
              <w:end w:w="0" w:type="dxa"/>
            </w:tcMar>
            <w:vAlign w:val="center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53243"/>
                <w:sz w:val="21"/>
              </w:rPr>
              <w:t>Robotic System Design Intern | 2Unify Inc., Tempe, AZ</w:t>
            </w:r>
          </w:p>
        </w:tc>
        <w:tc>
          <w:tcPr>
            <w:tcW w:type="dxa" w:w="2460"/>
            <w:tcMar>
              <w:top w:w="20" w:type="dxa"/>
              <w:start w:w="0" w:type="dxa"/>
              <w:bottom w:w="20" w:type="dxa"/>
              <w:end w:w="0" w:type="dxa"/>
            </w:tcMar>
            <w:vAlign w:val="center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before="0" w:after="0" w:line="276" w:lineRule="auto"/>
              <w:jc w:val="right"/>
            </w:pPr>
            <w:r>
              <w:rPr>
                <w:rFonts w:ascii="Calibri" w:hAnsi="Calibri"/>
                <w:b/>
                <w:color w:val="5D6B78"/>
                <w:sz w:val="19"/>
              </w:rPr>
              <w:t>May 2021 - Aug 2021</w:t>
            </w:r>
          </w:p>
        </w:tc>
      </w:tr>
    </w:tbl>
    <w:p>
      <w:pPr>
        <w:pStyle w:val="ListBullet"/>
        <w:spacing w:before="0" w:after="80" w:line="300" w:lineRule="auto"/>
      </w:pPr>
      <w:r>
        <w:rPr>
          <w:rFonts w:ascii="Calibri" w:hAnsi="Calibri"/>
          <w:color w:val="1F2933"/>
          <w:sz w:val="20"/>
        </w:rPr>
        <w:t>Built robotic arm prototypes using Python-based motion control and supported iterative testing, mechanical redesign, cable management, and system debugging.</w:t>
      </w:r>
    </w:p>
    <w:tbl>
      <w:tblPr>
        <w:tblW w:type="dxa" w:w="9360"/>
        <w:jc w:val="center"/>
        <w:tblLook w:firstColumn="1" w:firstRow="1" w:lastColumn="0" w:lastRow="0" w:noHBand="0" w:noVBand="1" w:val="04A0"/>
        <w:tblInd w:type="dxa" w:w="120"/>
        <w:tblLayout w:type="fixed"/>
      </w:tblPr>
      <w:tblGrid>
        <w:gridCol w:w="6900"/>
        <w:gridCol w:w="2460"/>
      </w:tblGrid>
      <w:tr>
        <w:tc>
          <w:tcPr>
            <w:tcW w:type="dxa" w:w="6900"/>
            <w:tcMar>
              <w:top w:w="20" w:type="dxa"/>
              <w:start w:w="0" w:type="dxa"/>
              <w:bottom w:w="20" w:type="dxa"/>
              <w:end w:w="0" w:type="dxa"/>
            </w:tcMar>
            <w:vAlign w:val="center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53243"/>
                <w:sz w:val="21"/>
              </w:rPr>
              <w:t>Automation System R&amp;D Intern | Easy Field Corporation, Zhongli, Taiwan</w:t>
            </w:r>
          </w:p>
        </w:tc>
        <w:tc>
          <w:tcPr>
            <w:tcW w:type="dxa" w:w="2460"/>
            <w:tcMar>
              <w:top w:w="20" w:type="dxa"/>
              <w:start w:w="0" w:type="dxa"/>
              <w:bottom w:w="20" w:type="dxa"/>
              <w:end w:w="0" w:type="dxa"/>
            </w:tcMar>
            <w:vAlign w:val="center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before="0" w:after="0" w:line="276" w:lineRule="auto"/>
              <w:jc w:val="right"/>
            </w:pPr>
            <w:r>
              <w:rPr>
                <w:rFonts w:ascii="Calibri" w:hAnsi="Calibri"/>
                <w:b/>
                <w:color w:val="5D6B78"/>
                <w:sz w:val="19"/>
              </w:rPr>
              <w:t>May 2020 - Aug 2020</w:t>
            </w:r>
          </w:p>
        </w:tc>
      </w:tr>
    </w:tbl>
    <w:p>
      <w:pPr>
        <w:pStyle w:val="ListBullet"/>
        <w:spacing w:before="0" w:after="80" w:line="300" w:lineRule="auto"/>
      </w:pPr>
      <w:r>
        <w:rPr>
          <w:rFonts w:ascii="Calibri" w:hAnsi="Calibri"/>
          <w:color w:val="1F2933"/>
          <w:sz w:val="20"/>
        </w:rPr>
        <w:t>Developed automated optical inspection systems for wafer inspection, including camera calibration, motion-stage integration, imaging modules, and repeatable testing workflows.</w:t>
      </w:r>
    </w:p>
    <w:tbl>
      <w:tblPr>
        <w:tblW w:type="dxa" w:w="9360"/>
        <w:jc w:val="center"/>
        <w:tblLook w:firstColumn="1" w:firstRow="1" w:lastColumn="0" w:lastRow="0" w:noHBand="0" w:noVBand="1" w:val="04A0"/>
        <w:tblInd w:type="dxa" w:w="120"/>
        <w:tblLayout w:type="fixed"/>
      </w:tblPr>
      <w:tblGrid>
        <w:gridCol w:w="6900"/>
        <w:gridCol w:w="2460"/>
      </w:tblGrid>
      <w:tr>
        <w:tc>
          <w:tcPr>
            <w:tcW w:type="dxa" w:w="6900"/>
            <w:tcMar>
              <w:top w:w="20" w:type="dxa"/>
              <w:start w:w="0" w:type="dxa"/>
              <w:bottom w:w="20" w:type="dxa"/>
              <w:end w:w="0" w:type="dxa"/>
            </w:tcMar>
            <w:vAlign w:val="center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53243"/>
                <w:sz w:val="21"/>
              </w:rPr>
              <w:t>Development Engineer | SINBON Electronics Inc., Miaoli, Taiwan</w:t>
            </w:r>
          </w:p>
        </w:tc>
        <w:tc>
          <w:tcPr>
            <w:tcW w:type="dxa" w:w="2460"/>
            <w:tcMar>
              <w:top w:w="20" w:type="dxa"/>
              <w:start w:w="0" w:type="dxa"/>
              <w:bottom w:w="20" w:type="dxa"/>
              <w:end w:w="0" w:type="dxa"/>
            </w:tcMar>
            <w:vAlign w:val="center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before="0" w:after="0" w:line="276" w:lineRule="auto"/>
              <w:jc w:val="right"/>
            </w:pPr>
            <w:r>
              <w:rPr>
                <w:rFonts w:ascii="Calibri" w:hAnsi="Calibri"/>
                <w:b/>
                <w:color w:val="5D6B78"/>
                <w:sz w:val="19"/>
              </w:rPr>
              <w:t>Apr 2019 - Nov 2019</w:t>
            </w:r>
          </w:p>
        </w:tc>
      </w:tr>
    </w:tbl>
    <w:p>
      <w:pPr>
        <w:pStyle w:val="ListBullet"/>
        <w:spacing w:before="0" w:after="80" w:line="300" w:lineRule="auto"/>
      </w:pPr>
      <w:r>
        <w:rPr>
          <w:rFonts w:ascii="Calibri" w:hAnsi="Calibri"/>
          <w:color w:val="1F2933"/>
          <w:sz w:val="20"/>
        </w:rPr>
        <w:t>Led product development activities for semiconductor cable and connector systems, including BOMs, work instructions, APQP documentation, and cross-functional manufacturing troubleshooting.</w:t>
      </w:r>
    </w:p>
    <w:p>
      <w:pPr>
        <w:spacing w:before="240" w:after="100" w:line="276" w:lineRule="auto"/>
        <w:pBdr>
          <w:bottom w:val="single" w:sz="6" w:space="6" w:color="D8E0E6"/>
        </w:pBdr>
      </w:pPr>
      <w:r>
        <w:rPr>
          <w:rFonts w:ascii="Calibri" w:hAnsi="Calibri"/>
          <w:b/>
          <w:color w:val="20576F"/>
          <w:sz w:val="23"/>
        </w:rPr>
        <w:t>SELECTED RESEARCH CONTRIBUTIONS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1F2933"/>
          <w:sz w:val="20"/>
        </w:rPr>
        <w:t>Telemetry-driven silicon lifecycle management: transformed high-dimensional runtime telemetry into compact, interpretable anomaly scores for chip reliability, security, and safety monitoring.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1F2933"/>
          <w:sz w:val="20"/>
        </w:rPr>
        <w:t>Causal and explainable edge analytics: built dependency-aware feature-ranking and fixed-point scoring pipelines for CPU, memory, sensor, voltage, and power telemetry.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1F2933"/>
          <w:sz w:val="20"/>
        </w:rPr>
        <w:t>Semiconductor facility energy optimization: developed AI models for make-up air unit performance, HVAC degradation, and energy efficiency in semiconductor manufacturing facilities.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1F2933"/>
          <w:sz w:val="20"/>
        </w:rPr>
        <w:t>Graph-based multimodal semiconductor supply-chain intelligence: integrated sensor data, supplier risk, technical documentation, compliance evidence, and circular-economy decisions for SMF HVAC resilience.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1F2933"/>
          <w:sz w:val="20"/>
        </w:rPr>
        <w:t>SENTINEL research direction: moved beyond detect-and-notify monitoring toward target-referenced gap metrics, calibrated evidence, and guardrailed corrective actions.</w:t>
      </w:r>
    </w:p>
    <w:p>
      <w:pPr>
        <w:spacing w:before="240" w:after="100" w:line="276" w:lineRule="auto"/>
        <w:pBdr>
          <w:bottom w:val="single" w:sz="6" w:space="6" w:color="D8E0E6"/>
        </w:pBdr>
      </w:pPr>
      <w:r>
        <w:rPr>
          <w:rFonts w:ascii="Calibri" w:hAnsi="Calibri"/>
          <w:b/>
          <w:color w:val="20576F"/>
          <w:sz w:val="23"/>
        </w:rPr>
        <w:t>PEER-REVIEWED PUBLICATIONS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1F2933"/>
          <w:sz w:val="20"/>
        </w:rPr>
        <w:t>Ni, H. P., &amp; Chakrabarty, K. (2026). Silicon Lifecycle Management: From Telemetry to Dependability. IEEE Design &amp; Test.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1F2933"/>
          <w:sz w:val="20"/>
        </w:rPr>
        <w:t>Ortega, E., Ni, H. P., Hati, A., Talukdar, J., Paik, W., Su, F., Chattopadhyay, R., and Chakrabarty, K. (2026). X-OCTANE: eXplainable On-Chip Telemetry-based Anomaly Notification Engine for Silicon Lifecycle Management, to appear in ACM Transactions on Design Automation of Electronic Systems.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1F2933"/>
          <w:sz w:val="20"/>
        </w:rPr>
        <w:t>Ni, H. P., Ortega, E., and Chakrabarty, K. (2026). EXACT: Edge-eXplainable Autonomous Causal Telemetry for Silicon Lifecycle Management, to appear in Proc. IEEE European Test Symposium (ETS).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1F2933"/>
          <w:sz w:val="20"/>
        </w:rPr>
        <w:t>Ortega, E., Talukdar, J., Ni, H. P., and Chakrabarty, K. (2026). TRACK: Telemetry-based Representation Analysis via Centered Kernel Alignment for Silicon Lifecycle Management, to appear in Proc. IEEE VLSI Test Symposium (VTS).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1F2933"/>
          <w:sz w:val="20"/>
        </w:rPr>
        <w:t>Ni, H. P., Liu, C. Y., Paul, F., Chong, W. O., &amp; Chou, J. S. (2025). Enhancing supply chain resilience and efficiency of HVAC systems in semiconductor manufacturing facilities using graph-based large multimodal models. Applied Energy, 398, 126420.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1F2933"/>
          <w:sz w:val="20"/>
        </w:rPr>
        <w:t>Li, Y., Liu, C. Y., Ni, H. P., Paul, F., Chong, W. O., &amp; Chou, J. S. (2025). Generative artificial intelligence-based framework for bridging lifecycle gaps in semiconductor HVAC systems. Journal of Building Engineering, 105, 112349.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1F2933"/>
          <w:sz w:val="20"/>
        </w:rPr>
        <w:t>Ni, H. P., Liu, C. Y., Li, Y., Chong, W. O., &amp; Chou, J. S. (2025). Enhancing HVAC energy efficiency modeling in semiconductor manufacturing facilities using tree-structured Parzen estimator-optimized deep learning. Building and Environment, 271, 112589.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1F2933"/>
          <w:sz w:val="20"/>
        </w:rPr>
        <w:t>Ni, H. P., Chong, W. O., &amp; Chou, J. S. (2024). Optimizing HVAC systems for semiconductor fabrication: a data-intensive framework for energy efficiency and sustainability. Journal of Building Engineering, 89, 109397.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1F2933"/>
          <w:sz w:val="20"/>
        </w:rPr>
        <w:t>Ni, H. P., and Chong, W. O. (2025). Semiconductor Fab Energy Optimization and Data-Intensive Energy Efficiency Modeling. Engineering Technology Open Access Journal, 5(5), 555674.</w:t>
      </w:r>
    </w:p>
    <w:p>
      <w:pPr>
        <w:spacing w:before="240" w:after="100" w:line="276" w:lineRule="auto"/>
        <w:pBdr>
          <w:bottom w:val="single" w:sz="6" w:space="6" w:color="D8E0E6"/>
        </w:pBdr>
      </w:pPr>
      <w:r>
        <w:rPr>
          <w:rFonts w:ascii="Calibri" w:hAnsi="Calibri"/>
          <w:b/>
          <w:color w:val="20576F"/>
          <w:sz w:val="23"/>
        </w:rPr>
        <w:t>MANUSCRIPTS UNDER REVIEW OR IN PREPARATION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1F2933"/>
          <w:sz w:val="20"/>
        </w:rPr>
        <w:t>Ni, H. P., and Chakrabarty, K. (2026). DICE: A Digital Twin-Driven In-Field Continuous-Test Engine for Silicon Lifecycle Management. IEEE International Test Conference (ITC). Under review.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1F2933"/>
          <w:sz w:val="20"/>
        </w:rPr>
        <w:t>Ni, H. P., and Chakrabarty, K. (2026). CITADEL: Causal In-Field Telemetry Analytics and Drift-Aware Edge Learning for Silicon Lifecycle Management. IEEE Transactions on Computer-Aided Design of Integrated Circuits and Systems. Manuscript in preparation.</w:t>
      </w:r>
    </w:p>
    <w:p>
      <w:pPr>
        <w:spacing w:before="240" w:after="100" w:line="276" w:lineRule="auto"/>
        <w:pBdr>
          <w:bottom w:val="single" w:sz="6" w:space="6" w:color="D8E0E6"/>
        </w:pBdr>
      </w:pPr>
      <w:r>
        <w:rPr>
          <w:rFonts w:ascii="Calibri" w:hAnsi="Calibri"/>
          <w:b/>
          <w:color w:val="20576F"/>
          <w:sz w:val="23"/>
        </w:rPr>
        <w:t>SELECTED RESEARCH OUTPUTS AND REPRODUCIBILITY ARTIFACTS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1F2933"/>
          <w:sz w:val="20"/>
        </w:rPr>
        <w:t>X-OCTANE repository and supporting scripts for CP-MI feature ranking and telemetry analysis: https://github.com/ping830616/X-OCTANE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1F2933"/>
          <w:sz w:val="20"/>
        </w:rPr>
        <w:t>Google Scholar profile: https://scholar.google.com/citations?user=0Wai3BMAAAAJ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1F2933"/>
          <w:sz w:val="20"/>
        </w:rPr>
        <w:t>ORCID: https://orcid.org/0009-0004-2955-0871</w:t>
      </w:r>
    </w:p>
    <w:p>
      <w:pPr>
        <w:spacing w:before="240" w:after="100" w:line="276" w:lineRule="auto"/>
        <w:pBdr>
          <w:bottom w:val="single" w:sz="6" w:space="6" w:color="D8E0E6"/>
        </w:pBdr>
      </w:pPr>
      <w:r>
        <w:rPr>
          <w:rFonts w:ascii="Calibri" w:hAnsi="Calibri"/>
          <w:b/>
          <w:color w:val="20576F"/>
          <w:sz w:val="23"/>
        </w:rPr>
        <w:t>HONORS, AWARDS, AND PROFESSIONAL ACTIVITIES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1F2933"/>
          <w:sz w:val="20"/>
        </w:rPr>
        <w:t>NVIDIA Academic Grant Program Award, Project Collaborator, NVIDIA Corporation, Mar 2025; project team awarded 3,000 A100 GPU hours for GPU-accelerated graph neural network research for semiconductor HVAC optimization.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1F2933"/>
          <w:sz w:val="20"/>
        </w:rPr>
        <w:t>Dean's List, Michigan State University, 3 semesters.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1F2933"/>
          <w:sz w:val="20"/>
        </w:rPr>
        <w:t>Peer Reviewer: Applied Energy; Reliability Engineering &amp; System Safety; Journal of Building Engineering; IEEE Open Journal of the Industrial Electronics Society; and other engineering/energy journals, 2024-present.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1F2933"/>
          <w:sz w:val="20"/>
        </w:rPr>
        <w:t>Volunteer Reviewer, GPSA Grant &amp; Travel, Arizona State University, 2023-2024.</w:t>
      </w:r>
    </w:p>
    <w:p>
      <w:pPr>
        <w:spacing w:before="240" w:after="100" w:line="276" w:lineRule="auto"/>
        <w:pBdr>
          <w:bottom w:val="single" w:sz="6" w:space="6" w:color="D8E0E6"/>
        </w:pBdr>
      </w:pPr>
      <w:r>
        <w:rPr>
          <w:rFonts w:ascii="Calibri" w:hAnsi="Calibri"/>
          <w:b/>
          <w:color w:val="20576F"/>
          <w:sz w:val="23"/>
        </w:rPr>
        <w:t>TECHNICAL SKILLS</w:t>
      </w:r>
    </w:p>
    <w:tbl>
      <w:tblPr>
        <w:tblW w:type="dxa" w:w="9360"/>
        <w:jc w:val="center"/>
        <w:tblLook w:firstColumn="1" w:firstRow="1" w:lastColumn="0" w:lastRow="0" w:noHBand="0" w:noVBand="1" w:val="04A0"/>
        <w:tblInd w:type="dxa" w:w="120"/>
        <w:tblLayout w:type="fixed"/>
      </w:tblPr>
      <w:tblGrid>
        <w:gridCol w:w="2300"/>
        <w:gridCol w:w="7060"/>
      </w:tblGrid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8E0E6"/>
              <w:left w:val="single" w:sz="4" w:space="0" w:color="D8E0E6"/>
              <w:bottom w:val="single" w:sz="4" w:space="0" w:color="D8E0E6"/>
              <w:right w:val="single" w:sz="4" w:space="0" w:color="D8E0E6"/>
            </w:tcBorders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53243"/>
                <w:sz w:val="19"/>
              </w:rPr>
              <w:t>AI and Data Science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8E0E6"/>
              <w:left w:val="single" w:sz="4" w:space="0" w:color="D8E0E6"/>
              <w:bottom w:val="single" w:sz="4" w:space="0" w:color="D8E0E6"/>
              <w:right w:val="single" w:sz="4" w:space="0" w:color="D8E0E6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F2933"/>
                <w:sz w:val="19"/>
              </w:rPr>
              <w:t>Python, PyTorch, TensorFlow, scikit-learn, NumPy/Pandas, Jupyter Notebook, deep learning, anomaly detection, GANs, GNNs, multimodal AI, conformal calibration, TPE optimization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8E0E6"/>
              <w:left w:val="single" w:sz="4" w:space="0" w:color="D8E0E6"/>
              <w:bottom w:val="single" w:sz="4" w:space="0" w:color="D8E0E6"/>
              <w:right w:val="single" w:sz="4" w:space="0" w:color="D8E0E6"/>
            </w:tcBorders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53243"/>
                <w:sz w:val="19"/>
              </w:rPr>
              <w:t>Telemetry and SLM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8E0E6"/>
              <w:left w:val="single" w:sz="4" w:space="0" w:color="D8E0E6"/>
              <w:bottom w:val="single" w:sz="4" w:space="0" w:color="D8E0E6"/>
              <w:right w:val="single" w:sz="4" w:space="0" w:color="D8E0E6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F2933"/>
                <w:sz w:val="19"/>
              </w:rPr>
              <w:t>PMU/MSR telemetry, Intel PCM, lm_sensors, runtime telemetry pipelines, edge/host monitoring, fixed-point scoring, causal/dependency feature ranking, SLM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8E0E6"/>
              <w:left w:val="single" w:sz="4" w:space="0" w:color="D8E0E6"/>
              <w:bottom w:val="single" w:sz="4" w:space="0" w:color="D8E0E6"/>
              <w:right w:val="single" w:sz="4" w:space="0" w:color="D8E0E6"/>
            </w:tcBorders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53243"/>
                <w:sz w:val="19"/>
              </w:rPr>
              <w:t>Engineering Tools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8E0E6"/>
              <w:left w:val="single" w:sz="4" w:space="0" w:color="D8E0E6"/>
              <w:bottom w:val="single" w:sz="4" w:space="0" w:color="D8E0E6"/>
              <w:right w:val="single" w:sz="4" w:space="0" w:color="D8E0E6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F2933"/>
                <w:sz w:val="19"/>
              </w:rPr>
              <w:t>MATLAB, LabVIEW, AutoCAD, HVAC/MEP systems, semiconductor fab facility coordination, inspection, and documentation workflows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8E0E6"/>
              <w:left w:val="single" w:sz="4" w:space="0" w:color="D8E0E6"/>
              <w:bottom w:val="single" w:sz="4" w:space="0" w:color="D8E0E6"/>
              <w:right w:val="single" w:sz="4" w:space="0" w:color="D8E0E6"/>
            </w:tcBorders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53243"/>
                <w:sz w:val="19"/>
              </w:rPr>
              <w:t>Programming/tools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D8E0E6"/>
              <w:left w:val="single" w:sz="4" w:space="0" w:color="D8E0E6"/>
              <w:bottom w:val="single" w:sz="4" w:space="0" w:color="D8E0E6"/>
              <w:right w:val="single" w:sz="4" w:space="0" w:color="D8E0E6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F2933"/>
                <w:sz w:val="19"/>
              </w:rPr>
              <w:t>GitHub, version control, C++ basics, C# basics, OpenCV exposure, Excel, PowerPoint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D6B78"/>
        <w:sz w:val="17"/>
      </w:rPr>
      <w:t>Academic CV | Semiconductor lifecycle intelligence, digital twins, and trustworthy AI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left"/>
    </w:pPr>
    <w:r>
      <w:rPr>
        <w:rFonts w:ascii="Calibri" w:hAnsi="Calibri"/>
        <w:color w:val="5D6B78"/>
        <w:sz w:val="18"/>
      </w:rPr>
      <w:t>Hsiao-Ping Ni | Postdoctoral Research Scholar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F29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Hsiao-Ping Ni CV - Postdoctoral Research Scholar</dc:title>
  <dc:subject>Academic CV for semiconductor lifecycle intelligence and trustworthy AI research</dc:subject>
  <dc:creator>Hsiao-Ping Ni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