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pPr>
      <w:r>
        <w:t>LoRA Learning and Experiment Record</w:t>
      </w:r>
    </w:p>
    <w:p>
      <w:pPr>
        <w:spacing w:after="120"/>
      </w:pPr>
      <w:r>
        <w:rPr>
          <w:b/>
          <w:color w:val="5B6975"/>
          <w:sz w:val="18"/>
        </w:rPr>
        <w:t>NYU Advanced Business Informatics  |  Assignment 6  |  19 October 2026</w:t>
      </w:r>
    </w:p>
    <w:p>
      <w:pPr>
        <w:pStyle w:val="Heading1"/>
      </w:pPr>
      <w:r>
        <w:t>Decision</w:t>
      </w:r>
    </w:p>
    <w:p>
      <w:r>
        <w:t>A project-aligned LoRA run completed on the authorized Development-only split at DGX Spark. On 71 internal validation cases, route accuracy rose from 80.3% for the base model to 94.4% after adaptation; the saved adapter reloaded with identical predictions. This is a promising team-comparison candidate, not an adoption decision: labels are synthetic course references, the validation set is small, and the official held-out set was not used.</w:t>
      </w:r>
    </w:p>
    <w:p>
      <w:pPr>
        <w:pStyle w:val="Heading1"/>
      </w:pPr>
      <w:r>
        <w:t>Capability and controlled experiment</w:t>
      </w:r>
    </w:p>
    <w:p>
      <w:r>
        <w:t>I learned to express an adapter update as ΔW = (α/r)BA, where A and B are low-rank factors. Hugging Face PEFT documents r and lora_alpha as the rank and scaling controls; its optional Rank-Stabilized LoRA changes the scale to α/√r. This candidate uses ordinary α/r scaling with dimension 8, rank 1, α=1, Adam learning rate 0.03, 2,500 full-batch steps, and seed 20261019. The target is a synthetic rank-1 matrix; the baseline update is zero.</w:t>
      </w:r>
    </w:p>
    <w:tbl>
      <w:tblPr>
        <w:tblW w:type="auto" w:w="0"/>
        <w:tblLayout w:type="fixed"/>
        <w:tblLook w:firstColumn="1" w:firstRow="1" w:lastColumn="0" w:lastRow="0" w:noHBand="0" w:noVBand="1" w:val="04A0"/>
      </w:tblPr>
      <w:tblGrid>
        <w:gridCol w:w="2131"/>
        <w:gridCol w:w="8237"/>
      </w:tblGrid>
      <w:tr>
        <w:tc>
          <w:tcPr>
            <w:tcW w:type="dxa" w:w="2131"/>
            <w:vAlign w:val="center"/>
          </w:tcPr>
          <w:p>
            <w:pPr>
              <w:spacing w:after="20"/>
            </w:pPr>
            <w:r>
              <w:rPr>
                <w:b/>
                <w:sz w:val="17"/>
              </w:rPr>
              <w:t>Baseline MSE</w:t>
            </w:r>
          </w:p>
        </w:tc>
        <w:tc>
          <w:tcPr>
            <w:tcW w:type="dxa" w:w="8237"/>
            <w:vAlign w:val="center"/>
          </w:tcPr>
          <w:p>
            <w:pPr>
              <w:spacing w:after="20"/>
            </w:pPr>
            <w:r>
              <w:rPr>
                <w:sz w:val="17"/>
              </w:rPr>
              <w:t>0.015625</w:t>
            </w:r>
          </w:p>
        </w:tc>
      </w:tr>
      <w:tr>
        <w:tc>
          <w:tcPr>
            <w:tcW w:type="dxa" w:w="2131"/>
            <w:vAlign w:val="center"/>
          </w:tcPr>
          <w:p>
            <w:pPr>
              <w:spacing w:after="20"/>
            </w:pPr>
            <w:r>
              <w:rPr>
                <w:b/>
                <w:sz w:val="17"/>
              </w:rPr>
              <w:t>Rank-1 adapted MSE</w:t>
            </w:r>
          </w:p>
        </w:tc>
        <w:tc>
          <w:tcPr>
            <w:tcW w:type="dxa" w:w="8237"/>
            <w:vAlign w:val="center"/>
          </w:tcPr>
          <w:p>
            <w:pPr>
              <w:spacing w:after="20"/>
            </w:pPr>
            <w:r>
              <w:rPr>
                <w:sz w:val="17"/>
              </w:rPr>
              <w:t>3.04 × 10⁻³⁴; 100% reduction on this constructed target</w:t>
            </w:r>
          </w:p>
        </w:tc>
      </w:tr>
      <w:tr>
        <w:tc>
          <w:tcPr>
            <w:tcW w:type="dxa" w:w="2131"/>
            <w:vAlign w:val="center"/>
          </w:tcPr>
          <w:p>
            <w:pPr>
              <w:spacing w:after="20"/>
            </w:pPr>
            <w:r>
              <w:rPr>
                <w:b/>
                <w:sz w:val="17"/>
              </w:rPr>
              <w:t>Trainable values</w:t>
            </w:r>
          </w:p>
        </w:tc>
        <w:tc>
          <w:tcPr>
            <w:tcW w:type="dxa" w:w="8237"/>
            <w:vAlign w:val="center"/>
          </w:tcPr>
          <w:p>
            <w:pPr>
              <w:spacing w:after="20"/>
            </w:pPr>
            <w:r>
              <w:rPr>
                <w:sz w:val="17"/>
              </w:rPr>
              <w:t>16 in BA versus 64 in a full 8 × 8 update (75% fewer)</w:t>
            </w:r>
          </w:p>
        </w:tc>
      </w:tr>
      <w:tr>
        <w:tc>
          <w:tcPr>
            <w:tcW w:type="dxa" w:w="2131"/>
            <w:vAlign w:val="center"/>
          </w:tcPr>
          <w:p>
            <w:pPr>
              <w:spacing w:after="20"/>
            </w:pPr>
            <w:r>
              <w:rPr>
                <w:b/>
                <w:sz w:val="17"/>
              </w:rPr>
              <w:t>Runtime</w:t>
            </w:r>
          </w:p>
        </w:tc>
        <w:tc>
          <w:tcPr>
            <w:tcW w:type="dxa" w:w="8237"/>
            <w:vAlign w:val="center"/>
          </w:tcPr>
          <w:p>
            <w:pPr>
              <w:spacing w:after="20"/>
            </w:pPr>
            <w:r>
              <w:rPr>
                <w:sz w:val="17"/>
              </w:rPr>
              <w:t>0.0466 seconds in the Jupyter Python kernel on spark-1338</w:t>
            </w:r>
          </w:p>
        </w:tc>
      </w:tr>
    </w:tbl>
    <w:p>
      <w:pPr>
        <w:pStyle w:val="Heading1"/>
      </w:pPr>
      <w:r>
        <w:t>Execution evidence and failure diagnosis</w:t>
      </w:r>
    </w:p>
    <w:p>
      <w:r>
        <w:t>The project run completed as Slurm job 194 on spark-4694 (NVIDIA GB10; PyTorch 2.13.0+cu130, Transformers 5.17.0, PEFT 0.21.2). It used Qwen 2.5 0.5B, seed 20261019, 330 Clear training cases and 71 internal validation cases; LoRA r=4, alpha=8, dropout=0, q_proj/v_proj, AdamW (2e-4, weight decay 0.01), and 3 epochs. Trainable parameters were 270,336 of 494,303,104. Mean epoch training loss was 0.4144, 0.0521, and 0.0122. Base accuracy was 80.3% (all 71 predictions were Billing); adapted accuracy was 94.4%, with confusion matrix [[55, 2], [2, 12]] (reference rows: Billing, Fraud; predicted columns in the same order). Billing precision/recall/F1 were 0.965/0.965/0.965; Fraud metrics were 0.857/0.857/0.857. Reloaded predictions were identical; scoring plus reload took 61.9 seconds. Earlier Slurm job 186 failed before training due to malformed multiline literals in a separate synthetic example; the corrected synthetic smoke run was job 187.</w:t>
      </w:r>
    </w:p>
    <w:p>
      <w:pPr>
        <w:pStyle w:val="Heading1"/>
      </w:pPr>
      <w:r>
        <w:t>Independent judgment and transfer</w:t>
      </w:r>
    </w:p>
    <w:p>
      <w:r>
        <w:t>This candidate addresses the team's employee-assisted intake for web-submitted credit-card billing disputes. The model sees only complaint narrative and suggests one of two destinations: Card Billing Disputes or Card Fraud &amp; Security; it does not decide account outcomes, contact customers, or route cases autonomously. The 401 Clear cases in the defined Development scope were split by the team's exact-narrative-group manifest into 330 train and 71 internal validation cases. Judgment Required and Insufficient Evidence cases remain out of training for human review. The official 1,500-row held-out set was not used for training or tuning. Two held-out rows were inadvertently previewed before the evaluation boundary was frozen and are disclosed here; neither was used. Course routing references are synthetic instructional labels, not verified bank outcomes.</w:t>
      </w:r>
    </w:p>
    <w:p>
      <w:pPr>
        <w:pStyle w:val="Heading1"/>
      </w:pPr>
      <w:r>
        <w:t>Candidate, verification, and team handoff</w:t>
      </w:r>
    </w:p>
    <w:p>
      <w:r>
        <w:t>Candidate branch: louyinuo/a6-lora-candidate in pingan1224/abi-complaint-management-poc; the team's candidate README identifies the contribution commit. The branch is not merged into main. Job 194, its log, result JSON, prediction file, adapter, training script, and config are on the authorized NAS. Handoff: compare base, prompted, and adapted models under the team's frozen held-out protocol, including escalation safety, failure review, latency, and cost, before any prototype recommendation. Do not treat internal validation as final evaluation.</w:t>
      </w:r>
    </w:p>
    <w:p>
      <w:r>
        <w:t>AI helped prepare the code and experiment design. I checked LoRA scaling against the Hugging Face PEFT reference and verified job 194's host, model, split counts, LoRA settings, training losses, validation metrics, Slurm log, and adapter-reload identity in JupyterLab. The held-out set was not used for training or tuning; I disclosed the earlier two-row preview. The observed accuracy gain is internal-validation evidence only, not proof of production performance.</w:t>
      </w:r>
    </w:p>
    <w:p>
      <w:pPr>
        <w:pStyle w:val="Heading1"/>
      </w:pPr>
      <w:r>
        <w:t>Reflection</w:t>
      </w:r>
    </w:p>
    <w:p>
      <w:r>
        <w:t>AI helped me turn the assignment into a reproducible LoRA plan, prepare the project trainer, and diagnose an earlier malformed-script failure. I verified the run on DGX Spark: after three epochs on 330 Clear Development cases, the adapted model reached 94.4% accuracy on 71 internal validation cases versus 80.3% for the base model, and the saved adapter reproduced the same predictions after reload. I did not treat this small internal result as proof of business readiness. The labels are synthetic course references, uncertain cases were excluded from training, and two held-out rows had been inadvertently previewed earlier but were not used. I would hand off job 194's artifacts, then compare base, prompted, and adapted models under the team's frozen-test protocol and review routing errors, escalation safety, latency, and cost before recommending LoRA.</w:t>
      </w:r>
    </w:p>
    <w:p>
      <w:r>
        <w:rPr>
          <w:sz w:val="15"/>
        </w:rPr>
        <w:t>Technical reference: Hugging Face PEFT, LoRA configuration and scaling, https://huggingface.co/docs/peft/main/package_reference/lora</w:t>
      </w:r>
    </w:p>
    <w:sectPr w:rsidR="00FC693F" w:rsidRPr="0006063C" w:rsidSect="00034616">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47" w:lineRule="auto"/>
    </w:pPr>
    <w:rPr>
      <w:rFonts w:ascii="Aptos" w:hAnsi="Aptos"/>
      <w:color w:val="26303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ptos Display" w:hAnsi="Aptos Display"/>
      <w:b/>
      <w:bCs/>
      <w:color w:val="165375"/>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120"/>
      <w:contextualSpacing/>
    </w:pPr>
    <w:rPr>
      <w:rFonts w:asciiTheme="majorHAnsi" w:eastAsiaTheme="majorEastAsia" w:hAnsiTheme="majorHAnsi" w:cstheme="majorBidi" w:ascii="Aptos Display" w:hAnsi="Aptos Display"/>
      <w:b/>
      <w:color w:val="1631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