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t>LoRA Learning and Experiment Record</w:t>
      </w:r>
    </w:p>
    <w:p>
      <w:pPr>
        <w:spacing w:after="100"/>
      </w:pPr>
      <w:r>
        <w:rPr>
          <w:b/>
          <w:color w:val="5B6875"/>
          <w:sz w:val="16"/>
        </w:rPr>
        <w:t>NYU Advanced Business Informatics | Assignment 6 | Yinuo Lou | 32B DGX Spark experiment | 21 October 2026</w:t>
      </w:r>
    </w:p>
    <w:p>
      <w:pPr>
        <w:spacing w:after="100"/>
      </w:pPr>
      <w:r>
        <w:rPr>
          <w:b/>
        </w:rPr>
        <w:t xml:space="preserve">Finding. </w:t>
      </w:r>
      <w:r>
        <w:t>The corrected 32B run completed, but this setup showed no validation gain over the base model. The training result does not yet establish that LoRA learned a useful routing distinction; I recommend further controlled comparison before adoption.</w:t>
      </w:r>
    </w:p>
    <w:p>
      <w:pPr>
        <w:pStyle w:val="Heading1"/>
      </w:pPr>
      <w:r>
        <w:t>Experiment and controlled scope</w:t>
      </w:r>
    </w:p>
    <w:p>
      <w:r>
        <w:t>I tested whether a small LoRA adapter could learn the team's employee-assisted route suggestion for web-submitted credit-card billing disputes. The approved Qwen2.5-32B-Instruct FP8 checkpoint ran as BF16 after compressed-weight dequantization. Using the existing narrative-grouped Development split, I trained on 330 Clear-labeled records and evaluated on 71 internal Development records. Inputs were complaint narratives; targets were Card Billing Disputes or Card Fraud &amp; Security. The official Held-out Evaluation split was not used. Configuration: seed 20261019; one epoch; maximum length 512; batch size 1; AdamW learning rate 2e-4, weight decay 0.01, gradient clip 1.0; LoRA rank 4, alpha 8, dropout 0, q_proj/v_proj.</w:t>
      </w:r>
    </w:p>
    <w:p>
      <w:pPr>
        <w:pStyle w:val="Heading1"/>
      </w:pPr>
      <w:r>
        <w:t>What failed and what changed</w:t>
      </w:r>
    </w:p>
    <w:p>
      <w:r>
        <w:t>The first full run had a defective answer-loss boundary: prompt and answer were tokenized separately even though a BPE token can span their textual boundary. Inspection showed this merge in 285 of 330 training examples, so some answer-prefix tokens were masked incorrectly. I fixed the root cause by tokenizing prompt plus answer together, locating the common token prefix, and applying loss only from the true answer boundary. This is a transferable lesson for other tokenizers and models: never assume concatenated text tokenizes as separately tokenized pieces. Earlier jobs 243/244 also failed at backward because the loss had no gradient graph; explicitly disabling PEFT inference mode and enabling input gradients fixed the pilot. Job 249 OOMed after loading then copying the full checkpoint to CUDA; direct device placement with device_map avoided the duplicate allocation.</w:t>
      </w:r>
    </w:p>
    <w:p>
      <w:pPr>
        <w:pStyle w:val="Heading1"/>
      </w:pPr>
      <w:r>
        <w:t>DGX execution and validation</w:t>
      </w:r>
    </w:p>
    <w:p>
      <w:r>
        <w:t>Corrected Slurm job 253 completed on spark-4694 with an NVIDIA GB10; Torch 2.13.0+cu130, Transformers 5.17.0, and PEFT 0.21.2. The checkpoint had 32,772,723,712 parameters, with 4,194,304 trainable LoRA parameters (0.0128%). Diagnostic repeat job 255 on the same Development split had mean loss 2.9943; first/last 50-step means were 2.8968/2.9586. Base and adapted mean Billing-minus-Fraud sequence log-likelihood margins were both 4.760; mean absolute per-example margin change was 0 across 71 examples, with no sign flips. Post-run CPU inspection found all 128 saved LoRA B tensors exactly zero. The adapter therefore showed no effective update in this run; the update path needs debugging, not an efficacy conclusion. Job 255 took 971.4 seconds; peak CUDA allocation was 66,722,334,720 bytes (62.1 GiB), the full 32B-model run peak rather than a LoRA-only increment. The unmatched 61.2 GiB pilot is not an exact cost comparison. The main incremental costs to evaluate are training time and adapter lifecycle.</w:t>
      </w:r>
    </w:p>
    <w:tbl>
      <w:tblPr>
        <w:tblW w:type="auto" w:w="0"/>
        <w:tblLayout w:type="fixed"/>
        <w:tblLook w:firstColumn="1" w:firstRow="1" w:lastColumn="0" w:lastRow="0" w:noHBand="0" w:noVBand="1" w:val="04A0"/>
      </w:tblPr>
      <w:tblGrid>
        <w:gridCol w:w="2570"/>
        <w:gridCol w:w="2570"/>
        <w:gridCol w:w="2570"/>
        <w:gridCol w:w="2570"/>
      </w:tblGrid>
      <w:tr>
        <w:tc>
          <w:tcPr>
            <w:tcW w:type="dxa" w:w="2477"/>
            <w:vAlign w:val="center"/>
            <w:shd w:fill="173A5A"/>
            <w:tcBorders>
              <w:top w:val="single" w:sz="4" w:color="D9E0E7"/>
              <w:left w:val="single" w:sz="4" w:color="D9E0E7"/>
              <w:bottom w:val="single" w:sz="4" w:color="D9E0E7"/>
              <w:right w:val="single" w:sz="4" w:color="D9E0E7"/>
              <w:insideH w:val="single" w:sz="4" w:color="D9E0E7"/>
              <w:insideV w:val="single" w:sz="4" w:color="D9E0E7"/>
            </w:tcBorders>
          </w:tcPr>
          <w:p>
            <w:pPr>
              <w:spacing w:after="0"/>
            </w:pPr>
            <w:r>
              <w:rPr>
                <w:b/>
                <w:color w:val="FFFFFF"/>
                <w:sz w:val="16"/>
              </w:rPr>
              <w:t>Evaluation</w:t>
            </w:r>
          </w:p>
        </w:tc>
        <w:tc>
          <w:tcPr>
            <w:tcW w:type="dxa" w:w="1800"/>
            <w:vAlign w:val="center"/>
            <w:shd w:fill="173A5A"/>
            <w:tcBorders>
              <w:top w:val="single" w:sz="4" w:color="D9E0E7"/>
              <w:left w:val="single" w:sz="4" w:color="D9E0E7"/>
              <w:bottom w:val="single" w:sz="4" w:color="D9E0E7"/>
              <w:right w:val="single" w:sz="4" w:color="D9E0E7"/>
              <w:insideH w:val="single" w:sz="4" w:color="D9E0E7"/>
              <w:insideV w:val="single" w:sz="4" w:color="D9E0E7"/>
            </w:tcBorders>
          </w:tcPr>
          <w:p>
            <w:pPr>
              <w:spacing w:after="0"/>
            </w:pPr>
            <w:r>
              <w:rPr>
                <w:b/>
                <w:color w:val="FFFFFF"/>
                <w:sz w:val="16"/>
              </w:rPr>
              <w:t>Accuracy</w:t>
            </w:r>
          </w:p>
        </w:tc>
        <w:tc>
          <w:tcPr>
            <w:tcW w:type="dxa" w:w="1973"/>
            <w:vAlign w:val="center"/>
            <w:shd w:fill="173A5A"/>
            <w:tcBorders>
              <w:top w:val="single" w:sz="4" w:color="D9E0E7"/>
              <w:left w:val="single" w:sz="4" w:color="D9E0E7"/>
              <w:bottom w:val="single" w:sz="4" w:color="D9E0E7"/>
              <w:right w:val="single" w:sz="4" w:color="D9E0E7"/>
              <w:insideH w:val="single" w:sz="4" w:color="D9E0E7"/>
              <w:insideV w:val="single" w:sz="4" w:color="D9E0E7"/>
            </w:tcBorders>
          </w:tcPr>
          <w:p>
            <w:pPr>
              <w:spacing w:after="0"/>
            </w:pPr>
            <w:r>
              <w:rPr>
                <w:b/>
                <w:color w:val="FFFFFF"/>
                <w:sz w:val="16"/>
              </w:rPr>
              <w:t>Fraud recall</w:t>
            </w:r>
          </w:p>
        </w:tc>
        <w:tc>
          <w:tcPr>
            <w:tcW w:type="dxa" w:w="2952"/>
            <w:vAlign w:val="center"/>
            <w:shd w:fill="173A5A"/>
            <w:tcBorders>
              <w:top w:val="single" w:sz="4" w:color="D9E0E7"/>
              <w:left w:val="single" w:sz="4" w:color="D9E0E7"/>
              <w:bottom w:val="single" w:sz="4" w:color="D9E0E7"/>
              <w:right w:val="single" w:sz="4" w:color="D9E0E7"/>
              <w:insideH w:val="single" w:sz="4" w:color="D9E0E7"/>
              <w:insideV w:val="single" w:sz="4" w:color="D9E0E7"/>
            </w:tcBorders>
          </w:tcPr>
          <w:p>
            <w:pPr>
              <w:spacing w:after="0"/>
            </w:pPr>
            <w:r>
              <w:rPr>
                <w:b/>
                <w:color w:val="FFFFFF"/>
                <w:sz w:val="16"/>
              </w:rPr>
              <w:t>Interpretation</w:t>
            </w:r>
          </w:p>
        </w:tc>
      </w:tr>
      <w:tr>
        <w:tc>
          <w:tcPr>
            <w:tcW w:type="dxa" w:w="2477"/>
            <w:vAlign w:val="center"/>
            <w:tcBorders>
              <w:top w:val="single" w:sz="4" w:color="D9E0E7"/>
              <w:left w:val="single" w:sz="4" w:color="D9E0E7"/>
              <w:bottom w:val="single" w:sz="4" w:color="D9E0E7"/>
              <w:right w:val="single" w:sz="4" w:color="D9E0E7"/>
              <w:insideH w:val="single" w:sz="4" w:color="D9E0E7"/>
              <w:insideV w:val="single" w:sz="4" w:color="D9E0E7"/>
            </w:tcBorders>
          </w:tcPr>
          <w:p>
            <w:pPr>
              <w:spacing w:after="0" w:line="240" w:lineRule="auto"/>
            </w:pPr>
            <w:r>
              <w:rPr>
                <w:sz w:val="15"/>
              </w:rPr>
              <w:t>Base, sequence score</w:t>
            </w:r>
          </w:p>
        </w:tc>
        <w:tc>
          <w:tcPr>
            <w:tcW w:type="dxa" w:w="1800"/>
            <w:vAlign w:val="center"/>
            <w:tcBorders>
              <w:top w:val="single" w:sz="4" w:color="D9E0E7"/>
              <w:left w:val="single" w:sz="4" w:color="D9E0E7"/>
              <w:bottom w:val="single" w:sz="4" w:color="D9E0E7"/>
              <w:right w:val="single" w:sz="4" w:color="D9E0E7"/>
              <w:insideH w:val="single" w:sz="4" w:color="D9E0E7"/>
              <w:insideV w:val="single" w:sz="4" w:color="D9E0E7"/>
            </w:tcBorders>
          </w:tcPr>
          <w:p>
            <w:pPr>
              <w:spacing w:after="0" w:line="240" w:lineRule="auto"/>
            </w:pPr>
            <w:r>
              <w:rPr>
                <w:sz w:val="15"/>
              </w:rPr>
              <w:t>85.9% (61/71)</w:t>
            </w:r>
          </w:p>
        </w:tc>
        <w:tc>
          <w:tcPr>
            <w:tcW w:type="dxa" w:w="1973"/>
            <w:vAlign w:val="center"/>
            <w:tcBorders>
              <w:top w:val="single" w:sz="4" w:color="D9E0E7"/>
              <w:left w:val="single" w:sz="4" w:color="D9E0E7"/>
              <w:bottom w:val="single" w:sz="4" w:color="D9E0E7"/>
              <w:right w:val="single" w:sz="4" w:color="D9E0E7"/>
              <w:insideH w:val="single" w:sz="4" w:color="D9E0E7"/>
              <w:insideV w:val="single" w:sz="4" w:color="D9E0E7"/>
            </w:tcBorders>
          </w:tcPr>
          <w:p>
            <w:pPr>
              <w:spacing w:after="0" w:line="240" w:lineRule="auto"/>
            </w:pPr>
            <w:r>
              <w:rPr>
                <w:sz w:val="15"/>
              </w:rPr>
              <w:t>42.9% (6/14)</w:t>
            </w:r>
          </w:p>
        </w:tc>
        <w:tc>
          <w:tcPr>
            <w:tcW w:type="dxa" w:w="2952"/>
            <w:vAlign w:val="center"/>
            <w:tcBorders>
              <w:top w:val="single" w:sz="4" w:color="D9E0E7"/>
              <w:left w:val="single" w:sz="4" w:color="D9E0E7"/>
              <w:bottom w:val="single" w:sz="4" w:color="D9E0E7"/>
              <w:right w:val="single" w:sz="4" w:color="D9E0E7"/>
              <w:insideH w:val="single" w:sz="4" w:color="D9E0E7"/>
              <w:insideV w:val="single" w:sz="4" w:color="D9E0E7"/>
            </w:tcBorders>
          </w:tcPr>
          <w:p>
            <w:pPr>
              <w:spacing w:after="0" w:line="240" w:lineRule="auto"/>
            </w:pPr>
            <w:r>
              <w:rPr>
                <w:sz w:val="15"/>
              </w:rPr>
              <w:t>Same as adapted model</w:t>
            </w:r>
          </w:p>
        </w:tc>
      </w:tr>
      <w:tr>
        <w:tc>
          <w:tcPr>
            <w:tcW w:type="dxa" w:w="2477"/>
            <w:vAlign w:val="center"/>
            <w:tcBorders>
              <w:top w:val="single" w:sz="4" w:color="D9E0E7"/>
              <w:left w:val="single" w:sz="4" w:color="D9E0E7"/>
              <w:bottom w:val="single" w:sz="4" w:color="D9E0E7"/>
              <w:right w:val="single" w:sz="4" w:color="D9E0E7"/>
              <w:insideH w:val="single" w:sz="4" w:color="D9E0E7"/>
              <w:insideV w:val="single" w:sz="4" w:color="D9E0E7"/>
            </w:tcBorders>
            <w:shd w:fill="F1F5F8"/>
          </w:tcPr>
          <w:p>
            <w:pPr>
              <w:spacing w:after="0" w:line="240" w:lineRule="auto"/>
            </w:pPr>
            <w:r>
              <w:rPr>
                <w:sz w:val="15"/>
              </w:rPr>
              <w:t>LoRA adapted, sequence score</w:t>
            </w:r>
          </w:p>
        </w:tc>
        <w:tc>
          <w:tcPr>
            <w:tcW w:type="dxa" w:w="1800"/>
            <w:vAlign w:val="center"/>
            <w:tcBorders>
              <w:top w:val="single" w:sz="4" w:color="D9E0E7"/>
              <w:left w:val="single" w:sz="4" w:color="D9E0E7"/>
              <w:bottom w:val="single" w:sz="4" w:color="D9E0E7"/>
              <w:right w:val="single" w:sz="4" w:color="D9E0E7"/>
              <w:insideH w:val="single" w:sz="4" w:color="D9E0E7"/>
              <w:insideV w:val="single" w:sz="4" w:color="D9E0E7"/>
            </w:tcBorders>
            <w:shd w:fill="F1F5F8"/>
          </w:tcPr>
          <w:p>
            <w:pPr>
              <w:spacing w:after="0" w:line="240" w:lineRule="auto"/>
            </w:pPr>
            <w:r>
              <w:rPr>
                <w:sz w:val="15"/>
              </w:rPr>
              <w:t>85.9% (61/71)</w:t>
            </w:r>
          </w:p>
        </w:tc>
        <w:tc>
          <w:tcPr>
            <w:tcW w:type="dxa" w:w="1973"/>
            <w:vAlign w:val="center"/>
            <w:tcBorders>
              <w:top w:val="single" w:sz="4" w:color="D9E0E7"/>
              <w:left w:val="single" w:sz="4" w:color="D9E0E7"/>
              <w:bottom w:val="single" w:sz="4" w:color="D9E0E7"/>
              <w:right w:val="single" w:sz="4" w:color="D9E0E7"/>
              <w:insideH w:val="single" w:sz="4" w:color="D9E0E7"/>
              <w:insideV w:val="single" w:sz="4" w:color="D9E0E7"/>
            </w:tcBorders>
            <w:shd w:fill="F1F5F8"/>
          </w:tcPr>
          <w:p>
            <w:pPr>
              <w:spacing w:after="0" w:line="240" w:lineRule="auto"/>
            </w:pPr>
            <w:r>
              <w:rPr>
                <w:sz w:val="15"/>
              </w:rPr>
              <w:t>42.9% (6/14)</w:t>
            </w:r>
          </w:p>
        </w:tc>
        <w:tc>
          <w:tcPr>
            <w:tcW w:type="dxa" w:w="2952"/>
            <w:vAlign w:val="center"/>
            <w:tcBorders>
              <w:top w:val="single" w:sz="4" w:color="D9E0E7"/>
              <w:left w:val="single" w:sz="4" w:color="D9E0E7"/>
              <w:bottom w:val="single" w:sz="4" w:color="D9E0E7"/>
              <w:right w:val="single" w:sz="4" w:color="D9E0E7"/>
              <w:insideH w:val="single" w:sz="4" w:color="D9E0E7"/>
              <w:insideV w:val="single" w:sz="4" w:color="D9E0E7"/>
            </w:tcBorders>
            <w:shd w:fill="F1F5F8"/>
          </w:tcPr>
          <w:p>
            <w:pPr>
              <w:spacing w:after="0" w:line="240" w:lineRule="auto"/>
            </w:pPr>
            <w:r>
              <w:rPr>
                <w:sz w:val="15"/>
              </w:rPr>
              <w:t>No measured improvement</w:t>
            </w:r>
          </w:p>
        </w:tc>
      </w:tr>
      <w:tr>
        <w:tc>
          <w:tcPr>
            <w:tcW w:type="dxa" w:w="2477"/>
            <w:vAlign w:val="center"/>
            <w:tcBorders>
              <w:top w:val="single" w:sz="4" w:color="D9E0E7"/>
              <w:left w:val="single" w:sz="4" w:color="D9E0E7"/>
              <w:bottom w:val="single" w:sz="4" w:color="D9E0E7"/>
              <w:right w:val="single" w:sz="4" w:color="D9E0E7"/>
              <w:insideH w:val="single" w:sz="4" w:color="D9E0E7"/>
              <w:insideV w:val="single" w:sz="4" w:color="D9E0E7"/>
            </w:tcBorders>
          </w:tcPr>
          <w:p>
            <w:pPr>
              <w:spacing w:after="0" w:line="240" w:lineRule="auto"/>
            </w:pPr>
            <w:r>
              <w:rPr>
                <w:sz w:val="15"/>
              </w:rPr>
              <w:t>Mean-token score sensitivity</w:t>
            </w:r>
          </w:p>
        </w:tc>
        <w:tc>
          <w:tcPr>
            <w:tcW w:type="dxa" w:w="1800"/>
            <w:vAlign w:val="center"/>
            <w:tcBorders>
              <w:top w:val="single" w:sz="4" w:color="D9E0E7"/>
              <w:left w:val="single" w:sz="4" w:color="D9E0E7"/>
              <w:bottom w:val="single" w:sz="4" w:color="D9E0E7"/>
              <w:right w:val="single" w:sz="4" w:color="D9E0E7"/>
              <w:insideH w:val="single" w:sz="4" w:color="D9E0E7"/>
              <w:insideV w:val="single" w:sz="4" w:color="D9E0E7"/>
            </w:tcBorders>
          </w:tcPr>
          <w:p>
            <w:pPr>
              <w:spacing w:after="0" w:line="240" w:lineRule="auto"/>
            </w:pPr>
            <w:r>
              <w:rPr>
                <w:sz w:val="15"/>
              </w:rPr>
              <w:t>84.5% (60/71)</w:t>
            </w:r>
          </w:p>
        </w:tc>
        <w:tc>
          <w:tcPr>
            <w:tcW w:type="dxa" w:w="1973"/>
            <w:vAlign w:val="center"/>
            <w:tcBorders>
              <w:top w:val="single" w:sz="4" w:color="D9E0E7"/>
              <w:left w:val="single" w:sz="4" w:color="D9E0E7"/>
              <w:bottom w:val="single" w:sz="4" w:color="D9E0E7"/>
              <w:right w:val="single" w:sz="4" w:color="D9E0E7"/>
              <w:insideH w:val="single" w:sz="4" w:color="D9E0E7"/>
              <w:insideV w:val="single" w:sz="4" w:color="D9E0E7"/>
            </w:tcBorders>
          </w:tcPr>
          <w:p>
            <w:pPr>
              <w:spacing w:after="0" w:line="240" w:lineRule="auto"/>
            </w:pPr>
            <w:r>
              <w:rPr>
                <w:sz w:val="15"/>
              </w:rPr>
              <w:t>35.7% (5/14)</w:t>
            </w:r>
          </w:p>
        </w:tc>
        <w:tc>
          <w:tcPr>
            <w:tcW w:type="dxa" w:w="2952"/>
            <w:vAlign w:val="center"/>
            <w:tcBorders>
              <w:top w:val="single" w:sz="4" w:color="D9E0E7"/>
              <w:left w:val="single" w:sz="4" w:color="D9E0E7"/>
              <w:bottom w:val="single" w:sz="4" w:color="D9E0E7"/>
              <w:right w:val="single" w:sz="4" w:color="D9E0E7"/>
              <w:insideH w:val="single" w:sz="4" w:color="D9E0E7"/>
              <w:insideV w:val="single" w:sz="4" w:color="D9E0E7"/>
            </w:tcBorders>
          </w:tcPr>
          <w:p>
            <w:pPr>
              <w:spacing w:after="0" w:line="240" w:lineRule="auto"/>
            </w:pPr>
            <w:r>
              <w:rPr>
                <w:sz w:val="15"/>
              </w:rPr>
              <w:t>One validation case changed</w:t>
            </w:r>
          </w:p>
        </w:tc>
      </w:tr>
      <w:tr>
        <w:tc>
          <w:tcPr>
            <w:tcW w:type="dxa" w:w="2477"/>
            <w:vAlign w:val="center"/>
            <w:tcBorders>
              <w:top w:val="single" w:sz="4" w:color="D9E0E7"/>
              <w:left w:val="single" w:sz="4" w:color="D9E0E7"/>
              <w:bottom w:val="single" w:sz="4" w:color="D9E0E7"/>
              <w:right w:val="single" w:sz="4" w:color="D9E0E7"/>
              <w:insideH w:val="single" w:sz="4" w:color="D9E0E7"/>
              <w:insideV w:val="single" w:sz="4" w:color="D9E0E7"/>
            </w:tcBorders>
            <w:shd w:fill="F1F5F8"/>
          </w:tcPr>
          <w:p>
            <w:pPr>
              <w:spacing w:after="0" w:line="240" w:lineRule="auto"/>
            </w:pPr>
            <w:r>
              <w:rPr>
                <w:sz w:val="15"/>
              </w:rPr>
              <w:t>Majority billing baseline</w:t>
            </w:r>
          </w:p>
        </w:tc>
        <w:tc>
          <w:tcPr>
            <w:tcW w:type="dxa" w:w="1800"/>
            <w:vAlign w:val="center"/>
            <w:tcBorders>
              <w:top w:val="single" w:sz="4" w:color="D9E0E7"/>
              <w:left w:val="single" w:sz="4" w:color="D9E0E7"/>
              <w:bottom w:val="single" w:sz="4" w:color="D9E0E7"/>
              <w:right w:val="single" w:sz="4" w:color="D9E0E7"/>
              <w:insideH w:val="single" w:sz="4" w:color="D9E0E7"/>
              <w:insideV w:val="single" w:sz="4" w:color="D9E0E7"/>
            </w:tcBorders>
            <w:shd w:fill="F1F5F8"/>
          </w:tcPr>
          <w:p>
            <w:pPr>
              <w:spacing w:after="0" w:line="240" w:lineRule="auto"/>
            </w:pPr>
            <w:r>
              <w:rPr>
                <w:sz w:val="15"/>
              </w:rPr>
              <w:t>80.3% (57/71)</w:t>
            </w:r>
          </w:p>
        </w:tc>
        <w:tc>
          <w:tcPr>
            <w:tcW w:type="dxa" w:w="1973"/>
            <w:vAlign w:val="center"/>
            <w:tcBorders>
              <w:top w:val="single" w:sz="4" w:color="D9E0E7"/>
              <w:left w:val="single" w:sz="4" w:color="D9E0E7"/>
              <w:bottom w:val="single" w:sz="4" w:color="D9E0E7"/>
              <w:right w:val="single" w:sz="4" w:color="D9E0E7"/>
              <w:insideH w:val="single" w:sz="4" w:color="D9E0E7"/>
              <w:insideV w:val="single" w:sz="4" w:color="D9E0E7"/>
            </w:tcBorders>
            <w:shd w:fill="F1F5F8"/>
          </w:tcPr>
          <w:p>
            <w:pPr>
              <w:spacing w:after="0" w:line="240" w:lineRule="auto"/>
            </w:pPr>
            <w:r>
              <w:rPr>
                <w:sz w:val="15"/>
              </w:rPr>
              <w:t>0% (0/14)</w:t>
            </w:r>
          </w:p>
        </w:tc>
        <w:tc>
          <w:tcPr>
            <w:tcW w:type="dxa" w:w="2952"/>
            <w:vAlign w:val="center"/>
            <w:tcBorders>
              <w:top w:val="single" w:sz="4" w:color="D9E0E7"/>
              <w:left w:val="single" w:sz="4" w:color="D9E0E7"/>
              <w:bottom w:val="single" w:sz="4" w:color="D9E0E7"/>
              <w:right w:val="single" w:sz="4" w:color="D9E0E7"/>
              <w:insideH w:val="single" w:sz="4" w:color="D9E0E7"/>
              <w:insideV w:val="single" w:sz="4" w:color="D9E0E7"/>
            </w:tcBorders>
            <w:shd w:fill="F1F5F8"/>
          </w:tcPr>
          <w:p>
            <w:pPr>
              <w:spacing w:after="0" w:line="240" w:lineRule="auto"/>
            </w:pPr>
            <w:r>
              <w:rPr>
                <w:sz w:val="15"/>
              </w:rPr>
              <w:t>Accuracy alone is inadequate</w:t>
            </w:r>
          </w:p>
        </w:tc>
      </w:tr>
    </w:tbl>
    <w:p>
      <w:pPr>
        <w:spacing w:before="40" w:after="0"/>
      </w:pPr>
      <w:r>
        <w:rPr>
          <w:i/>
          <w:sz w:val="16"/>
        </w:rPr>
        <w:t>Sequence-score confusion: billing 55 correct / 2 fraud false positives; fraud 6 correct / 8 missed. Mean-token scoring changed one validation case (85.9% to 84.5%; fraud recall 6/14 to 5/14), a secondary observation rather than evidence about the LoRA-vs-base difference.</w:t>
      </w:r>
    </w:p>
    <w:p>
      <w:r>
        <w:br w:type="page"/>
      </w:r>
    </w:p>
    <w:p>
      <w:pPr>
        <w:pStyle w:val="Heading1"/>
      </w:pPr>
      <w:r>
        <w:t>Independent recommendation</w:t>
      </w:r>
    </w:p>
    <w:p>
      <w:r>
        <w:t>The result is not evidence that LoRA is ineffective; it shows that this run did not produce an effective adapter update. Loss rose from 2.8968 (first 50 steps) to 2.9586 (last 50), the mean absolute base/adapted margin change was 0, and saved LoRA B tensors were zero. Debug gradient flow and optimizer updates, then rerun a small overfit sanity check before interpreting validation performance. Fraud/security recall was 6/14, based on only 14 cases, so it is uncertain. The labels are synthetic instructional references, not adjudicated bank policy. Before choosing among base, prompted, and adapted systems, freeze one shared split, prompt, and scoring rule; report the majority baseline, confusion matrix, per-class precision/recall/F1, macro-F1, latency, and cost. Do not tune on the official holdout. Employee review remains mandatory.</w:t>
      </w:r>
    </w:p>
    <w:p>
      <w:pPr>
        <w:pStyle w:val="Heading1"/>
      </w:pPr>
      <w:r>
        <w:t>Team handoff and evidence trail</w:t>
      </w:r>
    </w:p>
    <w:p>
      <w:r>
        <w:t>Candidate repository: pingan1224/abi-complaint-management-poc; branch: louyinuo/a6-lora-candidate; implementation and DGX-evidence commit: cb7acd0a0226dae5c7b0dbac23c4e1a11791ae4d. The package also includes the final branch commit ID and a format-patch for the report/package update. Private NAS paths are replaced with placeholders; the model, split, hyperparameters, and resource request correspond to the recorded run. Review the corrected token-boundary handling, loss and margin diagnostics, adapter-reload predictions, and comparison protocol before deciding whether to carry code into the team prototype. Two official held-out examples were inadvertently previewed earlier; they were not used for training or tuning. The team should document this exposure and decide how it affects the final evaluation.</w:t>
      </w:r>
    </w:p>
    <w:p>
      <w:pPr>
        <w:pStyle w:val="Heading1"/>
      </w:pPr>
      <w:r>
        <w:t>AI use and verification</w:t>
      </w:r>
    </w:p>
    <w:p>
      <w:r>
        <w:t>AI assisted with implementation, debugging, and drafting. Hardware, software versions, training counts, metrics, loss windows, margins, Slurm state, and adapter tensor values were checked against the DGX result, log, and saved adapter through JupyterLab. Evidence is a Development-only diagnostic, not a held-out test or production approval.</w:t>
      </w:r>
    </w:p>
    <w:p>
      <w:pPr>
        <w:spacing w:before="40" w:after="0"/>
      </w:pPr>
      <w:r>
        <w:rPr>
          <w:b/>
        </w:rPr>
        <w:t xml:space="preserve">Reflection (112 words). </w:t>
      </w:r>
      <w:r>
        <w:t>This experiment changed how I define a successful fine-tuning result. A 32B job can finish and save an adapter without showing that it learned a useful routing distinction. The token-boundary issue made this concrete: separately tokenizing prompt and answer shifted the loss mask for many examples, so checking the combined token sequence matters as much as watching training complete. I also learned to inspect route-score margins and step-level loss, not just final predictions. On this small Development split, adapted predictions matched the base, and fraud recall remained uncertain because there were only 14 fraud cases. I would require a controlled base, prompted, and adapted comparison before recommending a model for employee-assisted use.</w:t>
      </w:r>
    </w:p>
    <w:sectPr w:rsidR="00FC693F" w:rsidRPr="0006063C" w:rsidSect="00034616">
      <w:footerReference w:type="default" r:id="rId9"/>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7882"/>
        <w:sz w:val="15"/>
      </w:rPr>
      <w:t>Assignment 6 | Candidate experiment, not a production approval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2731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50"/>
      <w:outlineLvl w:val="0"/>
    </w:pPr>
    <w:rPr>
      <w:rFonts w:asciiTheme="majorHAnsi" w:eastAsiaTheme="majorEastAsia" w:hAnsiTheme="majorHAnsi" w:cstheme="majorBidi" w:ascii="Aptos Display" w:hAnsi="Aptos Display"/>
      <w:b/>
      <w:bCs/>
      <w:color w:val="12273B"/>
      <w:sz w:val="23"/>
      <w:szCs w:val="28"/>
    </w:rPr>
  </w:style>
  <w:style w:type="paragraph" w:styleId="Heading2">
    <w:name w:val="heading 2"/>
    <w:basedOn w:val="Normal"/>
    <w:next w:val="Normal"/>
    <w:link w:val="Heading2Char"/>
    <w:uiPriority w:val="9"/>
    <w:unhideWhenUsed/>
    <w:qFormat/>
    <w:rsid w:val="00FC693F"/>
    <w:pPr>
      <w:keepNext/>
      <w:keepLines/>
      <w:spacing w:before="80" w:after="50"/>
      <w:outlineLvl w:val="1"/>
    </w:pPr>
    <w:rPr>
      <w:rFonts w:asciiTheme="majorHAnsi" w:eastAsiaTheme="majorEastAsia" w:hAnsiTheme="majorHAnsi" w:cstheme="majorBidi" w:ascii="Aptos Display" w:hAnsi="Aptos Display"/>
      <w:b/>
      <w:bCs/>
      <w:color w:val="12273B"/>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50" w:line="240" w:lineRule="auto" w:before="80"/>
      <w:contextualSpacing/>
    </w:pPr>
    <w:rPr>
      <w:rFonts w:asciiTheme="majorHAnsi" w:eastAsiaTheme="majorEastAsia" w:hAnsiTheme="majorHAnsi" w:cstheme="majorBidi" w:ascii="Aptos Display" w:hAnsi="Aptos Display"/>
      <w:b/>
      <w:color w:val="12273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