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0"/>
      </w:pPr>
      <w:r>
        <w:t>LoRA Learning and Experiment Record</w:t>
      </w:r>
    </w:p>
    <w:p>
      <w:pPr>
        <w:spacing w:after="100"/>
      </w:pPr>
      <w:r>
        <w:rPr>
          <w:b/>
          <w:color w:val="5B6875"/>
          <w:sz w:val="16"/>
        </w:rPr>
        <w:t>NYU Advanced Business Informatics | Assignment 6 | 32B DGX Spark experiment | 21 October 2026</w:t>
      </w:r>
    </w:p>
    <w:p>
      <w:pPr>
        <w:spacing w:after="100"/>
      </w:pPr>
      <w:r>
        <w:rPr>
          <w:b/>
        </w:rPr>
        <w:t xml:space="preserve">Finding. </w:t>
      </w:r>
      <w:r>
        <w:t>The corrected 32B LoRA run completed on DGX, but did not improve internal-validation routing over the base model. I do not recommend adopting this adapter; the comparison also exposed a scoring-method sensitivity and weak fraud recall.</w:t>
      </w:r>
    </w:p>
    <w:p>
      <w:pPr>
        <w:pStyle w:val="Heading1"/>
      </w:pPr>
      <w:r>
        <w:t>Experiment and controlled scope</w:t>
      </w:r>
    </w:p>
    <w:p>
      <w:r>
        <w:t>I tested whether a small LoRA adapter could learn the team's employee-assisted route suggestion for web-submitted credit-card billing disputes. The approved Qwen2.5-32B-Instruct FP8 checkpoint ran as BF16 after compressed-weight dequantization. Using the existing narrative-grouped Development split, I trained on 330 Clear-labeled records and evaluated on 71 internal Development records. Inputs were complaint narratives; targets were Card Billing Disputes or Card Fraud &amp; Security. The official Held-out Evaluation split was not used. Configuration: seed 20261019; one epoch; maximum length 512; batch size 1; AdamW learning rate 2e-4, weight decay 0.01, gradient clip 1.0; LoRA rank 4, alpha 8, dropout 0, q_proj/v_proj.</w:t>
      </w:r>
    </w:p>
    <w:p>
      <w:pPr>
        <w:pStyle w:val="Heading1"/>
      </w:pPr>
      <w:r>
        <w:t>What failed and what changed</w:t>
      </w:r>
    </w:p>
    <w:p>
      <w:r>
        <w:t>The first full run had a defective answer-loss boundary: prompt and answer were tokenized separately even though a BPE token can span their textual boundary. Inspection showed this merge in 285 of 330 training examples, so some answer-prefix tokens were masked incorrectly. I fixed the root cause by tokenizing prompt plus answer together, locating the common token prefix, and applying loss only from the true answer boundary. This is a transferable lesson for other tokenizers and models: never assume concatenated text tokenizes as separately tokenized pieces. Earlier jobs 243/244 also failed at backward because the loss had no gradient graph; explicitly disabling PEFT inference mode and enabling input gradients fixed the pilot. Job 249 OOMed after loading then copying the full checkpoint to CUDA; direct device placement with device_map avoided the duplicate allocation.</w:t>
      </w:r>
    </w:p>
    <w:p>
      <w:pPr>
        <w:pStyle w:val="Heading1"/>
      </w:pPr>
      <w:r>
        <w:t>DGX execution and validation</w:t>
      </w:r>
    </w:p>
    <w:p>
      <w:r>
        <w:t>Corrected Slurm job 253 completed on spark-4694 with an NVIDIA GB10; Torch 2.13.0+cu130, Transformers 5.17.0, and PEFT 0.21.2. The checkpoint had 32,772,723,712 parameters, with 4,194,304 trainable LoRA parameters (0.0128%). Mean epoch training loss was 2.9943. The run took 659.0 seconds including model load, baseline scoring, training, adapted scoring, and reload; peak CUDA allocation was 66,722,334,720 bytes (62.2 GiB). Reloaded-adapter predictions exactly matched the in-memory adapted predictions.</w:t>
      </w:r>
    </w:p>
    <w:tbl>
      <w:tblPr>
        <w:tblW w:type="auto" w:w="0"/>
        <w:tblLayout w:type="fixed"/>
        <w:tblLook w:firstColumn="1" w:firstRow="1" w:lastColumn="0" w:lastRow="0" w:noHBand="0" w:noVBand="1" w:val="04A0"/>
      </w:tblPr>
      <w:tblGrid>
        <w:gridCol w:w="2570"/>
        <w:gridCol w:w="2570"/>
        <w:gridCol w:w="2570"/>
        <w:gridCol w:w="2570"/>
      </w:tblGrid>
      <w:tr>
        <w:tc>
          <w:tcPr>
            <w:tcW w:type="dxa" w:w="2477"/>
            <w:vAlign w:val="center"/>
            <w:shd w:fill="173A5A"/>
            <w:tcBorders>
              <w:top w:val="single" w:sz="4" w:color="D9E0E7"/>
              <w:left w:val="single" w:sz="4" w:color="D9E0E7"/>
              <w:bottom w:val="single" w:sz="4" w:color="D9E0E7"/>
              <w:right w:val="single" w:sz="4" w:color="D9E0E7"/>
              <w:insideH w:val="single" w:sz="4" w:color="D9E0E7"/>
              <w:insideV w:val="single" w:sz="4" w:color="D9E0E7"/>
            </w:tcBorders>
          </w:tcPr>
          <w:p>
            <w:pPr>
              <w:spacing w:after="0"/>
            </w:pPr>
            <w:r>
              <w:rPr>
                <w:b/>
                <w:color w:val="FFFFFF"/>
                <w:sz w:val="16"/>
              </w:rPr>
              <w:t>Evaluation</w:t>
            </w:r>
          </w:p>
        </w:tc>
        <w:tc>
          <w:tcPr>
            <w:tcW w:type="dxa" w:w="1800"/>
            <w:vAlign w:val="center"/>
            <w:shd w:fill="173A5A"/>
            <w:tcBorders>
              <w:top w:val="single" w:sz="4" w:color="D9E0E7"/>
              <w:left w:val="single" w:sz="4" w:color="D9E0E7"/>
              <w:bottom w:val="single" w:sz="4" w:color="D9E0E7"/>
              <w:right w:val="single" w:sz="4" w:color="D9E0E7"/>
              <w:insideH w:val="single" w:sz="4" w:color="D9E0E7"/>
              <w:insideV w:val="single" w:sz="4" w:color="D9E0E7"/>
            </w:tcBorders>
          </w:tcPr>
          <w:p>
            <w:pPr>
              <w:spacing w:after="0"/>
            </w:pPr>
            <w:r>
              <w:rPr>
                <w:b/>
                <w:color w:val="FFFFFF"/>
                <w:sz w:val="16"/>
              </w:rPr>
              <w:t>Accuracy</w:t>
            </w:r>
          </w:p>
        </w:tc>
        <w:tc>
          <w:tcPr>
            <w:tcW w:type="dxa" w:w="1973"/>
            <w:vAlign w:val="center"/>
            <w:shd w:fill="173A5A"/>
            <w:tcBorders>
              <w:top w:val="single" w:sz="4" w:color="D9E0E7"/>
              <w:left w:val="single" w:sz="4" w:color="D9E0E7"/>
              <w:bottom w:val="single" w:sz="4" w:color="D9E0E7"/>
              <w:right w:val="single" w:sz="4" w:color="D9E0E7"/>
              <w:insideH w:val="single" w:sz="4" w:color="D9E0E7"/>
              <w:insideV w:val="single" w:sz="4" w:color="D9E0E7"/>
            </w:tcBorders>
          </w:tcPr>
          <w:p>
            <w:pPr>
              <w:spacing w:after="0"/>
            </w:pPr>
            <w:r>
              <w:rPr>
                <w:b/>
                <w:color w:val="FFFFFF"/>
                <w:sz w:val="16"/>
              </w:rPr>
              <w:t>Fraud recall</w:t>
            </w:r>
          </w:p>
        </w:tc>
        <w:tc>
          <w:tcPr>
            <w:tcW w:type="dxa" w:w="2952"/>
            <w:vAlign w:val="center"/>
            <w:shd w:fill="173A5A"/>
            <w:tcBorders>
              <w:top w:val="single" w:sz="4" w:color="D9E0E7"/>
              <w:left w:val="single" w:sz="4" w:color="D9E0E7"/>
              <w:bottom w:val="single" w:sz="4" w:color="D9E0E7"/>
              <w:right w:val="single" w:sz="4" w:color="D9E0E7"/>
              <w:insideH w:val="single" w:sz="4" w:color="D9E0E7"/>
              <w:insideV w:val="single" w:sz="4" w:color="D9E0E7"/>
            </w:tcBorders>
          </w:tcPr>
          <w:p>
            <w:pPr>
              <w:spacing w:after="0"/>
            </w:pPr>
            <w:r>
              <w:rPr>
                <w:b/>
                <w:color w:val="FFFFFF"/>
                <w:sz w:val="16"/>
              </w:rPr>
              <w:t>Interpretation</w:t>
            </w:r>
          </w:p>
        </w:tc>
      </w:tr>
      <w:tr>
        <w:tc>
          <w:tcPr>
            <w:tcW w:type="dxa" w:w="2477"/>
            <w:vAlign w:val="center"/>
            <w:tcBorders>
              <w:top w:val="single" w:sz="4" w:color="D9E0E7"/>
              <w:left w:val="single" w:sz="4" w:color="D9E0E7"/>
              <w:bottom w:val="single" w:sz="4" w:color="D9E0E7"/>
              <w:right w:val="single" w:sz="4" w:color="D9E0E7"/>
              <w:insideH w:val="single" w:sz="4" w:color="D9E0E7"/>
              <w:insideV w:val="single" w:sz="4" w:color="D9E0E7"/>
            </w:tcBorders>
          </w:tcPr>
          <w:p>
            <w:pPr>
              <w:spacing w:after="0" w:line="240" w:lineRule="auto"/>
            </w:pPr>
            <w:r>
              <w:rPr>
                <w:sz w:val="15"/>
              </w:rPr>
              <w:t>Base, sequence score</w:t>
            </w:r>
          </w:p>
        </w:tc>
        <w:tc>
          <w:tcPr>
            <w:tcW w:type="dxa" w:w="1800"/>
            <w:vAlign w:val="center"/>
            <w:tcBorders>
              <w:top w:val="single" w:sz="4" w:color="D9E0E7"/>
              <w:left w:val="single" w:sz="4" w:color="D9E0E7"/>
              <w:bottom w:val="single" w:sz="4" w:color="D9E0E7"/>
              <w:right w:val="single" w:sz="4" w:color="D9E0E7"/>
              <w:insideH w:val="single" w:sz="4" w:color="D9E0E7"/>
              <w:insideV w:val="single" w:sz="4" w:color="D9E0E7"/>
            </w:tcBorders>
          </w:tcPr>
          <w:p>
            <w:pPr>
              <w:spacing w:after="0" w:line="240" w:lineRule="auto"/>
            </w:pPr>
            <w:r>
              <w:rPr>
                <w:sz w:val="15"/>
              </w:rPr>
              <w:t>85.9% (61/71)</w:t>
            </w:r>
          </w:p>
        </w:tc>
        <w:tc>
          <w:tcPr>
            <w:tcW w:type="dxa" w:w="1973"/>
            <w:vAlign w:val="center"/>
            <w:tcBorders>
              <w:top w:val="single" w:sz="4" w:color="D9E0E7"/>
              <w:left w:val="single" w:sz="4" w:color="D9E0E7"/>
              <w:bottom w:val="single" w:sz="4" w:color="D9E0E7"/>
              <w:right w:val="single" w:sz="4" w:color="D9E0E7"/>
              <w:insideH w:val="single" w:sz="4" w:color="D9E0E7"/>
              <w:insideV w:val="single" w:sz="4" w:color="D9E0E7"/>
            </w:tcBorders>
          </w:tcPr>
          <w:p>
            <w:pPr>
              <w:spacing w:after="0" w:line="240" w:lineRule="auto"/>
            </w:pPr>
            <w:r>
              <w:rPr>
                <w:sz w:val="15"/>
              </w:rPr>
              <w:t>42.9% (6/14)</w:t>
            </w:r>
          </w:p>
        </w:tc>
        <w:tc>
          <w:tcPr>
            <w:tcW w:type="dxa" w:w="2952"/>
            <w:vAlign w:val="center"/>
            <w:tcBorders>
              <w:top w:val="single" w:sz="4" w:color="D9E0E7"/>
              <w:left w:val="single" w:sz="4" w:color="D9E0E7"/>
              <w:bottom w:val="single" w:sz="4" w:color="D9E0E7"/>
              <w:right w:val="single" w:sz="4" w:color="D9E0E7"/>
              <w:insideH w:val="single" w:sz="4" w:color="D9E0E7"/>
              <w:insideV w:val="single" w:sz="4" w:color="D9E0E7"/>
            </w:tcBorders>
          </w:tcPr>
          <w:p>
            <w:pPr>
              <w:spacing w:after="0" w:line="240" w:lineRule="auto"/>
            </w:pPr>
            <w:r>
              <w:rPr>
                <w:sz w:val="15"/>
              </w:rPr>
              <w:t>Same as adapted model</w:t>
            </w:r>
          </w:p>
        </w:tc>
      </w:tr>
      <w:tr>
        <w:tc>
          <w:tcPr>
            <w:tcW w:type="dxa" w:w="2477"/>
            <w:vAlign w:val="center"/>
            <w:tcBorders>
              <w:top w:val="single" w:sz="4" w:color="D9E0E7"/>
              <w:left w:val="single" w:sz="4" w:color="D9E0E7"/>
              <w:bottom w:val="single" w:sz="4" w:color="D9E0E7"/>
              <w:right w:val="single" w:sz="4" w:color="D9E0E7"/>
              <w:insideH w:val="single" w:sz="4" w:color="D9E0E7"/>
              <w:insideV w:val="single" w:sz="4" w:color="D9E0E7"/>
            </w:tcBorders>
            <w:shd w:fill="F1F5F8"/>
          </w:tcPr>
          <w:p>
            <w:pPr>
              <w:spacing w:after="0" w:line="240" w:lineRule="auto"/>
            </w:pPr>
            <w:r>
              <w:rPr>
                <w:sz w:val="15"/>
              </w:rPr>
              <w:t>LoRA adapted, sequence score</w:t>
            </w:r>
          </w:p>
        </w:tc>
        <w:tc>
          <w:tcPr>
            <w:tcW w:type="dxa" w:w="1800"/>
            <w:vAlign w:val="center"/>
            <w:tcBorders>
              <w:top w:val="single" w:sz="4" w:color="D9E0E7"/>
              <w:left w:val="single" w:sz="4" w:color="D9E0E7"/>
              <w:bottom w:val="single" w:sz="4" w:color="D9E0E7"/>
              <w:right w:val="single" w:sz="4" w:color="D9E0E7"/>
              <w:insideH w:val="single" w:sz="4" w:color="D9E0E7"/>
              <w:insideV w:val="single" w:sz="4" w:color="D9E0E7"/>
            </w:tcBorders>
            <w:shd w:fill="F1F5F8"/>
          </w:tcPr>
          <w:p>
            <w:pPr>
              <w:spacing w:after="0" w:line="240" w:lineRule="auto"/>
            </w:pPr>
            <w:r>
              <w:rPr>
                <w:sz w:val="15"/>
              </w:rPr>
              <w:t>85.9% (61/71)</w:t>
            </w:r>
          </w:p>
        </w:tc>
        <w:tc>
          <w:tcPr>
            <w:tcW w:type="dxa" w:w="1973"/>
            <w:vAlign w:val="center"/>
            <w:tcBorders>
              <w:top w:val="single" w:sz="4" w:color="D9E0E7"/>
              <w:left w:val="single" w:sz="4" w:color="D9E0E7"/>
              <w:bottom w:val="single" w:sz="4" w:color="D9E0E7"/>
              <w:right w:val="single" w:sz="4" w:color="D9E0E7"/>
              <w:insideH w:val="single" w:sz="4" w:color="D9E0E7"/>
              <w:insideV w:val="single" w:sz="4" w:color="D9E0E7"/>
            </w:tcBorders>
            <w:shd w:fill="F1F5F8"/>
          </w:tcPr>
          <w:p>
            <w:pPr>
              <w:spacing w:after="0" w:line="240" w:lineRule="auto"/>
            </w:pPr>
            <w:r>
              <w:rPr>
                <w:sz w:val="15"/>
              </w:rPr>
              <w:t>42.9% (6/14)</w:t>
            </w:r>
          </w:p>
        </w:tc>
        <w:tc>
          <w:tcPr>
            <w:tcW w:type="dxa" w:w="2952"/>
            <w:vAlign w:val="center"/>
            <w:tcBorders>
              <w:top w:val="single" w:sz="4" w:color="D9E0E7"/>
              <w:left w:val="single" w:sz="4" w:color="D9E0E7"/>
              <w:bottom w:val="single" w:sz="4" w:color="D9E0E7"/>
              <w:right w:val="single" w:sz="4" w:color="D9E0E7"/>
              <w:insideH w:val="single" w:sz="4" w:color="D9E0E7"/>
              <w:insideV w:val="single" w:sz="4" w:color="D9E0E7"/>
            </w:tcBorders>
            <w:shd w:fill="F1F5F8"/>
          </w:tcPr>
          <w:p>
            <w:pPr>
              <w:spacing w:after="0" w:line="240" w:lineRule="auto"/>
            </w:pPr>
            <w:r>
              <w:rPr>
                <w:sz w:val="15"/>
              </w:rPr>
              <w:t>No measured improvement</w:t>
            </w:r>
          </w:p>
        </w:tc>
      </w:tr>
      <w:tr>
        <w:tc>
          <w:tcPr>
            <w:tcW w:type="dxa" w:w="2477"/>
            <w:vAlign w:val="center"/>
            <w:tcBorders>
              <w:top w:val="single" w:sz="4" w:color="D9E0E7"/>
              <w:left w:val="single" w:sz="4" w:color="D9E0E7"/>
              <w:bottom w:val="single" w:sz="4" w:color="D9E0E7"/>
              <w:right w:val="single" w:sz="4" w:color="D9E0E7"/>
              <w:insideH w:val="single" w:sz="4" w:color="D9E0E7"/>
              <w:insideV w:val="single" w:sz="4" w:color="D9E0E7"/>
            </w:tcBorders>
          </w:tcPr>
          <w:p>
            <w:pPr>
              <w:spacing w:after="0" w:line="240" w:lineRule="auto"/>
            </w:pPr>
            <w:r>
              <w:rPr>
                <w:sz w:val="15"/>
              </w:rPr>
              <w:t>Mean-token score sensitivity</w:t>
            </w:r>
          </w:p>
        </w:tc>
        <w:tc>
          <w:tcPr>
            <w:tcW w:type="dxa" w:w="1800"/>
            <w:vAlign w:val="center"/>
            <w:tcBorders>
              <w:top w:val="single" w:sz="4" w:color="D9E0E7"/>
              <w:left w:val="single" w:sz="4" w:color="D9E0E7"/>
              <w:bottom w:val="single" w:sz="4" w:color="D9E0E7"/>
              <w:right w:val="single" w:sz="4" w:color="D9E0E7"/>
              <w:insideH w:val="single" w:sz="4" w:color="D9E0E7"/>
              <w:insideV w:val="single" w:sz="4" w:color="D9E0E7"/>
            </w:tcBorders>
          </w:tcPr>
          <w:p>
            <w:pPr>
              <w:spacing w:after="0" w:line="240" w:lineRule="auto"/>
            </w:pPr>
            <w:r>
              <w:rPr>
                <w:sz w:val="15"/>
              </w:rPr>
              <w:t>84.5% (60/71)</w:t>
            </w:r>
          </w:p>
        </w:tc>
        <w:tc>
          <w:tcPr>
            <w:tcW w:type="dxa" w:w="1973"/>
            <w:vAlign w:val="center"/>
            <w:tcBorders>
              <w:top w:val="single" w:sz="4" w:color="D9E0E7"/>
              <w:left w:val="single" w:sz="4" w:color="D9E0E7"/>
              <w:bottom w:val="single" w:sz="4" w:color="D9E0E7"/>
              <w:right w:val="single" w:sz="4" w:color="D9E0E7"/>
              <w:insideH w:val="single" w:sz="4" w:color="D9E0E7"/>
              <w:insideV w:val="single" w:sz="4" w:color="D9E0E7"/>
            </w:tcBorders>
          </w:tcPr>
          <w:p>
            <w:pPr>
              <w:spacing w:after="0" w:line="240" w:lineRule="auto"/>
            </w:pPr>
            <w:r>
              <w:rPr>
                <w:sz w:val="15"/>
              </w:rPr>
              <w:t>35.7% (5/14)</w:t>
            </w:r>
          </w:p>
        </w:tc>
        <w:tc>
          <w:tcPr>
            <w:tcW w:type="dxa" w:w="2952"/>
            <w:vAlign w:val="center"/>
            <w:tcBorders>
              <w:top w:val="single" w:sz="4" w:color="D9E0E7"/>
              <w:left w:val="single" w:sz="4" w:color="D9E0E7"/>
              <w:bottom w:val="single" w:sz="4" w:color="D9E0E7"/>
              <w:right w:val="single" w:sz="4" w:color="D9E0E7"/>
              <w:insideH w:val="single" w:sz="4" w:color="D9E0E7"/>
              <w:insideV w:val="single" w:sz="4" w:color="D9E0E7"/>
            </w:tcBorders>
          </w:tcPr>
          <w:p>
            <w:pPr>
              <w:spacing w:after="0" w:line="240" w:lineRule="auto"/>
            </w:pPr>
            <w:r>
              <w:rPr>
                <w:sz w:val="15"/>
              </w:rPr>
              <w:t>Conclusion depends on scoring</w:t>
            </w:r>
          </w:p>
        </w:tc>
      </w:tr>
      <w:tr>
        <w:tc>
          <w:tcPr>
            <w:tcW w:type="dxa" w:w="2477"/>
            <w:vAlign w:val="center"/>
            <w:tcBorders>
              <w:top w:val="single" w:sz="4" w:color="D9E0E7"/>
              <w:left w:val="single" w:sz="4" w:color="D9E0E7"/>
              <w:bottom w:val="single" w:sz="4" w:color="D9E0E7"/>
              <w:right w:val="single" w:sz="4" w:color="D9E0E7"/>
              <w:insideH w:val="single" w:sz="4" w:color="D9E0E7"/>
              <w:insideV w:val="single" w:sz="4" w:color="D9E0E7"/>
            </w:tcBorders>
            <w:shd w:fill="F1F5F8"/>
          </w:tcPr>
          <w:p>
            <w:pPr>
              <w:spacing w:after="0" w:line="240" w:lineRule="auto"/>
            </w:pPr>
            <w:r>
              <w:rPr>
                <w:sz w:val="15"/>
              </w:rPr>
              <w:t>Majority billing baseline</w:t>
            </w:r>
          </w:p>
        </w:tc>
        <w:tc>
          <w:tcPr>
            <w:tcW w:type="dxa" w:w="1800"/>
            <w:vAlign w:val="center"/>
            <w:tcBorders>
              <w:top w:val="single" w:sz="4" w:color="D9E0E7"/>
              <w:left w:val="single" w:sz="4" w:color="D9E0E7"/>
              <w:bottom w:val="single" w:sz="4" w:color="D9E0E7"/>
              <w:right w:val="single" w:sz="4" w:color="D9E0E7"/>
              <w:insideH w:val="single" w:sz="4" w:color="D9E0E7"/>
              <w:insideV w:val="single" w:sz="4" w:color="D9E0E7"/>
            </w:tcBorders>
            <w:shd w:fill="F1F5F8"/>
          </w:tcPr>
          <w:p>
            <w:pPr>
              <w:spacing w:after="0" w:line="240" w:lineRule="auto"/>
            </w:pPr>
            <w:r>
              <w:rPr>
                <w:sz w:val="15"/>
              </w:rPr>
              <w:t>80.3% (57/71)</w:t>
            </w:r>
          </w:p>
        </w:tc>
        <w:tc>
          <w:tcPr>
            <w:tcW w:type="dxa" w:w="1973"/>
            <w:vAlign w:val="center"/>
            <w:tcBorders>
              <w:top w:val="single" w:sz="4" w:color="D9E0E7"/>
              <w:left w:val="single" w:sz="4" w:color="D9E0E7"/>
              <w:bottom w:val="single" w:sz="4" w:color="D9E0E7"/>
              <w:right w:val="single" w:sz="4" w:color="D9E0E7"/>
              <w:insideH w:val="single" w:sz="4" w:color="D9E0E7"/>
              <w:insideV w:val="single" w:sz="4" w:color="D9E0E7"/>
            </w:tcBorders>
            <w:shd w:fill="F1F5F8"/>
          </w:tcPr>
          <w:p>
            <w:pPr>
              <w:spacing w:after="0" w:line="240" w:lineRule="auto"/>
            </w:pPr>
            <w:r>
              <w:rPr>
                <w:sz w:val="15"/>
              </w:rPr>
              <w:t>0% (0/14)</w:t>
            </w:r>
          </w:p>
        </w:tc>
        <w:tc>
          <w:tcPr>
            <w:tcW w:type="dxa" w:w="2952"/>
            <w:vAlign w:val="center"/>
            <w:tcBorders>
              <w:top w:val="single" w:sz="4" w:color="D9E0E7"/>
              <w:left w:val="single" w:sz="4" w:color="D9E0E7"/>
              <w:bottom w:val="single" w:sz="4" w:color="D9E0E7"/>
              <w:right w:val="single" w:sz="4" w:color="D9E0E7"/>
              <w:insideH w:val="single" w:sz="4" w:color="D9E0E7"/>
              <w:insideV w:val="single" w:sz="4" w:color="D9E0E7"/>
            </w:tcBorders>
            <w:shd w:fill="F1F5F8"/>
          </w:tcPr>
          <w:p>
            <w:pPr>
              <w:spacing w:after="0" w:line="240" w:lineRule="auto"/>
            </w:pPr>
            <w:r>
              <w:rPr>
                <w:sz w:val="15"/>
              </w:rPr>
              <w:t>Accuracy alone is inadequate</w:t>
            </w:r>
          </w:p>
        </w:tc>
      </w:tr>
    </w:tbl>
    <w:p>
      <w:pPr>
        <w:spacing w:before="40" w:after="0"/>
      </w:pPr>
      <w:r>
        <w:rPr>
          <w:i/>
          <w:sz w:val="16"/>
        </w:rPr>
        <w:t>Sequence-score confusion: billing 55 correct / 2 fraud false positives; fraud 6 correct / 8 missed. Mean-token scoring misses 9 of 14 fraud cases.</w:t>
      </w:r>
    </w:p>
    <w:p>
      <w:r>
        <w:br w:type="page"/>
      </w:r>
    </w:p>
    <w:p>
      <w:pPr>
        <w:pStyle w:val="Heading1"/>
      </w:pPr>
      <w:r>
        <w:t>Independent recommendation</w:t>
      </w:r>
    </w:p>
    <w:p>
      <w:r>
        <w:t>Do not adopt this LoRA candidate on current evidence. It provides no internal-validation gain over base, uses about 62.2 GiB peak GPU memory, and misses 8 of 14 fraud/security cases under the primary sequence score. On only 14 fraud cases, recall is uncertain; the scoring sensitivity (85.9% versus 84.5% accuracy) further weakens any claim of a robust difference. The labels are synthetic instructional references, not adjudicated bank policy. Before selecting among base, prompted, and adapted systems, freeze one shared split, prompt, and scoring rule; report the majority baseline, confusion matrix, per-class precision/recall/F1, macro-F1, latency, and cost. Do not tune on the official holdout. Employee review remains mandatory, especially for ambiguous or insufficient-evidence cases.</w:t>
      </w:r>
    </w:p>
    <w:p>
      <w:pPr>
        <w:pStyle w:val="Heading1"/>
      </w:pPr>
      <w:r>
        <w:t>Team handoff and evidence trail</w:t>
      </w:r>
    </w:p>
    <w:p>
      <w:r>
        <w:t>Candidate files are isolated on the personal branch louyinuo/a6-lora-candidate. The implementation and aggregate-evidence commit is eba757b; this final record is a follow-on branch update. The revised run script, portable configuration, aggregate result, and evidence excerpt are included in the package. The repo has no remote configured, so no GitHub push is claimed. Review the corrected token-boundary handling, job 253 result, identical adapter-reload predictions, and the comparison protocol before deciding whether to carry any code into the team prototype. Two official held-out examples were inadvertently previewed in an earlier session; they were not used for training or tuning. The team should document this exposure and decide how it affects the final evaluation.</w:t>
      </w:r>
    </w:p>
    <w:p>
      <w:pPr>
        <w:pStyle w:val="Heading1"/>
      </w:pPr>
      <w:r>
        <w:t>AI use and verification</w:t>
      </w:r>
    </w:p>
    <w:p>
      <w:r>
        <w:t>AI assisted with implementation, debugging, and drafting. The reported hardware, software versions, training counts, metrics, runtime, memory, and reload parity were checked against the DGX job 253 result and log through JupyterLab. The evidence is a Development-only diagnostic; it is not a held-out test or production approval. I will personally review the package and make sure this record reflects my understanding before submitting.</w:t>
      </w:r>
    </w:p>
    <w:p>
      <w:pPr>
        <w:spacing w:before="40" w:after="0"/>
      </w:pPr>
      <w:r>
        <w:rPr>
          <w:b/>
        </w:rPr>
        <w:t xml:space="preserve">Reflection (123 words). </w:t>
      </w:r>
      <w:r>
        <w:t>AI helped me move from the team's routing problem to a runnable experiment and made the autograd failure easier to diagnose. The most transferable lesson was that a prompt and answer may not tokenize independently at their text boundary; checking the actual token prefix changed how I will build future causal-language-model training pipelines. I also learned that a completed run is not evidence of a useful adapter: base and adapted predictions were identical, while fraud recall remained low and changed with the scoring rule. Before submission, I will review the DGX evidence and code myself, and I will explain these limits to my team. I would compare base, prompted, and adapted systems on one frozen protocol before recommending any model for employee-assisted use.</w:t>
      </w:r>
    </w:p>
    <w:sectPr w:rsidR="00FC693F" w:rsidRPr="0006063C" w:rsidSect="00034616">
      <w:footerReference w:type="default" r:id="rId9"/>
      <w:pgSz w:w="12240" w:h="15840"/>
      <w:pgMar w:top="792" w:right="979" w:bottom="792"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E7882"/>
        <w:sz w:val="15"/>
      </w:rPr>
      <w:t>Assignment 6 | Candidate experiment, not a production approval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7" w:lineRule="auto"/>
    </w:pPr>
    <w:rPr>
      <w:rFonts w:ascii="Aptos" w:hAnsi="Aptos"/>
      <w:color w:val="27313B"/>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50"/>
      <w:outlineLvl w:val="0"/>
    </w:pPr>
    <w:rPr>
      <w:rFonts w:asciiTheme="majorHAnsi" w:eastAsiaTheme="majorEastAsia" w:hAnsiTheme="majorHAnsi" w:cstheme="majorBidi" w:ascii="Aptos Display" w:hAnsi="Aptos Display"/>
      <w:b/>
      <w:bCs/>
      <w:color w:val="12273B"/>
      <w:sz w:val="23"/>
      <w:szCs w:val="28"/>
    </w:rPr>
  </w:style>
  <w:style w:type="paragraph" w:styleId="Heading2">
    <w:name w:val="heading 2"/>
    <w:basedOn w:val="Normal"/>
    <w:next w:val="Normal"/>
    <w:link w:val="Heading2Char"/>
    <w:uiPriority w:val="9"/>
    <w:unhideWhenUsed/>
    <w:qFormat/>
    <w:rsid w:val="00FC693F"/>
    <w:pPr>
      <w:keepNext/>
      <w:keepLines/>
      <w:spacing w:before="80" w:after="50"/>
      <w:outlineLvl w:val="1"/>
    </w:pPr>
    <w:rPr>
      <w:rFonts w:asciiTheme="majorHAnsi" w:eastAsiaTheme="majorEastAsia" w:hAnsiTheme="majorHAnsi" w:cstheme="majorBidi" w:ascii="Aptos Display" w:hAnsi="Aptos Display"/>
      <w:b/>
      <w:bCs/>
      <w:color w:val="12273B"/>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50" w:line="240" w:lineRule="auto" w:before="80"/>
      <w:contextualSpacing/>
    </w:pPr>
    <w:rPr>
      <w:rFonts w:asciiTheme="majorHAnsi" w:eastAsiaTheme="majorEastAsia" w:hAnsiTheme="majorHAnsi" w:cstheme="majorBidi" w:ascii="Aptos Display" w:hAnsi="Aptos Display"/>
      <w:b/>
      <w:color w:val="12273B"/>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