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Agents in Bank Complaint Handling</w:t>
      </w:r>
    </w:p>
    <w:p>
      <w:pPr>
        <w:pStyle w:val="Subtitle"/>
        <w:widowControl/>
      </w:pPr>
      <w:r>
        <w:t>Creative destruction analysis with actual ChatGPT trial evidence</w:t>
      </w:r>
    </w:p>
    <w:p>
      <w:pPr>
        <w:widowControl/>
      </w:pPr>
      <w:r>
        <w:t>Lester Wang | Assignment 2 | 11 October 2026</w:t>
      </w:r>
    </w:p>
    <w:p>
      <w:pPr>
        <w:widowControl/>
      </w:pPr>
      <w:r>
        <w:t>This report evaluates a hypothetical US retail-bank application. Four actual ChatGPT trials, an observed weakness and independent retest, and a private personal GitHub version record are included. The provisional bank recommendation is a bounded employee-assisted evaluation. No banking system was deployed.</w:t>
      </w:r>
    </w:p>
    <w:p>
      <w:pPr>
        <w:pStyle w:val="Heading1"/>
      </w:pPr>
      <w:r>
        <w:t>Governing question and scenario</w:t>
      </w:r>
    </w:p>
    <w:p>
      <w:pPr>
        <w:widowControl/>
      </w:pPr>
      <w:r>
        <w:t>How much creative destruction could employee-assisted, tool-using AI cause in a retail bank's complaints business model, on what horizon, and what should management do now?</w:t>
      </w:r>
    </w:p>
    <w:p>
      <w:pPr>
        <w:widowControl/>
      </w:pPr>
      <w:r>
        <w:t>The primary case is a hypothetical medium-to-large US retail bank considering assistance with web-submitted credit-card billing disputes: understanding case narratives, gathering approved records and policy evidence, suggesting routing/escalation and drafting responses. Employees retain final authority. No actual bank data, customer outcomes or system access were used. The specialist built for this assignment evaluates the business implications of that proposed application.</w:t>
      </w:r>
    </w:p>
    <w:p>
      <w:pPr>
        <w:pStyle w:val="Heading1"/>
      </w:pPr>
      <w:r>
        <w:t>Three levels of finding</w:t>
      </w:r>
    </w:p>
    <w:p>
      <w:pPr>
        <w:widowControl/>
      </w:pPr>
      <w:r>
        <w:t>General technology: Tool-using AI can support information gathering and analysis; the technology label alone does not establish disruption, quality or economic value [S4].</w:t>
      </w:r>
    </w:p>
    <w:p>
      <w:pPr>
        <w:widowControl/>
      </w:pPr>
      <w:r>
        <w:t>Application: Complaint investigation and drafting may become less dependent on repeated manual lookup and administrative handoffs. Benefits depend on correct evidence, human review and actual resolution. The relevant real-world example is bank-reported testing [S2], with historical failure patterns motivating case tests [S3].</w:t>
      </w:r>
    </w:p>
    <w:p>
      <w:pPr>
        <w:widowControl/>
      </w:pPr>
      <w:r>
        <w:t>Organization: For the hypothetical bank, provisional potency is Moderate, primarily affecting a service/cost workflow. The same technology poses a stronger conditional revenue threat to a provider paid for human handling hours. Integration constraints change local readiness, not general technology capability.</w:t>
      </w:r>
    </w:p>
    <w:p>
      <w:pPr>
        <w:pStyle w:val="Heading1"/>
      </w:pPr>
      <w:r>
        <w:t>Business model baseline</w:t>
      </w:r>
    </w:p>
    <w:p>
      <w:pPr>
        <w:widowControl/>
      </w:pPr>
      <w:r>
        <w:t>The bank offers financial services to retail consumers through digital and human service channels. Financial products and relationships support revenue; complaint handling protects service quality and trust while consuming investigation, review and communication effort. Relevant capabilities are experienced handlers, controlled case records, reliable policy interpretation and accountable judgment. Staff and technology/service partners support the workflow. These are teaching-case assumptions, not verified facts about a named institution.</w:t>
      </w:r>
    </w:p>
    <w:p>
      <w:r>
        <w:br w:type="page"/>
      </w:r>
    </w:p>
    <w:p>
      <w:pPr>
        <w:pStyle w:val="Heading1"/>
      </w:pPr>
      <w:r>
        <w:t>Creative destruction and management action</w:t>
      </w:r>
    </w:p>
    <w:p>
      <w:pPr>
        <w:pStyle w:val="Heading1"/>
      </w:pPr>
      <w:r>
        <w:t>Creative destruction ledger</w:t>
      </w:r>
    </w:p>
    <w:p>
      <w:pPr>
        <w:widowControl/>
      </w:pPr>
      <w:r>
        <w:t>Create or enable: structured evidence gathering; clearer case summaries; assistance with routing and response drafting; feedback on recurring complaint causes; staff capacity for difficult investigation.</w:t>
      </w:r>
    </w:p>
    <w:p>
      <w:pPr>
        <w:widowControl/>
      </w:pPr>
      <w:r>
        <w:t>Displace or reduce: duplicate entry, routine lookup, standard drafting and some administrative handoffs; potentially purchased manual handling hours. Policy expertise and accountable case judgment remain complementary. A new review or quality-assurance burden could offset time savings.</w:t>
      </w:r>
    </w:p>
    <w:p>
      <w:pPr>
        <w:widowControl/>
      </w:pPr>
      <w:r>
        <w:t>The causal mechanism is substituting assisted organization of unstructured text and approved evidence for selected repetitive work. It does not by itself change the bank's financial product or revenue model. Bank-wide existential disruption is unsupported.</w:t>
      </w:r>
    </w:p>
    <w:p>
      <w:pPr>
        <w:pStyle w:val="Heading1"/>
      </w:pPr>
      <w:r>
        <w:t>Potency and matrix placement</w:t>
      </w:r>
    </w:p>
    <w:p>
      <w:pPr>
        <w:widowControl/>
      </w:pPr>
      <w:r>
        <w:t>Business-Model Disruption Potency: Moderate, provisional, for the complaints operating model. Matrix: Moderate severity and near-term material workflow impact under the primary case's readiness assumption. Figure 1.8 recommends Pilot or partner [S1]. The draft follows that action rather than recommending unrestricted automation.</w:t>
      </w:r>
    </w:p>
    <w:p>
      <w:pPr>
        <w:widowControl/>
      </w:pPr>
      <w:r>
        <w:t>Planning bins used for testing are near within 12 months, mid 12-36 months and far beyond 36 months. These are analyst-defined scenario bins, not textbook definitions or measured forecasts. The proposed 90-day pilot is a learning period, not a promise of enterprise transformation.</w:t>
      </w:r>
    </w:p>
    <w:p>
      <w:pPr>
        <w:pStyle w:val="Heading1"/>
      </w:pPr>
      <w:r>
        <w:t>Incumbent dilemma and bounded response</w:t>
      </w:r>
    </w:p>
    <w:p>
      <w:pPr>
        <w:widowControl/>
      </w:pPr>
      <w:r>
        <w:t>Management may need to reconsider routines, handling-based incentives, administrative roles and outsourcing arrangements while preserving investigative expertise. Acting early risks adding review/rework cost and harming service through unsupported conclusions. Waiting risks preserving inefficient arrangements and losing learning time if competitors improve service.</w:t>
      </w:r>
    </w:p>
    <w:p>
      <w:pPr>
        <w:widowControl/>
      </w:pPr>
      <w:r>
        <w:t>The complaints operations manager should sponsor a proposed 90-day employee-assisted pilot with risk and data owners. Start with approved de-identified retrospective cases; progress to live assistance only after authorization and access/audit readiness. Compare similar case types against human-only handling. Measure total resolution cost including reviewer effort and rework, correct escalation, unsupported statements, resolution time and repeated complaints. Set criteria before testing. Pause affected use after unauthorized actions, unsupported customer-impacting decisions or worsening outcomes. Do not approve staffing cuts from these examples.</w:t>
      </w:r>
    </w:p>
    <w:p>
      <w:pPr>
        <w:widowControl/>
      </w:pPr>
      <w:r>
        <w:t>One urgency trigger is independently checked evidence that a relevant competitor or supplier achieves sustained improvements in both total cost and customer outcomes. It would justify reassessing timing and competitive exposure; faster answer generation alone would not.</w:t>
      </w:r>
    </w:p>
    <w:p>
      <w:r>
        <w:br w:type="page"/>
      </w:r>
    </w:p>
    <w:p>
      <w:pPr>
        <w:pStyle w:val="Heading1"/>
      </w:pPr>
      <w:r>
        <w:t>Context comparison and evidence limits</w:t>
      </w:r>
    </w:p>
    <w:p>
      <w:pPr>
        <w:widowControl/>
      </w:pPr>
      <w:r>
        <w:t>The technology and source evidence remain the same. These actual context trials vary the economic model or local readiness; the classifications remain conditional teaching-case judgments.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tblHeader/>
        </w:trPr>
        <w:tc>
          <w:tcPr>
            <w:tcW w:type="dxa" w:w="2952"/>
            <w:vAlign w:val="center"/>
            <w:tcMar>
              <w:top w:w="95" w:type="dxa"/>
              <w:left w:w="95" w:type="dxa"/>
              <w:bottom w:w="95" w:type="dxa"/>
              <w:right w:w="95" w:type="dxa"/>
            </w:tcMar>
            <w:shd w:fill="E7E7E7"/>
          </w:tcPr>
          <w:p>
            <w:pPr>
              <w:spacing w:after="40" w:before="40"/>
            </w:pPr>
            <w:r>
              <w:rPr>
                <w:b/>
                <w:sz w:val="20"/>
              </w:rPr>
              <w:t>Context</w:t>
            </w:r>
          </w:p>
        </w:tc>
        <w:tc>
          <w:tcPr>
            <w:tcW w:type="dxa" w:w="1152"/>
            <w:vAlign w:val="center"/>
            <w:tcMar>
              <w:top w:w="95" w:type="dxa"/>
              <w:left w:w="95" w:type="dxa"/>
              <w:bottom w:w="95" w:type="dxa"/>
              <w:right w:w="95" w:type="dxa"/>
            </w:tcMar>
            <w:shd w:fill="E7E7E7"/>
          </w:tcPr>
          <w:p>
            <w:pPr>
              <w:spacing w:after="40" w:before="40"/>
            </w:pPr>
            <w:r>
              <w:rPr>
                <w:b/>
                <w:sz w:val="20"/>
              </w:rPr>
              <w:t>Potency</w:t>
            </w:r>
          </w:p>
        </w:tc>
        <w:tc>
          <w:tcPr>
            <w:tcW w:type="dxa" w:w="2376"/>
            <w:vAlign w:val="center"/>
            <w:tcMar>
              <w:top w:w="95" w:type="dxa"/>
              <w:left w:w="95" w:type="dxa"/>
              <w:bottom w:w="95" w:type="dxa"/>
              <w:right w:w="95" w:type="dxa"/>
            </w:tcMar>
            <w:shd w:fill="E7E7E7"/>
          </w:tcPr>
          <w:p>
            <w:pPr>
              <w:spacing w:after="40" w:before="40"/>
            </w:pPr>
            <w:r>
              <w:rPr>
                <w:b/>
                <w:sz w:val="20"/>
              </w:rPr>
              <w:t>Matrix placement</w:t>
            </w:r>
          </w:p>
        </w:tc>
        <w:tc>
          <w:tcPr>
            <w:tcW w:type="dxa" w:w="3384"/>
            <w:vAlign w:val="center"/>
            <w:tcMar>
              <w:top w:w="95" w:type="dxa"/>
              <w:left w:w="95" w:type="dxa"/>
              <w:bottom w:w="95" w:type="dxa"/>
              <w:right w:w="95" w:type="dxa"/>
            </w:tcMar>
            <w:shd w:fill="E7E7E7"/>
          </w:tcPr>
          <w:p>
            <w:pPr>
              <w:spacing w:after="40" w:before="40"/>
            </w:pPr>
            <w:r>
              <w:rPr>
                <w:b/>
                <w:sz w:val="20"/>
              </w:rPr>
              <w:t>Management action</w:t>
            </w:r>
          </w:p>
        </w:tc>
      </w:tr>
      <w:tr>
        <w:trPr/>
        <w:tc>
          <w:tcPr>
            <w:tcW w:type="dxa" w:w="2952"/>
            <w:vAlign w:val="center"/>
            <w:tcMar>
              <w:top w:w="95" w:type="dxa"/>
              <w:left w:w="95" w:type="dxa"/>
              <w:bottom w:w="95" w:type="dxa"/>
              <w:right w:w="95" w:type="dxa"/>
            </w:tcMar>
            <w:shd w:fill="FFFFFF"/>
          </w:tcPr>
          <w:p>
            <w:pPr>
              <w:spacing w:after="40" w:before="40"/>
            </w:pPr>
            <w:r>
              <w:rPr>
                <w:b w:val="0"/>
                <w:sz w:val="20"/>
              </w:rPr>
              <w:t>Retail bank</w:t>
            </w:r>
          </w:p>
        </w:tc>
        <w:tc>
          <w:tcPr>
            <w:tcW w:type="dxa" w:w="1152"/>
            <w:vAlign w:val="center"/>
            <w:tcMar>
              <w:top w:w="95" w:type="dxa"/>
              <w:left w:w="95" w:type="dxa"/>
              <w:bottom w:w="95" w:type="dxa"/>
              <w:right w:w="95" w:type="dxa"/>
            </w:tcMar>
            <w:shd w:fill="FFFFFF"/>
          </w:tcPr>
          <w:p>
            <w:pPr>
              <w:spacing w:after="40" w:before="40"/>
            </w:pPr>
            <w:r>
              <w:rPr>
                <w:b w:val="0"/>
                <w:sz w:val="20"/>
              </w:rPr>
              <w:t>Moderate</w:t>
            </w:r>
          </w:p>
        </w:tc>
        <w:tc>
          <w:tcPr>
            <w:tcW w:type="dxa" w:w="2376"/>
            <w:vAlign w:val="center"/>
            <w:tcMar>
              <w:top w:w="95" w:type="dxa"/>
              <w:left w:w="95" w:type="dxa"/>
              <w:bottom w:w="95" w:type="dxa"/>
              <w:right w:w="95" w:type="dxa"/>
            </w:tcMar>
            <w:shd w:fill="FFFFFF"/>
          </w:tcPr>
          <w:p>
            <w:pPr>
              <w:spacing w:after="40" w:before="40"/>
            </w:pPr>
            <w:r>
              <w:rPr>
                <w:b w:val="0"/>
                <w:sz w:val="20"/>
              </w:rPr>
              <w:t>Moderate / near</w:t>
            </w:r>
          </w:p>
        </w:tc>
        <w:tc>
          <w:tcPr>
            <w:tcW w:type="dxa" w:w="3384"/>
            <w:vAlign w:val="center"/>
            <w:tcMar>
              <w:top w:w="95" w:type="dxa"/>
              <w:left w:w="95" w:type="dxa"/>
              <w:bottom w:w="95" w:type="dxa"/>
              <w:right w:w="95" w:type="dxa"/>
            </w:tcMar>
            <w:shd w:fill="FFFFFF"/>
          </w:tcPr>
          <w:p>
            <w:pPr>
              <w:spacing w:after="40" w:before="40"/>
            </w:pPr>
            <w:r>
              <w:rPr>
                <w:b w:val="0"/>
                <w:sz w:val="20"/>
              </w:rPr>
              <w:t>Pilot or partner</w:t>
            </w:r>
          </w:p>
        </w:tc>
      </w:tr>
      <w:tr>
        <w:trPr/>
        <w:tc>
          <w:tcPr>
            <w:tcW w:type="dxa" w:w="2952"/>
            <w:vAlign w:val="center"/>
            <w:tcMar>
              <w:top w:w="95" w:type="dxa"/>
              <w:left w:w="95" w:type="dxa"/>
              <w:bottom w:w="95" w:type="dxa"/>
              <w:right w:w="95" w:type="dxa"/>
            </w:tcMar>
            <w:shd w:fill="F7F7F7"/>
          </w:tcPr>
          <w:p>
            <w:pPr>
              <w:spacing w:after="40" w:before="40"/>
            </w:pPr>
            <w:r>
              <w:rPr>
                <w:b w:val="0"/>
                <w:sz w:val="20"/>
              </w:rPr>
              <w:t>Labor-priced supplier</w:t>
            </w:r>
          </w:p>
        </w:tc>
        <w:tc>
          <w:tcPr>
            <w:tcW w:type="dxa" w:w="1152"/>
            <w:vAlign w:val="center"/>
            <w:tcMar>
              <w:top w:w="95" w:type="dxa"/>
              <w:left w:w="95" w:type="dxa"/>
              <w:bottom w:w="95" w:type="dxa"/>
              <w:right w:w="95" w:type="dxa"/>
            </w:tcMar>
            <w:shd w:fill="F7F7F7"/>
          </w:tcPr>
          <w:p>
            <w:pPr>
              <w:spacing w:after="40" w:before="40"/>
            </w:pPr>
            <w:r>
              <w:rPr>
                <w:b w:val="0"/>
                <w:sz w:val="20"/>
              </w:rPr>
              <w:t>High</w:t>
            </w:r>
          </w:p>
        </w:tc>
        <w:tc>
          <w:tcPr>
            <w:tcW w:type="dxa" w:w="2376"/>
            <w:vAlign w:val="center"/>
            <w:tcMar>
              <w:top w:w="95" w:type="dxa"/>
              <w:left w:w="95" w:type="dxa"/>
              <w:bottom w:w="95" w:type="dxa"/>
              <w:right w:w="95" w:type="dxa"/>
            </w:tcMar>
            <w:shd w:fill="F7F7F7"/>
          </w:tcPr>
          <w:p>
            <w:pPr>
              <w:spacing w:after="40" w:before="40"/>
            </w:pPr>
            <w:r>
              <w:rPr>
                <w:b w:val="0"/>
                <w:sz w:val="20"/>
              </w:rPr>
              <w:t>High / mid</w:t>
            </w:r>
          </w:p>
        </w:tc>
        <w:tc>
          <w:tcPr>
            <w:tcW w:type="dxa" w:w="3384"/>
            <w:vAlign w:val="center"/>
            <w:tcMar>
              <w:top w:w="95" w:type="dxa"/>
              <w:left w:w="95" w:type="dxa"/>
              <w:bottom w:w="95" w:type="dxa"/>
              <w:right w:w="95" w:type="dxa"/>
            </w:tcMar>
            <w:shd w:fill="F7F7F7"/>
          </w:tcPr>
          <w:p>
            <w:pPr>
              <w:spacing w:after="40" w:before="40"/>
            </w:pPr>
            <w:r>
              <w:rPr>
                <w:b w:val="0"/>
                <w:sz w:val="20"/>
              </w:rPr>
              <w:t>Prepare and pilot</w:t>
            </w:r>
          </w:p>
        </w:tc>
      </w:tr>
      <w:tr>
        <w:trPr/>
        <w:tc>
          <w:tcPr>
            <w:tcW w:type="dxa" w:w="2952"/>
            <w:vAlign w:val="center"/>
            <w:tcMar>
              <w:top w:w="95" w:type="dxa"/>
              <w:left w:w="95" w:type="dxa"/>
              <w:bottom w:w="95" w:type="dxa"/>
              <w:right w:w="95" w:type="dxa"/>
            </w:tcMar>
            <w:shd w:fill="FFFFFF"/>
          </w:tcPr>
          <w:p>
            <w:pPr>
              <w:spacing w:after="40" w:before="40"/>
            </w:pPr>
            <w:r>
              <w:rPr>
                <w:b w:val="0"/>
                <w:sz w:val="20"/>
              </w:rPr>
              <w:t>Bank with limited readiness</w:t>
            </w:r>
          </w:p>
        </w:tc>
        <w:tc>
          <w:tcPr>
            <w:tcW w:type="dxa" w:w="1152"/>
            <w:vAlign w:val="center"/>
            <w:tcMar>
              <w:top w:w="95" w:type="dxa"/>
              <w:left w:w="95" w:type="dxa"/>
              <w:bottom w:w="95" w:type="dxa"/>
              <w:right w:w="95" w:type="dxa"/>
            </w:tcMar>
            <w:shd w:fill="FFFFFF"/>
          </w:tcPr>
          <w:p>
            <w:pPr>
              <w:spacing w:after="40" w:before="40"/>
            </w:pPr>
            <w:r>
              <w:rPr>
                <w:b w:val="0"/>
                <w:sz w:val="20"/>
              </w:rPr>
              <w:t>Moderate</w:t>
            </w:r>
          </w:p>
        </w:tc>
        <w:tc>
          <w:tcPr>
            <w:tcW w:type="dxa" w:w="2376"/>
            <w:vAlign w:val="center"/>
            <w:tcMar>
              <w:top w:w="95" w:type="dxa"/>
              <w:left w:w="95" w:type="dxa"/>
              <w:bottom w:w="95" w:type="dxa"/>
              <w:right w:w="95" w:type="dxa"/>
            </w:tcMar>
            <w:shd w:fill="FFFFFF"/>
          </w:tcPr>
          <w:p>
            <w:pPr>
              <w:spacing w:after="40" w:before="40"/>
            </w:pPr>
            <w:r>
              <w:rPr>
                <w:b w:val="0"/>
                <w:sz w:val="20"/>
              </w:rPr>
              <w:t>Moderate / mid</w:t>
            </w:r>
          </w:p>
        </w:tc>
        <w:tc>
          <w:tcPr>
            <w:tcW w:type="dxa" w:w="3384"/>
            <w:vAlign w:val="center"/>
            <w:tcMar>
              <w:top w:w="95" w:type="dxa"/>
              <w:left w:w="95" w:type="dxa"/>
              <w:bottom w:w="95" w:type="dxa"/>
              <w:right w:w="95" w:type="dxa"/>
            </w:tcMar>
            <w:shd w:fill="FFFFFF"/>
          </w:tcPr>
          <w:p>
            <w:pPr>
              <w:spacing w:after="40" w:before="40"/>
            </w:pPr>
            <w:r>
              <w:rPr>
                <w:b w:val="0"/>
                <w:sz w:val="20"/>
              </w:rPr>
              <w:t>Monitor and build optionality</w:t>
            </w:r>
          </w:p>
        </w:tc>
      </w:tr>
    </w:tbl>
    <w:p>
      <w:pPr>
        <w:widowControl/>
      </w:pPr>
      <w:r>
        <w:t>Near means within 12 months; mid means 12-36 months. These are analyst-defined planning bins, not textbook definitions or verified forecasts.</w:t>
      </w:r>
    </w:p>
    <w:p>
      <w:pPr>
        <w:widowControl/>
      </w:pPr>
      <w:r>
        <w:t>The three actual revised context trials retain the same substantive assistance potential and absence of measured bank outcomes. Potency and management response change with labor-hour revenue and local readiness. Stability is a reviewed substantive finding, not identical wording or a statistical reliability result.</w:t>
      </w:r>
    </w:p>
    <w:p>
      <w:pPr>
        <w:widowControl/>
      </w:pPr>
      <w:r>
        <w:t>The actual baseline used range labels, mixed an underspecified supplier into the primary case and blurred evaluation time with material impact. The revised same-case trial improved these specific weaknesses. Original prompts, captured responses, run metadata, URLs and the detailed comparison are preserved; earlier authored fixtures are excluded from the actual-run count.</w:t>
      </w:r>
    </w:p>
    <w:p>
      <w:pPr>
        <w:pStyle w:val="Heading1"/>
      </w:pPr>
      <w:r>
        <w:t>Limits and team handoff</w:t>
      </w:r>
    </w:p>
    <w:p>
      <w:pPr>
        <w:widowControl/>
      </w:pPr>
      <w:r>
        <w:t>The bank and supplier assumptions are hypothetical; costs, quality, customer response and commercial viability are unmeasured. The strongest inference is that identical technology can affect a bank cost workflow and a supplier revenue model differently. The most exposed bank activities are routine evidence gathering and administrative processing. Preserve the conditional matrix placement, employee authority, lack of bank-specific economics and limitations of these small actual trials when integrating this specialist.</w:t>
      </w:r>
    </w:p>
    <w:p>
      <w:pPr>
        <w:pStyle w:val="Heading2"/>
      </w:pPr>
      <w:r>
        <w:t>Validation and student review</w:t>
      </w:r>
    </w:p>
    <w:p>
      <w:pPr>
        <w:widowControl/>
      </w:pPr>
      <w:r>
        <w:t>All four actual ChatGPT responses passed the course validator and all constraints in the frozen output schema. Frozen-core integrity passed. The primary retest improved category and impact-horizon specificity. These checks do not establish banking outcomes or statistical reliability. Student review of the independent judgment, reflection and disclosure remains required.</w:t>
      </w:r>
    </w:p>
    <w:p>
      <w:r>
        <w:br w:type="page"/>
      </w:r>
    </w:p>
    <w:p>
      <w:pPr>
        <w:pStyle w:val="Heading1"/>
      </w:pPr>
      <w:r>
        <w:t>Agent Record</w:t>
      </w:r>
    </w:p>
    <w:p>
      <w:r>
        <w:rPr>
          <w:b/>
        </w:rPr>
        <w:t xml:space="preserve">Agent and tested version  </w:t>
      </w:r>
      <w:r>
        <w:t>Emerging Technology Disruption Agent | Creative destruction and business-model disruption | 0.3-tested-candidate-20261011.</w:t>
      </w:r>
    </w:p>
    <w:p>
      <w:r>
        <w:rPr>
          <w:b/>
        </w:rPr>
        <w:t xml:space="preserve">Purpose  </w:t>
      </w:r>
      <w:r>
        <w:t>Support a management judgment about hypothetical employee-assisted credit-card dispute handling. The specialist does not process real complaints.</w:t>
      </w:r>
    </w:p>
    <w:p>
      <w:r>
        <w:rPr>
          <w:b/>
        </w:rPr>
        <w:t xml:space="preserve">Personal version record  </w:t>
      </w:r>
      <w:r>
        <w:t>Private repository: pingan1224/masy1800-emerging-technology-agents. Branch: assignment2/banking-disruption. Tested implementation: 676eb70a45239481080a88c36c61637828544e42. Canonical scaffold, initial actual baseline and revised tests have separate commits.</w:t>
      </w:r>
    </w:p>
    <w:p>
      <w:r>
        <w:rPr>
          <w:b/>
        </w:rPr>
        <w:t xml:space="preserve">Actual primary evidence  </w:t>
      </w:r>
      <w:r>
        <w:t>The v0.1 primary baseline was executed in ChatGPT. The v0.3 same-case retest used a fresh conversation. Full prompt packets, unedited UI-captured JSON, dates, URLs and run metadata are preserved.</w:t>
      </w:r>
    </w:p>
    <w:p>
      <w:r>
        <w:rPr>
          <w:b/>
        </w:rPr>
        <w:t xml:space="preserve">Observed weakness and revision  </w:t>
      </w:r>
      <w:r>
        <w:t>The baseline used range labels, mixed an unspecified supplier into the bank answer and confused evaluation time with material impact. v0.3 required a one-case boundary, one label, exact matrix action and qualified impact horizon. The retest improved these specific issues.</w:t>
      </w:r>
    </w:p>
    <w:p>
      <w:r>
        <w:rPr>
          <w:b/>
        </w:rPr>
        <w:t xml:space="preserve">Actual contrasts  </w:t>
      </w:r>
      <w:r>
        <w:t>Three revised contexts retain the same substantive technology potential and evidence limits. Labor-hour pricing raises provider exposure to High/mid; missing approved access delays the bank to Moderate/mid. The primary bank remains Moderate/near.</w:t>
      </w:r>
    </w:p>
    <w:p>
      <w:r>
        <w:rPr>
          <w:b/>
        </w:rPr>
        <w:t xml:space="preserve">Verification and limits  </w:t>
      </w:r>
      <w:r>
        <w:t>Four actual responses passed structure/schema checks; frozen core passed integrity checks. Outputs remain longer than the word target and run 03 has punctuation artifacts. Four runs do not establish reproducibility or real banking performance.</w:t>
      </w:r>
    </w:p>
    <w:p>
      <w:r>
        <w:rPr>
          <w:b/>
        </w:rPr>
        <w:t xml:space="preserve">Model and source provenance  </w:t>
      </w:r>
      <w:r>
        <w:t>UI label: ChatGPT; thinking strength: Medium; exact model version not exposed. ChatGPT used supplied source summaries without browsing. Codex checked source passages separately.</w:t>
      </w:r>
    </w:p>
    <w:p>
      <w:r>
        <w:rPr>
          <w:b/>
        </w:rPr>
        <w:t xml:space="preserve">Independent judgment and handoff  </w:t>
      </w:r>
      <w:r>
        <w:t>Judgment and reflection remain AI-assisted drafts for student review. Preserve conditional timing, exposed economic unit, evidence limits and final employee authority. No course submission or bank deployment occurred.</w:t>
      </w:r>
    </w:p>
    <w:p>
      <w:r>
        <w:br w:type="page"/>
      </w:r>
    </w:p>
    <w:p>
      <w:pPr>
        <w:pStyle w:val="Heading1"/>
      </w:pPr>
      <w:r>
        <w:t>Independent Professional Judgment</w:t>
      </w:r>
    </w:p>
    <w:p>
      <w:pPr>
        <w:widowControl/>
      </w:pPr>
      <w:r>
        <w:t>AI-assisted draft for student review and endorsement. The judgment below is intended to fit within half a page.</w:t>
      </w:r>
    </w:p>
    <w:p>
      <w:pPr>
        <w:widowControl/>
      </w:pPr>
      <w:r>
        <w:t>My provisional judgment is that employee-assisted AI complaint handling presents Moderate disruption potential for a retail bank's operating model. Its principal mechanism is reducing routine information gathering and drafting effort while improving the organization of case evidence. These changes can reshape tasks and supplier demand, but the evidence does not show that this application threatens the bank's core revenue model. I therefore regard it primarily as a sustaining service improvement with creative destruction of selected work.</w:t>
      </w:r>
    </w:p>
    <w:p>
      <w:pPr>
        <w:widowControl/>
      </w:pPr>
      <w:r>
        <w:t>Under the hypothetical bank's readiness assumptions, I place the material workflow impact at Moderate severity and near-term, supporting a bounded pilot or partnership. I recommend a proposed 90-day employee-assisted pilot with approved data access, source traceability, audit records and final human authority. The decision should depend on actual resolution quality and total cost, including review and rework, rather than response speed alone. I would reassess urgency if independently checked competitor or supplier results demonstrate sustained advantages in both cost and customer outcomes. Bank-specific economics, deployment readiness and agent reliability remain unverified.</w:t>
      </w:r>
    </w:p>
    <w:p>
      <w:pPr>
        <w:pStyle w:val="Heading2"/>
      </w:pPr>
      <w:r>
        <w:t>AI and Verification Note</w:t>
      </w:r>
    </w:p>
    <w:p>
      <w:pPr>
        <w:widowControl/>
      </w:pPr>
      <w:r>
        <w:t>Codex assisted with design, source checking, drafts, browser trials, revisions, validation and GitHub records. Four real ChatGPT conversations produced one baseline, one primary retest and two contrasts. Full prompts, original captures, URLs, dates and run metadata are retained. ChatGPT used supplied summaries without browsing; Codex checked the sources separately. The UI showed ChatGPT with Medium thinking strength but no exact model version. Structural/schema and frozen-core checks passed. Classification and horizon specificity improved; excessive length and some punctuation artifacts remain. These small hypothetical-case trials do not establish banking reliability, economics or compliance. GitHub records are AI-assisted work in the student account. Personal judgment and reflection require student review.</w:t>
      </w:r>
    </w:p>
    <w:p>
      <w:pPr>
        <w:pStyle w:val="Heading2"/>
      </w:pPr>
      <w:r>
        <w:t>Craft Gained</w:t>
      </w:r>
    </w:p>
    <w:p>
      <w:pPr>
        <w:widowControl/>
      </w:pPr>
      <w:r>
        <w:t>Draft reflection for review and personalization | 92 words</w:t>
      </w:r>
    </w:p>
    <w:p>
      <w:pPr>
        <w:widowControl/>
      </w:pPr>
      <w:r>
        <w:t>Comparing the bank with a labor-priced complaints provider showed me that the same technology can improve one organization's existing service while threatening another's revenue basis. The important distinction is whose economic value is exposed, not how impressive the technology sounds. Reviewing the actual baseline and retest also showed why a valid JSON response can still leave classification and impact timing unclear. Next time, I will identify the exposed business-model element before assigning disruption potency, distinguish evidence from scenario assumptions, and evaluate total resolution cost and quality before treating automation as business value.</w:t>
      </w:r>
    </w:p>
    <w:p>
      <w:r>
        <w:br w:type="page"/>
      </w:r>
    </w:p>
    <w:p>
      <w:pPr>
        <w:pStyle w:val="Heading1"/>
      </w:pPr>
      <w:r>
        <w:t>Sources and evidence roles</w:t>
      </w:r>
    </w:p>
    <w:p>
      <w:pPr>
        <w:widowControl/>
      </w:pPr>
      <w:r>
        <w:t>Source passages were checked on 11 October 2026. Source IDs identify different evidence roles; none establishes the hypothetical bank's cost, case quality or commercial outcomes.</w:t>
      </w:r>
    </w:p>
    <w:p>
      <w:r>
        <w:rPr>
          <w:b/>
        </w:rPr>
        <w:t>S1  Chapter 1 Creative Destruction</w:t>
      </w:r>
    </w:p>
    <w:p>
      <w:pPr>
        <w:widowControl/>
      </w:pPr>
      <w:r>
        <w:t>Andres Fortino | Undated pre-publication course manuscript</w:t>
      </w:r>
    </w:p>
    <w:p>
      <w:pPr>
        <w:widowControl/>
      </w:pPr>
      <w:r>
        <w:t>Evidence role: Course conceptual framework. Use the sustaining/disruptive distinction, incumbent dilemma, and severity-by-time-horizon matrix to connect exposure with management action.</w:t>
      </w:r>
    </w:p>
    <w:p>
      <w:pPr>
        <w:widowControl/>
      </w:pPr>
      <w:r>
        <w:t>Limit: A conceptual lens, not evidence of this bank's economics. Historical and current examples elsewhere in the manuscript were not relied on as verified market facts.</w:t>
      </w:r>
    </w:p>
    <w:p>
      <w:pPr>
        <w:widowControl/>
      </w:pPr>
      <w:r>
        <w:t>Course manuscript: sections 1.6-1.8; Figure 1.8; PDF pages 10-12.</w:t>
      </w:r>
    </w:p>
    <w:p>
      <w:r>
        <w:rPr>
          <w:b/>
        </w:rPr>
        <w:t>S2  Collaborating with the Financial Conduct Authority on testing agentic AI</w:t>
      </w:r>
    </w:p>
    <w:p>
      <w:pPr>
        <w:widowControl/>
      </w:pPr>
      <w:r>
        <w:t>NatWest Group | 2026; URL filed under May</w:t>
      </w:r>
    </w:p>
    <w:p>
      <w:pPr>
        <w:widowControl/>
      </w:pPr>
      <w:r>
        <w:t>Evidence role: Bank self-reported testing evidence. NatWest describes testing an agentic complaints investigation system that combines multiple data sources and presents summaries for employee approval, with human oversight and performance checks.</w:t>
      </w:r>
    </w:p>
    <w:p>
      <w:pPr>
        <w:widowControl/>
      </w:pPr>
      <w:r>
        <w:t>Limit: UK example, bank self-report, and testing-stage evidence. It establishes a relevant use case, not independently verified ROI, autonomous resolution, or US compliance.</w:t>
      </w:r>
    </w:p>
    <w:p>
      <w:hyperlink r:id="rId11">
        <w:r>
          <w:rPr>
            <w:color w:val="000000"/>
            <w:u w:val="single"/>
          </w:rPr>
          <w:t>Read the original source</w:t>
        </w:r>
      </w:hyperlink>
    </w:p>
    <w:p>
      <w:r>
        <w:rPr>
          <w:b/>
        </w:rPr>
        <w:t>S3  Chatbots in consumer finance</w:t>
      </w:r>
    </w:p>
    <w:p>
      <w:pPr>
        <w:widowControl/>
      </w:pPr>
      <w:r>
        <w:t>Consumer Financial Protection Bureau | 2023-06-06</w:t>
      </w:r>
    </w:p>
    <w:p>
      <w:pPr>
        <w:widowControl/>
      </w:pPr>
      <w:r>
        <w:t>Evidence role: Historical regulator research. The report identifies weaknesses in recognizing and resolving disputes and in giving customers meaningful access to human help.</w:t>
      </w:r>
    </w:p>
    <w:p>
      <w:pPr>
        <w:widowControl/>
      </w:pPr>
      <w:r>
        <w:t>Limit: Older chatbot evidence, not a performance evaluation of current tool-using agents. Used to motivate failure tests, not to infer current adoption rates or detailed legal requirements.</w:t>
      </w:r>
    </w:p>
    <w:p>
      <w:hyperlink r:id="rId12">
        <w:r>
          <w:rPr>
            <w:color w:val="000000"/>
            <w:u w:val="single"/>
          </w:rPr>
          <w:t>Read the original source</w:t>
        </w:r>
      </w:hyperlink>
    </w:p>
    <w:p>
      <w:r>
        <w:rPr>
          <w:b/>
        </w:rPr>
        <w:t>S4  Building effective agents</w:t>
      </w:r>
    </w:p>
    <w:p>
      <w:pPr>
        <w:widowControl/>
      </w:pPr>
      <w:r>
        <w:t>Anthropic, Erik S. and Barry Zhang | Originally published 2024-12-19; page notes subsequent tooling changes</w:t>
      </w:r>
    </w:p>
    <w:p>
      <w:pPr>
        <w:widowControl/>
      </w:pPr>
      <w:r>
        <w:t>Evidence role: Primary technical guidance. Distinguishes predefined workflows from model-directed tool use and emphasizes a tradeoff between capability, cost, and accumulating errors.</w:t>
      </w:r>
    </w:p>
    <w:p>
      <w:pPr>
        <w:widowControl/>
      </w:pPr>
      <w:r>
        <w:t>Limit: Vendor guidance, not comparative evidence of banking outcomes. Current products or specific model recommendations are not used.</w:t>
      </w:r>
    </w:p>
    <w:p>
      <w:hyperlink r:id="rId13">
        <w:r>
          <w:rPr>
            <w:color w:val="000000"/>
            <w:u w:val="single"/>
          </w:rPr>
          <w:t>Read the original source</w:t>
        </w:r>
      </w:hyperlink>
    </w:p>
    <w:p>
      <w:r>
        <w:br w:type="page"/>
      </w:r>
    </w:p>
    <w:p>
      <w:pPr>
        <w:pStyle w:val="Heading1"/>
      </w:pPr>
      <w:r>
        <w:t>Actual ChatGPT trials and retest</w:t>
      </w:r>
    </w:p>
    <w:p>
      <w:pPr>
        <w:widowControl/>
      </w:pPr>
      <w:r>
        <w:t>All four trials ran in separate ChatGPT conversations on 11 October 2026. Full prompts were pasted as text attachments and run without browsing. Captures were saved only after the UI showed completion. Complete prompts, original JSON and run metadata accompany this report. UI screenshots were removed for privacy.</w:t>
      </w:r>
    </w:p>
    <w:p>
      <w:r>
        <w:rPr>
          <w:b/>
        </w:rPr>
        <w:t xml:space="preserve">01_primary_v0  </w:t>
      </w:r>
      <w:r>
        <w:t>2957 response-value words; course validator and all frozen-schema constraints passed.</w:t>
      </w:r>
    </w:p>
    <w:p>
      <w:hyperlink r:id="rId14">
        <w:r>
          <w:rPr>
            <w:color w:val="000000"/>
            <w:u w:val="single"/>
          </w:rPr>
          <w:t>Open the recorded ChatGPT conversation</w:t>
        </w:r>
      </w:hyperlink>
    </w:p>
    <w:p>
      <w:r>
        <w:rPr>
          <w:b/>
        </w:rPr>
        <w:t xml:space="preserve">02_primary_v0_3  </w:t>
      </w:r>
      <w:r>
        <w:t>2692 response-value words; course validator and all frozen-schema constraints passed.</w:t>
      </w:r>
    </w:p>
    <w:p>
      <w:hyperlink r:id="rId15">
        <w:r>
          <w:rPr>
            <w:color w:val="000000"/>
            <w:u w:val="single"/>
          </w:rPr>
          <w:t>Open the recorded ChatGPT conversation</w:t>
        </w:r>
      </w:hyperlink>
    </w:p>
    <w:p>
      <w:r>
        <w:rPr>
          <w:b/>
        </w:rPr>
        <w:t xml:space="preserve">03_contrast_1_v0_3  </w:t>
      </w:r>
      <w:r>
        <w:t>2544 response-value words; course validator and all frozen-schema constraints passed.</w:t>
      </w:r>
    </w:p>
    <w:p>
      <w:hyperlink r:id="rId16">
        <w:r>
          <w:rPr>
            <w:color w:val="000000"/>
            <w:u w:val="single"/>
          </w:rPr>
          <w:t>Open the recorded ChatGPT conversation</w:t>
        </w:r>
      </w:hyperlink>
    </w:p>
    <w:p>
      <w:r>
        <w:rPr>
          <w:b/>
        </w:rPr>
        <w:t xml:space="preserve">04_contrast_2_v0_3  </w:t>
      </w:r>
      <w:r>
        <w:t>2073 response-value words; course validator and all frozen-schema constraints passed.</w:t>
      </w:r>
    </w:p>
    <w:p>
      <w:hyperlink r:id="rId17">
        <w:r>
          <w:rPr>
            <w:color w:val="000000"/>
            <w:u w:val="single"/>
          </w:rPr>
          <w:t>Open the recorded ChatGPT conversation</w:t>
        </w:r>
      </w:hyperlink>
    </w:p>
    <w:p>
      <w:pPr>
        <w:pStyle w:val="Heading2"/>
      </w:pPr>
      <w:r>
        <w:t>Observed improvement and remaining weaknesses</w:t>
      </w:r>
    </w:p>
    <w:p>
      <w:pPr>
        <w:widowControl/>
      </w:pPr>
      <w:r>
        <w:t>The actual baseline described the bank as low-to-moderate and an underspecified supplier as moderate-to-high. It named an operational evaluation horizon without a precise material-impact matrix cell. The revised primary trial states Moderate, Moderate/near-term and pilot or partner, qualifies the timing as a planning assumption, and separates the 90-day learning window from material impact. The two revised contrasts produce coherent changes for labor-hour revenue exposure and missing local readiness.</w:t>
      </w:r>
    </w:p>
    <w:p>
      <w:pPr>
        <w:widowControl/>
      </w:pPr>
      <w:r>
        <w:t>This comparison was reviewed by Codex, not independently adjudicated by a human. Revised answers exceed the 900-1400-word target, and the supplier answer has punctuation artifacts. Raw captures remain unchanged. Proposed metrics and thresholds, including a 10% effort target in the primary retest, are proposals requiring approval; none is an observed outcome.</w:t>
      </w:r>
    </w:p>
    <w:p>
      <w:pPr>
        <w:pStyle w:val="Heading2"/>
      </w:pPr>
      <w:r>
        <w:t>Private GitHub version evidence</w:t>
      </w:r>
    </w:p>
    <w:p>
      <w:pPr>
        <w:widowControl/>
      </w:pPr>
      <w:r>
        <w:t>Branch: assignment2/banking-disruption. Tested implementation: 676eb70a45239481080a88c36c61637828544e42. Report and version documentation follow in a later commit. AI-assisted authoring and trials are disclosed.</w:t>
      </w:r>
    </w:p>
    <w:p>
      <w:hyperlink r:id="rId18">
        <w:r>
          <w:rPr>
            <w:color w:val="000000"/>
            <w:u w:val="single"/>
          </w:rPr>
          <w:t>Open the exact tested implementation commit</w:t>
        </w:r>
      </w:hyperlink>
    </w:p>
    <w:sectPr w:rsidR="00FC693F" w:rsidRPr="0006063C" w:rsidSect="00034616">
      <w:headerReference w:type="default" r:id="rId9"/>
      <w:footerReference w:type="default" r:id="rId10"/>
      <w:pgSz w:w="12240" w:h="15840"/>
      <w:pgMar w:top="1123" w:right="1181" w:bottom="1123"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Lester Wang  |  11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8"/>
      </w:rPr>
      <w:t>MASY1-GC 1800  |  Assignment 2  |  Actual ChatGPT trials recorded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twestgroup.com/news-and-insights/latest-stories/ai-and-data/2026/may/collaborating-with-the-financial-conduct-authority-on-testing-ag.html" TargetMode="External"/><Relationship Id="rId12" Type="http://schemas.openxmlformats.org/officeDocument/2006/relationships/hyperlink" Target="https://www.consumerfinance.gov/data-research/research-reports/chatbots-in-consumer-finance/chatbots-in-consumer-finance/" TargetMode="External"/><Relationship Id="rId13" Type="http://schemas.openxmlformats.org/officeDocument/2006/relationships/hyperlink" Target="https://www.anthropic.com/engineering/building-effective-agents" TargetMode="External"/><Relationship Id="rId14" Type="http://schemas.openxmlformats.org/officeDocument/2006/relationships/hyperlink" Target="https://chatgpt.com/c/6acbf3db-45dc-83e8-a63d-716efbf9fdcf" TargetMode="External"/><Relationship Id="rId15" Type="http://schemas.openxmlformats.org/officeDocument/2006/relationships/hyperlink" Target="https://chatgpt.com/c/6acbf4b3-6178-83e9-b356-bbed8be09626" TargetMode="External"/><Relationship Id="rId16" Type="http://schemas.openxmlformats.org/officeDocument/2006/relationships/hyperlink" Target="https://chatgpt.com/c/6acbf504-996c-83ea-a304-e3810986aebf" TargetMode="External"/><Relationship Id="rId17" Type="http://schemas.openxmlformats.org/officeDocument/2006/relationships/hyperlink" Target="https://chatgpt.com/c/6acbf5a5-3390-83e9-86e1-6d95d975727c" TargetMode="External"/><Relationship Id="rId18" Type="http://schemas.openxmlformats.org/officeDocument/2006/relationships/hyperlink" Target="https://github.com/pingan1224/masy1800-emerging-technology-agents/commit/676eb70a45239481080a88c36c61637828544e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