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732BD">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一、基于图形的交互式分析</w:t>
      </w:r>
    </w:p>
    <w:p w14:paraId="623E21F1">
      <w:pPr>
        <w:rPr>
          <w:rFonts w:hint="eastAsia"/>
        </w:rPr>
      </w:pPr>
    </w:p>
    <w:p w14:paraId="1B71451F">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rPr>
        <w:t>重点人群分布</w:t>
      </w:r>
      <w:r>
        <w:rPr>
          <w:rFonts w:hint="eastAsia" w:asciiTheme="majorEastAsia" w:hAnsiTheme="majorEastAsia" w:eastAsiaTheme="majorEastAsia" w:cstheme="majorEastAsia"/>
          <w:sz w:val="24"/>
          <w:szCs w:val="24"/>
          <w:lang w:eastAsia="zh-CN"/>
        </w:rPr>
        <w:t>：</w:t>
      </w:r>
    </w:p>
    <w:p w14:paraId="5410CC13">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在整个分组中，212群体的用户是相对集中且变化最大的</w:t>
      </w:r>
    </w:p>
    <w:p w14:paraId="73DA20F2">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从2016年到2017年用户群体数量变化不大，但到2018年增长了近一倍</w:t>
      </w:r>
    </w:p>
    <w:p w14:paraId="15083FA0">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这部分人群将作为重点分析人群</w:t>
      </w:r>
    </w:p>
    <w:p w14:paraId="67E9593E">
      <w:pPr>
        <w:rPr>
          <w:rFonts w:hint="eastAsia" w:asciiTheme="majorEastAsia" w:hAnsiTheme="majorEastAsia" w:eastAsiaTheme="majorEastAsia" w:cstheme="majorEastAsia"/>
          <w:sz w:val="24"/>
          <w:szCs w:val="24"/>
          <w:lang w:eastAsia="zh-CN"/>
        </w:rPr>
      </w:pPr>
      <w:r>
        <w:rPr>
          <w:rFonts w:hint="eastAsia" w:asciiTheme="majorEastAsia" w:hAnsiTheme="majorEastAsia" w:eastAsiaTheme="majorEastAsia" w:cstheme="majorEastAsia"/>
          <w:sz w:val="24"/>
          <w:szCs w:val="24"/>
        </w:rPr>
        <w:t>重点分组分布</w:t>
      </w:r>
      <w:r>
        <w:rPr>
          <w:rFonts w:hint="eastAsia" w:asciiTheme="majorEastAsia" w:hAnsiTheme="majorEastAsia" w:eastAsiaTheme="majorEastAsia" w:cstheme="majorEastAsia"/>
          <w:sz w:val="24"/>
          <w:szCs w:val="24"/>
          <w:lang w:eastAsia="zh-CN"/>
        </w:rPr>
        <w:t>：</w:t>
      </w:r>
    </w:p>
    <w:p w14:paraId="39831880">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除了212人群外，312、213、211及112人群都在各个年份占据很大数量</w:t>
      </w:r>
    </w:p>
    <w:p w14:paraId="08CDAB98">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虽然各自规模不大，但组合起来的总量超过212本身，也要重点做分析。</w:t>
      </w:r>
    </w:p>
    <w:p w14:paraId="4F2E746B">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如果拖动左侧的滑块，仅过滤出用户数量在4085以内的分组结果。观察图形发现，很多分组的人群非常少，甚至没有人</w:t>
      </w:r>
    </w:p>
    <w:p w14:paraId="31ECE1E4">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二、 RFM用户特征分析</w:t>
      </w:r>
    </w:p>
    <w:p w14:paraId="65A40B93">
      <w:pPr>
        <w:rPr>
          <w:rFonts w:hint="eastAsia"/>
          <w:lang w:val="en-US" w:eastAsia="zh-CN"/>
        </w:rPr>
      </w:pPr>
    </w:p>
    <w:p w14:paraId="3619A640">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经过上面的分析，得到了要分析的重点客户群体。可根据用户的量级分为两类</w:t>
      </w:r>
    </w:p>
    <w:p w14:paraId="7AEDBB53">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第1类是用户群体占比超过10%的群体</w:t>
      </w:r>
    </w:p>
    <w:p w14:paraId="53445651">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第2类是占比</w:t>
      </w:r>
      <w:bookmarkStart w:id="0" w:name="_GoBack"/>
      <w:bookmarkEnd w:id="0"/>
      <w:r>
        <w:rPr>
          <w:rFonts w:hint="eastAsia" w:asciiTheme="majorEastAsia" w:hAnsiTheme="majorEastAsia" w:eastAsiaTheme="majorEastAsia" w:cstheme="majorEastAsia"/>
          <w:sz w:val="24"/>
          <w:szCs w:val="24"/>
          <w:lang w:val="en-US" w:eastAsia="zh-CN"/>
        </w:rPr>
        <w:t>在个位数的群体。这两类人由于量级不同，因此需要分别有针对性的策略场景。</w:t>
      </w:r>
    </w:p>
    <w:p w14:paraId="02DB2F49">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除此以外，我们还会增加第3类人群，虽然从用户量级上小，但是单个人的价值度非常高。</w:t>
      </w:r>
    </w:p>
    <w:p w14:paraId="1F1EDCE7">
      <w:p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第1类人群：占比超过10%的群体。由于这类人群基数大，必须采取批量操作和运营的方式落地运营策略，一般需要通过系统或产品实现，而不能主要依赖于人工</w:t>
      </w:r>
    </w:p>
    <w:p w14:paraId="02E4F60C">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212：可发展的一般性群体。这类群体购买新近度和订单金额一般，且购买频率低。考虑到其最大的群体基础，以及在新近度和订单金额上都可以，因此可采取常规性的礼品兑换和赠送、购物社区活动、签到、免运费等手段维持并提升其消费状态。</w:t>
      </w:r>
    </w:p>
    <w:p w14:paraId="79AC2587">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211：可发展的低价值群体。这类群体相对于212群体在订单金额上表现略差，因此在211群体策略的基础上，可以增加与订单相关的刺激措施，例如组合商品优惠券发送、积分购买商品等</w:t>
      </w:r>
    </w:p>
    <w:p w14:paraId="07A1F1E5">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312：有潜力的一般性群体。这类群体购买新近度高，说明最近一次购买发生在很短时间之前，群体对于公司尚有比较熟悉的接触渠道和认知状态；购物频率低，说明对网站的忠诚度一般；订单金额处于中等层级，说明其还具有可提升的空间。因此，可以借助其最近购买的商品，为其定制一些与上次购买相关的商品，通过向上销售等策略提升购买频次和订单金额</w:t>
      </w:r>
    </w:p>
    <w:p w14:paraId="7A1A2D5A">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112：可挽回的一般性群体。这类群体购买新近度较低，说明距离上次购买时间较长，很可能用户已经处于沉默或预流失、流失阶段；购物频率低，说明对网站的忠诚度一般；订单金额处于中等层级，说明其还可能具有可提升的空间。因此，对这部分群体的策略首先是通过多种方式（例如邮件、短信等）触达客户并挽回，然后通过针对流失客户的专享优惠（例如流失用户专享优惠券）措施促进其消费。在此过程中，可通过增加接触频次和刺激力度的方式，增加用户的回访、复购以及订单价值回报</w:t>
      </w:r>
    </w:p>
    <w:p w14:paraId="0620ECA8">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213：可发展的高价值群体。这类人群发展的重点是提升购物频率，因此可指定不同的活动或事件来触达用户，促进其回访和购买，例如不同的节日活动、每周新品推送、高价值客户专享商品等。</w:t>
      </w:r>
    </w:p>
    <w:p w14:paraId="16536D25">
      <w:pPr>
        <w:rPr>
          <w:rFonts w:hint="eastAsia" w:asciiTheme="majorEastAsia" w:hAnsiTheme="majorEastAsia" w:eastAsiaTheme="majorEastAsia" w:cstheme="majorEastAsia"/>
          <w:sz w:val="24"/>
          <w:szCs w:val="24"/>
          <w:lang w:val="en-US" w:eastAsia="zh-CN"/>
        </w:rPr>
      </w:pPr>
    </w:p>
    <w:p w14:paraId="1A783065">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第2类人群：占比为1%～10%的群体。这部分人群数量适中，在落地时无论是产品还是人工都可接</w:t>
      </w:r>
      <w:r>
        <w:rPr>
          <w:rFonts w:hint="eastAsia" w:asciiTheme="majorEastAsia" w:hAnsiTheme="majorEastAsia" w:eastAsiaTheme="majorEastAsia" w:cstheme="majorEastAsia"/>
          <w:sz w:val="24"/>
          <w:szCs w:val="24"/>
          <w:lang w:val="en-US" w:eastAsia="zh-CN"/>
        </w:rPr>
        <w:t>入</w:t>
      </w:r>
    </w:p>
    <w:p w14:paraId="5BE83859">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311：有潜力的低价值群体。这部分用户与211群体类似，但在购物新近度上更好，因此对其可采取相同的策略。除此以外，在这类群体的最近接触渠道上可以增加营销或广告资源投入，通过这些渠道再次将客户引入网站完成消费。</w:t>
      </w:r>
    </w:p>
    <w:p w14:paraId="0BAB615B">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111：这是一类在各个维度上都比较差的客户群体。一般情况下，会在其他各个群体策略和管理都落地后才考虑他们。主要策略是先通过多种策略挽回客户，然后为客户推送与其类似的其他群体，或者当前热销的商品或折扣非常大的商品。在刺激消费时，可根据其消费水平、品类等情况，有针对性地设置商品暴露条件，先在优惠券及优惠商品的综合刺激下使其实现消费，再考虑消费频率以及订单金额的提升。</w:t>
      </w:r>
    </w:p>
    <w:p w14:paraId="762397EC">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313：有潜力的高价值群体。这类群体的消费新近度高且订单金额高，但购买频率低，因此只要提升其购买频次，用户群体的贡献价值就会倍增。提升购买频率上，除了在其最近一次的接触渠道上增加曝光外，与最近一次渠道相关的其他关联访问渠道也要考虑增加营销资源。另外，213中的策略也要组合应用其中</w:t>
      </w:r>
    </w:p>
    <w:p w14:paraId="523B9F34">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113：可挽回的高价值群体。这类群体与112群体类似，但订单金额贡献更高，因此除了应用112中的策略外，可增加部分人工的参与来挽回这些高价值客户，例如线下访谈、客户电话沟通等</w:t>
      </w:r>
    </w:p>
    <w:p w14:paraId="5B41BA1A">
      <w:pPr>
        <w:rPr>
          <w:rFonts w:hint="eastAsia" w:asciiTheme="majorEastAsia" w:hAnsiTheme="majorEastAsia" w:eastAsiaTheme="majorEastAsia" w:cstheme="majorEastAsia"/>
          <w:sz w:val="24"/>
          <w:szCs w:val="24"/>
          <w:lang w:val="en-US" w:eastAsia="zh-CN"/>
        </w:rPr>
      </w:pPr>
    </w:p>
    <w:p w14:paraId="0CA361BF">
      <w:p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第3类群体：占比非常少，但却是非常重要的群体</w:t>
      </w:r>
    </w:p>
    <w:p w14:paraId="7EEA56E8">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333：绝对忠诚的高价值群体。虽然用户绝对数量只有355，但由于其各方面表现非常突出，因此可以倾斜更多的资源，例如设计VIP服务、专享服务、绿色通道等。另外，针对这部分人群的高价值附加服务的推荐也是提升其价值的重点策略</w:t>
      </w:r>
    </w:p>
    <w:p w14:paraId="3554D096">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233、223和133：一般性的高价值群体。这类群体的主要着手点是提升新近购买度，即促进其实现最近一次的购买，可通过DM、电话、客户拜访、线下访谈、微信、电子邮件等方式直接建立用户挽回通道，以挽回这部分高价值用户</w:t>
      </w:r>
    </w:p>
    <w:p w14:paraId="17723B9D">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322、323和332：有潜力的普通群体。这类群体最近刚完成购买，需要提升的是购买频次及购买金额。因此可通过交叉销售、个性化推荐、向上销售、组合优惠券、打包商品销售等策略，提升其单次购买的订单金额及促进其重复购买</w:t>
      </w:r>
    </w:p>
    <w:p w14:paraId="071A004A">
      <w:pPr>
        <w:rPr>
          <w:rFonts w:hint="eastAsia" w:asciiTheme="majorEastAsia" w:hAnsiTheme="majorEastAsia" w:eastAsiaTheme="majorEastAsia" w:cstheme="maj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2ZjI2NjUyOWYwNzdiNzY3MTU3YTkyYTE0ZTU1MWMifQ=="/>
  </w:docVars>
  <w:rsids>
    <w:rsidRoot w:val="00000000"/>
    <w:rsid w:val="69C62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2026-04-12T07:19:02Z</dcterms:created>
  <dc:creator>28249</dc:creator>
  <cp:lastModifiedBy>WPS_1690800247</cp:lastModifiedBy>
  <dcterms:modified xsi:type="dcterms:W3CDTF">2026-04-12T07:28:03Z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B6CF8B4130834A51B4D958235AFE2E50_12</vt:lpwstr>
  </property>
</Properties>
</file>