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pacing w:val="30"/>
          <w:sz w:val="40"/>
          <w:szCs w:val="40"/>
        </w:rPr>
        <w:t xml:space="preserve">PITSAMORN INGKAVARA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B6BB5"/>
          <w:sz w:val="19"/>
          <w:szCs w:val="19"/>
        </w:rPr>
        <w:t xml:space="preserve">Digital Transformation Program Manager  |  SAP S/4HANA Test Manager  |  Data Governance &amp; Management Lead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Bangkok, Thailand  ·  Open to Hybrid (WFH + On-site) across Thailand / SEA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+66 86 495 6993  ·  pingkavara@gmail.com  ·  linkedin.com/in/pitsamorn-ingkavara  ·  Bilingual Thai / English</w:t>
      </w:r>
    </w:p>
    <w:p>
      <w:pPr>
        <w:pBdr>
          <w:bottom w:val="single" w:color="1F3A5F" w:sz="8" w:space="1"/>
        </w:pBdr>
        <w:spacing w:after="60" w:before="0"/>
      </w:pPr>
      <w:r>
        <w:rPr>
          <w:sz w:val="2"/>
          <w:szCs w:val="2"/>
        </w:rPr>
        <w:t xml:space="preserve"/>
      </w:r>
    </w:p>
    <w:p>
      <w:pPr>
        <w:pStyle w:val="Heading1"/>
        <w:spacing w:after="4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EXECUTIVE PROFILE</w:t>
      </w:r>
    </w:p>
    <w:p>
      <w:pPr>
        <w:pBdr>
          <w:bottom w:val="single" w:color="1F3A5F" w:sz="8" w:space="1"/>
        </w:pBd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6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Digital transformation leader with 16+ years delivering enterprise SAP S/4HANA, Ariba and data-platform programmes across PTT Group — Global Chemical, PTTEP, Thai Oil, IRPC and HMC. I operate across three connected disciplines that most programmes have to source from three different people: S/4HANA test management, digital transformation programme management, and enterprise data governance.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/>
          <w:bCs/>
          <w:color w:val="0B6BB5"/>
          <w:sz w:val="19"/>
          <w:szCs w:val="19"/>
        </w:rPr>
        <w:t xml:space="preserve">S/4HANA Test Management —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UAT Test Director across 7 functional workstreams and a ~4,060 test-case UAT cycle, owning strategy, execution, defect triage and exit criteria.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/>
          <w:bCs/>
          <w:color w:val="0B6BB5"/>
          <w:sz w:val="19"/>
          <w:szCs w:val="19"/>
        </w:rPr>
        <w:t xml:space="preserve">Digital Transformation Programme Management —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End-to-end delivery from fit-to-standard through SIT/UAT, go-live and hypercare; consolidated 8 fragmented vendor touchpoints into 2 connected portals.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/>
          <w:bCs/>
          <w:color w:val="0B6BB5"/>
          <w:sz w:val="19"/>
          <w:szCs w:val="19"/>
        </w:rPr>
        <w:t xml:space="preserve">Data Governance &amp; Management —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Enterprise DG operating model across 39 data domains, sustaining a 98.80% Data Quality Index against 132 business rules over 5.99M records.</w:t>
      </w:r>
    </w:p>
    <w:p>
      <w:pPr>
        <w:spacing w:after="60" w:before="80"/>
        <w:jc w:val="both"/>
      </w:pPr>
      <w:r>
        <w:rPr>
          <w:rFonts w:ascii="Calibri" w:cs="Calibri" w:eastAsia="Calibri" w:hAnsi="Calibri"/>
          <w:b/>
          <w:bCs/>
          <w:color w:val="0B6BB5"/>
          <w:sz w:val="19"/>
          <w:szCs w:val="19"/>
        </w:rPr>
        <w:t xml:space="preserve">Differentiator: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I combine that delivery record with hands-on agentic AI and AI-assisted coding — cutting status reporting effort ~95% (1 day → 15 minutes), PMO administrative overhead ~50%, achieving 98% issue traceability with zero manual follow-up, and surfacing delivery risk 2–4 weeks earlier than conventional reporting cycles.</w:t>
      </w:r>
    </w:p>
    <w:p>
      <w:pPr>
        <w:pStyle w:val="Heading1"/>
        <w:spacing w:after="4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CORE EXPERTISE</w:t>
      </w:r>
    </w:p>
    <w:p>
      <w:pPr>
        <w:pBdr>
          <w:bottom w:val="single" w:color="1F3A5F" w:sz="8" w:space="1"/>
        </w:pBd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20" w:before="0"/>
        <w:jc w:val="both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SAP S/4HANA Test Management  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Test strategy &amp; master test planning · SIT / UAT execution &amp; test directorship · Entry &amp; exit criteria governance · Defect triage, root-cause analysis &amp; escalation · Test data &amp; environment coordination · Legacy integration and cutover readiness testing · Jira / Xray test management · Tosca &amp; UiPath-assisted execution · Automated test progress &amp; burn-down dashboards</w:t>
      </w:r>
    </w:p>
    <w:p>
      <w:pPr>
        <w:spacing w:after="20" w:before="0"/>
        <w:jc w:val="both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Digital Transformation Programme Management  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Programme &amp; portfolio governance · Steering Committee reporting · As-is / To-be E2E process architecture (PTP, OTC, RTR, MTS, PPD, PTA) · Fit-to-standard workshops · Scope, schedule, budget &amp; formal change control · Legacy disposition strategy (retire / re-integrate / re-design) · Vendor, SI, license &amp; contract management · Waterfall, Agile/Scrum and hybrid delivery · Change management &amp; user adoption</w:t>
      </w:r>
    </w:p>
    <w:p>
      <w:pPr>
        <w:spacing w:after="20" w:before="0"/>
        <w:jc w:val="both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Data Governance &amp; Management  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DG operating model, charter, policy, standards &amp; procedures · Data domain definition &amp; stewardship enablement · Critical Data Elements (CDE) identification · Data quality rule design, DQI measurement &amp; remediation · Metadata, lineage, data catalog &amp; access control · Data classification, PDPA &amp; security-by-design · Data product &amp; API service delivery · Analytics and data literacy enablement</w:t>
      </w:r>
    </w:p>
    <w:p>
      <w:pPr>
        <w:pStyle w:val="Heading1"/>
        <w:spacing w:after="4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PROFESSIONAL EXPERIENCE</w:t>
      </w:r>
    </w:p>
    <w:p>
      <w:pPr>
        <w:pBdr>
          <w:bottom w:val="single" w:color="1F3A5F" w:sz="8" w:space="1"/>
        </w:pBdr>
        <w:spacing w:after="60" w:before="0"/>
      </w:pPr>
      <w:r>
        <w:rPr>
          <w:sz w:val="2"/>
          <w:szCs w:val="2"/>
        </w:rPr>
        <w:t xml:space="preserve"/>
      </w:r>
    </w:p>
    <w:p>
      <w:pPr>
        <w:tabs>
          <w:tab w:val="right" w:pos="10640"/>
        </w:tabs>
        <w:spacing w:after="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PTT Global Chemical Public Company Limited — Bangkok</w:t>
      </w:r>
      <w:r>
        <w:t xml:space="preserve">	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2024 – Present</w:t>
      </w:r>
    </w:p>
    <w:p>
      <w:pPr>
        <w:spacing w:after="60" w:before="10"/>
      </w:pPr>
      <w:r>
        <w:rPr>
          <w:rFonts w:ascii="Calibri" w:cs="Calibri" w:eastAsia="Calibri" w:hAnsi="Calibri"/>
          <w:i/>
          <w:iCs/>
          <w:color w:val="0B6BB5"/>
          <w:sz w:val="19"/>
          <w:szCs w:val="19"/>
        </w:rPr>
        <w:t xml:space="preserve">SAP S/4HANA Test Manager (UAT Test Director)  ·  PTP Legacy Integration Manager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Direct UAT as Test Director on a strategic enterprise S/4HANA transformation — owning test strategy, test planning, SIT/UAT execution, defect triage and exit criteria across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7 functional workstreams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(RTR, OTC, PTP, MTS, PPD, PTA and Cross-function).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Govern a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~4,060 test-case UAT cycle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tracking daily planned-versus-actual burn-down, ageing of open defects and readiness against defined exit criteria.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 end-to-end integration between S/4HANA and legacy systems for the Procure-to-Pay workstream — interface design review, integration testing, defect resolution and cutover readiness across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8 applications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Jira-connected dashboards and Python/REST-API reporting automation: status reporting effort reduced from ~1 day to ~15 minutes (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~95% reduction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), PMO administrative overhead down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~50%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and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98% issue traceability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with zero manual follow-up.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Deliver executive UAT checkpoint presentations to the Steering Committee, surfacing schedule and quality risk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2–4 weeks earlier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through automated delay-analysis and issue-ageing analytics.</w:t>
      </w:r>
    </w:p>
    <w:p>
      <w:pPr>
        <w:tabs>
          <w:tab w:val="right" w:pos="10640"/>
        </w:tabs>
        <w:spacing w:after="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Thai Oil Public Company Limited — Bangkok</w:t>
      </w:r>
      <w:r>
        <w:t xml:space="preserve">	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2023 – 2025</w:t>
      </w:r>
    </w:p>
    <w:p>
      <w:pPr>
        <w:spacing w:after="60" w:before="10"/>
      </w:pPr>
      <w:r>
        <w:rPr>
          <w:rFonts w:ascii="Calibri" w:cs="Calibri" w:eastAsia="Calibri" w:hAnsi="Calibri"/>
          <w:i/>
          <w:iCs/>
          <w:color w:val="0B6BB5"/>
          <w:sz w:val="19"/>
          <w:szCs w:val="19"/>
        </w:rPr>
        <w:t xml:space="preserve">Data Governance &amp; Security Lead / PMO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Led data security and data governance initiatives across enterprise data assets — implementing data classification, content-handling standards and governance-by-design controls.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Embedded governance checkpoints into the project delivery lifecycle so that data quality, access control and privacy obligations were designed in at solution stage rather than remediated after go-live.</w:t>
      </w:r>
    </w:p>
    <w:p>
      <w:pPr>
        <w:tabs>
          <w:tab w:val="right" w:pos="10640"/>
        </w:tabs>
        <w:spacing w:after="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PTT Exploration and Production Public Company Limited — Bangkok</w:t>
      </w:r>
      <w:r>
        <w:t xml:space="preserve">	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2023</w:t>
      </w:r>
    </w:p>
    <w:p>
      <w:pPr>
        <w:spacing w:after="60" w:before="10"/>
      </w:pPr>
      <w:r>
        <w:rPr>
          <w:rFonts w:ascii="Calibri" w:cs="Calibri" w:eastAsia="Calibri" w:hAnsi="Calibri"/>
          <w:i/>
          <w:iCs/>
          <w:color w:val="0B6BB5"/>
          <w:sz w:val="19"/>
          <w:szCs w:val="19"/>
        </w:rPr>
        <w:t xml:space="preserve">S/4HANA PMO Lead  ·  Project Manager, GEP Smart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PMO Lead for the S/4HANA post-assessment, consolidating findings into a prioritised transformation roadmap for executive decision-making.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Project Manager for the GEP Smart source-to-pay implementation across the full delivery lifecycle, including license management and vendor contract governance.</w:t>
      </w:r>
    </w:p>
    <w:p>
      <w:pPr>
        <w:tabs>
          <w:tab w:val="right" w:pos="10640"/>
        </w:tabs>
        <w:spacing w:after="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PTT Global Chemical Public Company Limited — Bangkok</w:t>
      </w:r>
      <w:r>
        <w:t xml:space="preserve">	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2019 – 2023</w:t>
      </w:r>
    </w:p>
    <w:p>
      <w:pPr>
        <w:spacing w:after="60" w:before="10"/>
      </w:pPr>
      <w:r>
        <w:rPr>
          <w:rFonts w:ascii="Calibri" w:cs="Calibri" w:eastAsia="Calibri" w:hAnsi="Calibri"/>
          <w:i/>
          <w:iCs/>
          <w:color w:val="0B6BB5"/>
          <w:sz w:val="19"/>
          <w:szCs w:val="19"/>
        </w:rPr>
        <w:t xml:space="preserve">Data Governance &amp; Management Lead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implemented the enterprise data governance operating model, policy set, standards, procedures and adoption programme — assessing four operating-model options (distributed, centralised, hybrid and outsourced) against speed, cross-BU reach and internal capability retention to inform the executive decision.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Identified and mapped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39 enterprise data domains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across the end-to-end value chain and support functions, classified for PDPA sensitivity, and sequenced adoption by use-case priority.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Established the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 Quality Index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and its measurement formulas — the framework now sustains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98.80% DQI against a 98.00% target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running 132 business rules over 5.99M records with dimensional scoring for accuracy (99.37%), completeness (99.90%), validity (97.33%), uniqueness (98.64%) and reliability (95.42%).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Drove data quality adoption across SAP and non-SAP sources, growing implemented DQ coverage for SAP master data from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&gt;40% (2021) to &gt;60% (2022) to &gt;80% (2023)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across Material, Equipment, Vendor, Customer, Asset (RMA), Employee, HRM and HRD domains.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Led data domain setup and data stewardship enablement across multiple concurrent digital initiatives (FiT, dEX and IT digital use cases), running stewardship sprints covering 6 then 16 data domains.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Delivered the data platform and data-product layer — integration, ingestion, cloud and on-premise storage, data product service and self-service advanced analytics — and shifted delivery focus to API-based data services for project use-cases and data science teams.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data literacy and change management programmes, deploying online training organisation-wide and moving governance from project mode into sustained BAU operation.</w:t>
      </w:r>
    </w:p>
    <w:p>
      <w:pPr>
        <w:tabs>
          <w:tab w:val="right" w:pos="10640"/>
        </w:tabs>
        <w:spacing w:after="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PTT Digital Solution Company Limited — Bangkok</w:t>
      </w:r>
      <w:r>
        <w:t xml:space="preserve">	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2009 – 2019</w:t>
      </w:r>
    </w:p>
    <w:p>
      <w:pPr>
        <w:spacing w:after="60" w:before="10"/>
      </w:pPr>
      <w:r>
        <w:rPr>
          <w:rFonts w:ascii="Calibri" w:cs="Calibri" w:eastAsia="Calibri" w:hAnsi="Calibri"/>
          <w:i/>
          <w:iCs/>
          <w:color w:val="0B6BB5"/>
          <w:sz w:val="19"/>
          <w:szCs w:val="19"/>
        </w:rPr>
        <w:t xml:space="preserve">SAP &amp; Legacy Project Manager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Led SAP ERP (ECC / S/4HANA) and SAP Ariba implementations across PTT Group companies —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GC, Thai Oil, HMC and IRPC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specialising in Procure-to-Pay and Source-to-Contract process integration.</w:t>
      </w:r>
    </w:p>
    <w:p>
      <w:pPr>
        <w:pStyle w:val="ListParagraph"/>
        <w:numPr>
          <w:ilvl w:val="0"/>
          <w:numId w:val="2"/>
        </w:numPr>
        <w:spacing w:after="5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Drove end-to-end SAP–legacy integration from fit-to-standard through SIT/UAT, go-live and hypercare, delivering scalable and compliant procurement solutions.</w:t>
      </w:r>
    </w:p>
    <w:p>
      <w:pPr>
        <w:pStyle w:val="Heading1"/>
        <w:spacing w:after="4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SIGNATURE PROGRAMME — VENDOR MANAGEMENT &amp; COLLABORATION SYSTEM (VMCS)</w:t>
      </w:r>
    </w:p>
    <w:p>
      <w:pPr>
        <w:pBdr>
          <w:bottom w:val="single" w:color="1F3A5F" w:sz="8" w:space="1"/>
        </w:pBd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6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Owned the as-is / to-be end-to-end Procure-to-Pay process architecture and legacy disposition strategy for a group-wide vendor transformation. Consolidated 8 fragmented vendor touchpoints — paper registration, GEP vendor registration, GCME-VMS, Smart Work Request, PO Tracking, Shipping Management, Smart Receiving and Payment Tracking (8 systems, 4 registrations, 3 logins, no single view of the vendor) — into 2 connected portals delivered as 3 modules: Vendor Collaboration Portal, Vendor Management Portal and Procurement Operation Support Portal. Classified every legacy application as retire, re-integrate, re-design/re-build or report-and-analytic, and built the transition plan around the Ariba downstream contract expiry (Aug 2026) and GEP contract expiry (Sep 2025).</w:t>
      </w:r>
    </w:p>
    <w:p>
      <w:pPr>
        <w:pStyle w:val="Heading1"/>
        <w:spacing w:after="4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AI-AUGMENTED DELIVERY TOOLKIT</w:t>
      </w:r>
    </w:p>
    <w:p>
      <w:pPr>
        <w:pBdr>
          <w:bottom w:val="single" w:color="1F3A5F" w:sz="8" w:space="1"/>
        </w:pBd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6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Jira REST API pipelines feeding live UAT progress, defect-ageing and delay-analysis dashboards · automated UAT scheduling and issue auto-notification to owners · Python and Power BI reporting automation · Copilot and UiPath-assisted PMO workflows · agentic AI workflows for status consolidation and risk detection. Outcome: ~95% less reporting effort, ~50% less PMO admin, 98% issue traceability, and risk visible 2–4 weeks earlier.</w:t>
      </w:r>
    </w:p>
    <w:p>
      <w:pPr>
        <w:pStyle w:val="Heading1"/>
        <w:spacing w:after="4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TECHNOLOGY &amp; TOOLS</w:t>
      </w:r>
    </w:p>
    <w:p>
      <w:pPr>
        <w:pBdr>
          <w:bottom w:val="single" w:color="1F3A5F" w:sz="8" w:space="1"/>
        </w:pBd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40" w:before="0"/>
        <w:jc w:val="both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SAP: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S/4HANA, ECC, SAP Ariba, GEP Smart, IS-OIL; MM, PM, PS, SD, PP, QM, FI-AA integration</w:t>
      </w:r>
    </w:p>
    <w:p>
      <w:pPr>
        <w:spacing w:after="40" w:before="0"/>
        <w:jc w:val="both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Testing: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Jira / Xray, Tosca, SIT &amp; UAT management, defect and RCA workflows, cutover and integration testing</w:t>
      </w:r>
    </w:p>
    <w:p>
      <w:pPr>
        <w:spacing w:after="40" w:before="0"/>
        <w:jc w:val="both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Data: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Informatica, data catalog and lineage tooling, data quality rule engines, Power BI, Tableau, SQL, Python</w:t>
      </w:r>
    </w:p>
    <w:p>
      <w:pPr>
        <w:spacing w:after="40" w:before="0"/>
        <w:jc w:val="both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Delivery: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MS Project, Jira, GitHub Projects, Monday.com, Notion, Agile / Scrum, Waterfall, Hybrid; Copilot, UiPath, agentic AI</w:t>
      </w:r>
    </w:p>
    <w:p>
      <w:pPr>
        <w:pStyle w:val="Heading1"/>
        <w:spacing w:after="4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EDUCATION</w:t>
      </w:r>
    </w:p>
    <w:p>
      <w:pPr>
        <w:pBdr>
          <w:bottom w:val="single" w:color="1F3A5F" w:sz="8" w:space="1"/>
        </w:pBdr>
        <w:spacing w:after="60" w:before="0"/>
      </w:pPr>
      <w:r>
        <w:rPr>
          <w:sz w:val="2"/>
          <w:szCs w:val="2"/>
        </w:rPr>
        <w:t xml:space="preserve"/>
      </w:r>
    </w:p>
    <w:p>
      <w:pPr>
        <w:tabs>
          <w:tab w:val="right" w:pos="1064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Master of Science, Information Technology (Information Systems)</w:t>
      </w:r>
      <w: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2009 – 2011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King Mongkut's Institute of Technology Ladkrabang (KMITL)</w:t>
      </w:r>
    </w:p>
    <w:p>
      <w:pPr>
        <w:tabs>
          <w:tab w:val="right" w:pos="1064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Bachelor of Science, Information Science (Management Information Systems)</w:t>
      </w:r>
      <w: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2004 – 2007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Walailak University</w:t>
      </w:r>
    </w:p>
    <w:p>
      <w:pPr>
        <w:pStyle w:val="Heading1"/>
        <w:spacing w:after="4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LANGUAGES &amp; WORK PREFERENCE</w:t>
      </w:r>
    </w:p>
    <w:p>
      <w:pPr>
        <w:pBdr>
          <w:bottom w:val="single" w:color="1F3A5F" w:sz="8" w:space="1"/>
        </w:pBd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60" w:before="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Thai (native) · English (professional working proficiency). Seeking hybrid engagements combining remote delivery with on-site programme presence, across Thailand and South-East Asia.</w:t>
      </w:r>
    </w:p>
    <w:sectPr>
      <w:pgSz w:w="12240" w:h="15840" w:orient="portrait"/>
      <w:pgMar w:top="720" w:right="800" w:bottom="6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Pitsamorn Ingkavara - Resume 2026</dc:title>
  <dc:creator>Pitsamorn Ingkavara</dc:creator>
  <dc:description>Digital Transformation Program Manager | SAP S/4HANA Test Manager | Data Governance &amp; Management Lead</dc:description>
  <cp:lastModifiedBy>Un-named</cp:lastModifiedBy>
  <cp:revision>1</cp:revision>
  <dcterms:created xsi:type="dcterms:W3CDTF">2026-09-14T10:48:46.215Z</dcterms:created>
  <dcterms:modified xsi:type="dcterms:W3CDTF">2026-09-14T10:48:46.234Z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