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REDEECASH EXCHANGE</w:t>
      </w:r>
    </w:p>
    <w:p>
      <w:pPr>
        <w:pStyle w:val="Normal"/>
        <w:bidi w:val="0"/>
        <w:jc w:val="center"/>
        <w:rPr/>
      </w:pPr>
      <w:r>
        <w:rPr/>
        <w:t>PO Box 142814, Gainesville, Florida 32607</w:t>
      </w:r>
    </w:p>
    <w:p>
      <w:pPr>
        <w:pStyle w:val="Normal"/>
        <w:bidi w:val="0"/>
        <w:jc w:val="center"/>
        <w:rPr/>
      </w:pPr>
      <w:r>
        <w:rPr/>
      </w:r>
    </w:p>
    <w:p>
      <w:pPr>
        <w:pStyle w:val="Title"/>
        <w:bidi w:val="0"/>
        <w:jc w:val="center"/>
        <w:rPr/>
      </w:pPr>
      <w:r>
        <w:rPr/>
        <w:t xml:space="preserve">Form </w:t>
      </w:r>
      <w:r>
        <w:rPr/>
        <w:t>Annual</w:t>
      </w:r>
    </w:p>
    <w:p>
      <w:pPr>
        <w:pStyle w:val="Normal"/>
        <w:bidi w:val="0"/>
        <w:jc w:val="center"/>
        <w:rPr/>
      </w:pPr>
      <w:r>
        <w:rPr/>
      </w:r>
    </w:p>
    <w:p>
      <w:pPr>
        <w:pStyle w:val="Normal"/>
        <w:bidi w:val="0"/>
        <w:jc w:val="center"/>
        <w:rPr/>
      </w:pPr>
      <w:r>
        <w:rPr/>
        <w:t>QUARTERLY REPORT PURSUANT TO RULE 144 AS A VOLUNTARY FILER</w:t>
      </w:r>
    </w:p>
    <w:p>
      <w:pPr>
        <w:pStyle w:val="Normal"/>
        <w:bidi w:val="0"/>
        <w:jc w:val="left"/>
        <w:rPr/>
      </w:pPr>
      <w:r>
        <w:rPr/>
      </w:r>
    </w:p>
    <w:p>
      <w:pPr>
        <w:pStyle w:val="Normal"/>
        <w:bidi w:val="0"/>
        <w:jc w:val="left"/>
        <w:rPr/>
      </w:pPr>
      <w:r>
        <w:rPr/>
        <w:t xml:space="preserve">Regulation: </w:t>
      </w:r>
      <w:r>
        <w:rPr/>
        <w:t xml:space="preserve">________________ </w:t>
      </w:r>
      <w:r>
        <w:rPr/>
        <w:t>Rule: ____</w:t>
      </w:r>
      <w:r>
        <w:rPr/>
        <w:t>____________</w:t>
      </w:r>
    </w:p>
    <w:p>
      <w:pPr>
        <w:pStyle w:val="Normal"/>
        <w:bidi w:val="0"/>
        <w:jc w:val="left"/>
        <w:rPr/>
      </w:pPr>
      <w:r>
        <w:rPr/>
      </w:r>
    </w:p>
    <w:p>
      <w:pPr>
        <w:pStyle w:val="Normal"/>
        <w:bidi w:val="0"/>
        <w:jc w:val="left"/>
        <w:rPr/>
      </w:pPr>
      <w:r>
        <w:rPr/>
        <w:t>Fiscal Year</w:t>
      </w:r>
      <w:r>
        <w:rPr/>
        <w:t>: _____</w:t>
      </w:r>
      <w:r>
        <w:rPr/>
        <w:t>____</w:t>
      </w:r>
    </w:p>
    <w:p>
      <w:pPr>
        <w:pStyle w:val="Normal"/>
        <w:bidi w:val="0"/>
        <w:jc w:val="left"/>
        <w:rPr/>
      </w:pPr>
      <w:r>
        <w:rPr/>
      </w:r>
    </w:p>
    <w:p>
      <w:pPr>
        <w:pStyle w:val="Normal"/>
        <w:bidi w:val="0"/>
        <w:jc w:val="left"/>
        <w:rPr/>
      </w:pPr>
      <w:r>
        <w:rPr/>
        <w:t>Amendment: ____Yes ____No</w:t>
        <w:tab/>
        <w:t>Amendment No.: ______</w:t>
      </w:r>
    </w:p>
    <w:p>
      <w:pPr>
        <w:pStyle w:val="Normal"/>
        <w:bidi w:val="0"/>
        <w:jc w:val="left"/>
        <w:rPr/>
      </w:pPr>
      <w:r>
        <w:rPr/>
      </w:r>
    </w:p>
    <w:p>
      <w:pPr>
        <w:pStyle w:val="Normal"/>
        <w:bidi w:val="0"/>
        <w:jc w:val="left"/>
        <w:rPr/>
      </w:pPr>
      <w:r>
        <w:rPr/>
        <w:t>SEC FILE NUMBER: _________________________________</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(Exact name of registrant as specified in its charter)</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(State or other jurisdiction)</w:t>
        <w:tab/>
        <w:tab/>
        <w:tab/>
        <w:tab/>
        <w:tab/>
        <w:tab/>
        <w:tab/>
        <w:tab/>
        <w:t>(IRS Employer No)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(Address of principal offices)</w:t>
        <w:tab/>
        <w:tab/>
        <w:tab/>
        <w:tab/>
        <w:tab/>
        <w:tab/>
        <w:tab/>
        <w:tab/>
        <w:tab/>
        <w:t>(Zip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(Registrant’s telephone number including area code)</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center"/>
        <w:rPr/>
      </w:pPr>
      <w:r>
        <w:rPr/>
        <w:t>(Former name, former address, former fiscal year, if change since last report)</w:t>
      </w:r>
    </w:p>
    <w:p>
      <w:pPr>
        <w:pStyle w:val="Normal"/>
        <w:bidi w:val="0"/>
        <w:jc w:val="left"/>
        <w:rPr/>
      </w:pPr>
      <w:r>
        <w:rPr/>
      </w:r>
    </w:p>
    <w:p>
      <w:pPr>
        <w:pStyle w:val="Normal"/>
        <w:bidi w:val="0"/>
        <w:jc w:val="left"/>
        <w:rPr/>
      </w:pPr>
      <w:r>
        <w:rPr/>
        <w:t>Exempt Securities registered under Regulation D of the Act: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widowControl w:val="false"/>
              <w:bidi w:val="0"/>
              <w:jc w:val="center"/>
              <w:rPr>
                <w:sz w:val="16"/>
                <w:szCs w:val="16"/>
              </w:rPr>
            </w:pPr>
            <w:r>
              <w:rPr>
                <w:sz w:val="16"/>
                <w:szCs w:val="16"/>
              </w:rPr>
              <w:t>Title of each class</w:t>
            </w:r>
          </w:p>
        </w:tc>
        <w:tc>
          <w:tcPr>
            <w:tcW w:w="3324" w:type="dxa"/>
            <w:tcBorders>
              <w:top w:val="single" w:sz="4" w:space="0" w:color="000000"/>
              <w:left w:val="single" w:sz="4" w:space="0" w:color="000000"/>
              <w:bottom w:val="single" w:sz="4" w:space="0" w:color="000000"/>
            </w:tcBorders>
          </w:tcPr>
          <w:p>
            <w:pPr>
              <w:pStyle w:val="TableContents"/>
              <w:widowControl w:val="false"/>
              <w:bidi w:val="0"/>
              <w:jc w:val="center"/>
              <w:rPr>
                <w:sz w:val="16"/>
                <w:szCs w:val="16"/>
              </w:rPr>
            </w:pPr>
            <w:r>
              <w:rPr>
                <w:sz w:val="16"/>
                <w:szCs w:val="16"/>
              </w:rPr>
              <w:t>Trading symbol</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sz w:val="16"/>
                <w:szCs w:val="16"/>
              </w:rPr>
            </w:pPr>
            <w:r>
              <w:rPr>
                <w:sz w:val="16"/>
                <w:szCs w:val="16"/>
              </w:rPr>
              <w:t>Name of each exchange on which registered</w:t>
            </w:r>
            <w:r>
              <w:rPr>
                <w:sz w:val="16"/>
                <w:szCs w:val="16"/>
                <w:vertAlign w:val="superscript"/>
              </w:rPr>
              <w:t>1</w:t>
            </w:r>
          </w:p>
        </w:tc>
      </w:tr>
      <w:tr>
        <w:trPr/>
        <w:tc>
          <w:tcPr>
            <w:tcW w:w="3324" w:type="dxa"/>
            <w:tcBorders>
              <w:left w:val="single" w:sz="4" w:space="0" w:color="000000"/>
              <w:bottom w:val="single" w:sz="4" w:space="0" w:color="000000"/>
            </w:tcBorders>
          </w:tcPr>
          <w:p>
            <w:pPr>
              <w:pStyle w:val="TableContents"/>
              <w:widowControl w:val="false"/>
              <w:bidi w:val="0"/>
              <w:jc w:val="left"/>
              <w:rPr/>
            </w:pPr>
            <w:r>
              <w:rPr/>
            </w:r>
          </w:p>
        </w:tc>
        <w:tc>
          <w:tcPr>
            <w:tcW w:w="3324" w:type="dxa"/>
            <w:tcBorders>
              <w:left w:val="single" w:sz="4" w:space="0" w:color="000000"/>
              <w:bottom w:val="single" w:sz="4" w:space="0" w:color="000000"/>
            </w:tcBorders>
          </w:tcPr>
          <w:p>
            <w:pPr>
              <w:pStyle w:val="TableContents"/>
              <w:widowControl w:val="false"/>
              <w:bidi w:val="0"/>
              <w:jc w:val="left"/>
              <w:rPr/>
            </w:pPr>
            <w:r>
              <w:rPr/>
            </w:r>
          </w:p>
        </w:tc>
        <w:tc>
          <w:tcPr>
            <w:tcW w:w="3324" w:type="dxa"/>
            <w:tcBorders>
              <w:left w:val="single" w:sz="4" w:space="0" w:color="000000"/>
              <w:bottom w:val="single" w:sz="4" w:space="0" w:color="000000"/>
              <w:right w:val="single" w:sz="4" w:space="0" w:color="000000"/>
            </w:tcBorders>
          </w:tcPr>
          <w:p>
            <w:pPr>
              <w:pStyle w:val="TableContents"/>
              <w:widowControl w:val="false"/>
              <w:bidi w:val="0"/>
              <w:jc w:val="left"/>
              <w:rPr/>
            </w:pPr>
            <w:r>
              <w:rPr/>
            </w:r>
          </w:p>
        </w:tc>
      </w:tr>
    </w:tbl>
    <w:p>
      <w:pPr>
        <w:pStyle w:val="Normal"/>
        <w:bidi w:val="0"/>
        <w:jc w:val="left"/>
        <w:rPr/>
      </w:pPr>
      <w:r>
        <w:rPr>
          <w:vertAlign w:val="superscript"/>
        </w:rPr>
        <w:t>1</w:t>
      </w:r>
      <w:r>
        <w:rPr>
          <w:sz w:val="16"/>
          <w:szCs w:val="16"/>
        </w:rPr>
        <w:t>RedeeCash Exchange will accept this filing even if not traded on this exchange.</w:t>
      </w:r>
    </w:p>
    <w:p>
      <w:pPr>
        <w:pStyle w:val="Normal"/>
        <w:bidi w:val="0"/>
        <w:jc w:val="left"/>
        <w:rPr/>
      </w:pPr>
      <w:r>
        <w:rPr/>
      </w:r>
    </w:p>
    <w:p>
      <w:pPr>
        <w:pStyle w:val="TextBody"/>
        <w:bidi w:val="0"/>
        <w:jc w:val="left"/>
        <w:rPr/>
      </w:pPr>
      <w:r>
        <w:rPr>
          <w:rFonts w:ascii="TimesNewRomanPSMT" w:hAnsi="TimesNewRomanPSMT"/>
          <w:sz w:val="20"/>
        </w:rPr>
        <w:t xml:space="preserve">Indicate by check mark whether the registrant is a shell company (as defined in Rule 12b-2 of the Exchange Act) </w:t>
      </w:r>
    </w:p>
    <w:p>
      <w:pPr>
        <w:pStyle w:val="TextBody"/>
        <w:bidi w:val="0"/>
        <w:jc w:val="right"/>
        <w:rPr/>
      </w:pPr>
      <w:r>
        <w:rPr>
          <w:rFonts w:ascii="TimesNewRomanPSMT" w:hAnsi="TimesNewRomanPSMT"/>
          <w:sz w:val="20"/>
        </w:rPr>
        <w:t>__ Yes __ No</w:t>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r>
    </w:p>
    <w:p>
      <w:pPr>
        <w:pStyle w:val="TextBody"/>
        <w:bidi w:val="0"/>
        <w:jc w:val="center"/>
        <w:rPr>
          <w:rFonts w:ascii="TimesNewRomanPSMT" w:hAnsi="TimesNewRomanPSMT"/>
          <w:sz w:val="20"/>
        </w:rPr>
      </w:pPr>
      <w:r>
        <w:rPr>
          <w:rFonts w:ascii="TimesNewRomanPSMT" w:hAnsi="TimesNewRomanPSMT"/>
          <w:sz w:val="20"/>
        </w:rPr>
        <w:t>APPLICABLE ONLY TO CORPORATE ISSUERS:</w:t>
        <w:br/>
        <w:t xml:space="preserve">Indicate the number of shares outstanding of each of the issuer’s classes of common stock, as of the latest practicable date. </w:t>
      </w:r>
    </w:p>
    <w:p>
      <w:pPr>
        <w:pStyle w:val="TextBody"/>
        <w:bidi w:val="0"/>
        <w:jc w:val="center"/>
        <w:rPr/>
      </w:pPr>
      <w:r>
        <w:rPr>
          <w:rFonts w:ascii="TimesNewRomanPSMT" w:hAnsi="TimesNewRomanPSMT"/>
          <w:sz w:val="20"/>
        </w:rPr>
        <w:t xml:space="preserve"> </w:t>
      </w:r>
      <w:r>
        <w:rPr>
          <w:rFonts w:ascii="TimesNewRomanPSMT" w:hAnsi="TimesNewRomanPSMT"/>
          <w:sz w:val="20"/>
        </w:rPr>
        <w:t xml:space="preserve">PART I—FINANCIAL INFORMATION </w:t>
      </w:r>
    </w:p>
    <w:p>
      <w:pPr>
        <w:pStyle w:val="TextBody"/>
        <w:bidi w:val="0"/>
        <w:jc w:val="left"/>
        <w:rPr>
          <w:rFonts w:ascii="TimesNewRomanPSMT" w:hAnsi="TimesNewRomanPSMT"/>
          <w:sz w:val="20"/>
        </w:rPr>
      </w:pPr>
      <w:r>
        <w:rPr>
          <w:rFonts w:ascii="TimesNewRomanPSMT" w:hAnsi="TimesNewRomanPSMT"/>
          <w:sz w:val="20"/>
        </w:rPr>
        <w:t xml:space="preserve">Item 1. Financial Statements. </w:t>
      </w:r>
    </w:p>
    <w:p>
      <w:pPr>
        <w:pStyle w:val="TextBody"/>
        <w:bidi w:val="0"/>
        <w:spacing w:lineRule="auto" w:line="276" w:before="0" w:after="140"/>
        <w:jc w:val="left"/>
        <w:rPr/>
      </w:pPr>
      <w:r>
        <w:rPr>
          <w:rFonts w:ascii="TimesNewRomanPSMT" w:hAnsi="TimesNewRomanPSMT"/>
          <w:sz w:val="20"/>
        </w:rPr>
        <w:t xml:space="preserve">Use as a guide to provide the information required by Rule 10-01 of Regulation S-X (17 CFR Part 210). A smaller reporting company, defined in Rule 12b-2 (§ 240.12b-2 of this chapter) may provide the information required by Article 8-03 of Regulation S-X (§ 210.8-03 of this chapter). </w:t>
      </w:r>
    </w:p>
    <w:p>
      <w:pPr>
        <w:pStyle w:val="TextBody"/>
        <w:bidi w:val="0"/>
        <w:jc w:val="left"/>
        <w:rPr>
          <w:rFonts w:ascii="TimesNewRomanPSMT" w:hAnsi="TimesNewRomanPSMT"/>
          <w:sz w:val="20"/>
        </w:rPr>
      </w:pPr>
      <w:r>
        <w:rPr>
          <w:rFonts w:ascii="TimesNewRomanPSMT" w:hAnsi="TimesNewRomanPSMT"/>
          <w:sz w:val="20"/>
        </w:rPr>
        <w:t xml:space="preserve">Item 2. Management’s Discussion and Analysis of Financial Condition and Results of Operations. Use as a guide to provide the information required by Item 303 of Regulation S-K (§ 229.303 of this chapter). </w:t>
      </w:r>
    </w:p>
    <w:p>
      <w:pPr>
        <w:pStyle w:val="TextBody"/>
        <w:bidi w:val="0"/>
        <w:jc w:val="left"/>
        <w:rPr>
          <w:rFonts w:ascii="TimesNewRomanPSMT" w:hAnsi="TimesNewRomanPSMT"/>
          <w:sz w:val="20"/>
        </w:rPr>
      </w:pPr>
      <w:r>
        <w:rPr>
          <w:rFonts w:ascii="TimesNewRomanPSMT" w:hAnsi="TimesNewRomanPSMT"/>
          <w:sz w:val="20"/>
        </w:rPr>
        <w:t>Item 3. Quantitative and Qualitative Disclosures About Market Risk.</w:t>
        <w:br/>
        <w:t xml:space="preserve">Use as a guide to provide the information required by Item 305 of Regulation S-K (§ 229.305 of this chapter). </w:t>
      </w:r>
    </w:p>
    <w:p>
      <w:pPr>
        <w:pStyle w:val="TextBody"/>
        <w:bidi w:val="0"/>
        <w:jc w:val="left"/>
        <w:rPr>
          <w:rFonts w:ascii="TimesNewRomanPSMT" w:hAnsi="TimesNewRomanPSMT"/>
          <w:sz w:val="20"/>
        </w:rPr>
      </w:pPr>
      <w:r>
        <w:rPr>
          <w:rFonts w:ascii="TimesNewRomanPSMT" w:hAnsi="TimesNewRomanPSMT"/>
          <w:sz w:val="20"/>
        </w:rPr>
        <w:t xml:space="preserve">Item 4. Controls and Procedures. </w:t>
      </w:r>
    </w:p>
    <w:p>
      <w:pPr>
        <w:pStyle w:val="TextBody"/>
        <w:bidi w:val="0"/>
        <w:jc w:val="left"/>
        <w:rPr>
          <w:rFonts w:ascii="TimesNewRomanPSMT" w:hAnsi="TimesNewRomanPSMT"/>
          <w:sz w:val="20"/>
        </w:rPr>
      </w:pPr>
      <w:r>
        <w:rPr>
          <w:rFonts w:ascii="TimesNewRomanPSMT" w:hAnsi="TimesNewRomanPSMT"/>
          <w:sz w:val="20"/>
        </w:rPr>
        <w:t xml:space="preserve">Use as a guide to provide the information required by Item 307 of Regulation S-K (§ 229.307 of this chapter) and Item 308(c) of Regulation S-K (§229.308(c) of this chapter). </w:t>
      </w:r>
    </w:p>
    <w:p>
      <w:pPr>
        <w:pStyle w:val="TextBody"/>
        <w:bidi w:val="0"/>
        <w:jc w:val="left"/>
        <w:rPr>
          <w:rFonts w:ascii="TimesNewRomanPSMT" w:hAnsi="TimesNewRomanPSMT"/>
          <w:sz w:val="20"/>
        </w:rPr>
      </w:pPr>
      <w:r>
        <w:rPr>
          <w:rFonts w:ascii="TimesNewRomanPSMT" w:hAnsi="TimesNewRomanPSMT"/>
          <w:sz w:val="20"/>
        </w:rPr>
        <w:t xml:space="preserve">PART II—OTHER INFORMATION </w:t>
      </w:r>
    </w:p>
    <w:p>
      <w:pPr>
        <w:pStyle w:val="TextBody"/>
        <w:bidi w:val="0"/>
        <w:spacing w:lineRule="auto" w:line="276" w:before="0" w:after="140"/>
        <w:jc w:val="left"/>
        <w:rPr/>
      </w:pPr>
      <w:r>
        <w:rPr>
          <w:rFonts w:ascii="TimesNewRomanPSMT" w:hAnsi="TimesNewRomanPSMT"/>
          <w:sz w:val="20"/>
        </w:rPr>
        <w:t xml:space="preserve">Instruction. 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bidi w:val="0"/>
        <w:jc w:val="left"/>
        <w:rPr>
          <w:rFonts w:ascii="TimesNewRomanPSMT" w:hAnsi="TimesNewRomanPSMT"/>
          <w:sz w:val="20"/>
        </w:rPr>
      </w:pPr>
      <w:r>
        <w:rPr>
          <w:rFonts w:ascii="TimesNewRomanPSMT" w:hAnsi="TimesNewRomanPSMT"/>
          <w:sz w:val="20"/>
        </w:rPr>
        <w:t xml:space="preserve">Item 1. Legal Proceedings. </w:t>
      </w:r>
    </w:p>
    <w:p>
      <w:pPr>
        <w:pStyle w:val="TextBody"/>
        <w:bidi w:val="0"/>
        <w:jc w:val="left"/>
        <w:rPr>
          <w:rFonts w:ascii="TimesNewRomanPSMT" w:hAnsi="TimesNewRomanPSMT"/>
          <w:sz w:val="20"/>
        </w:rPr>
      </w:pPr>
      <w:r>
        <w:rPr>
          <w:rFonts w:ascii="TimesNewRomanPSMT" w:hAnsi="TimesNewRomanPSMT"/>
          <w:sz w:val="20"/>
        </w:rPr>
        <w:t xml:space="preserve">Furnish the information required by Item 103 of Regulation S-K (§ 229.103 of this chapter). As to such proceedings which have been terminated during the period covered by the report, provide similar information, including the date of termination and a description of the disposition thereof with respect to the registrant and its subsidiaries. </w:t>
      </w:r>
    </w:p>
    <w:p>
      <w:pPr>
        <w:pStyle w:val="TextBody"/>
        <w:bidi w:val="0"/>
        <w:spacing w:lineRule="auto" w:line="276" w:before="0" w:after="140"/>
        <w:jc w:val="left"/>
        <w:rPr/>
      </w:pPr>
      <w:r>
        <w:rPr>
          <w:rFonts w:ascii="TimesNewRomanPSMT" w:hAnsi="TimesNewRomanPSMT"/>
          <w:sz w:val="20"/>
        </w:rPr>
        <w:t xml:space="preserve">Instruction. A legal proceeding need only be reported in the D-Q filed for the quarter in which it first became a reportable event and in subsequent quarters in which there have been material developments. Subsequent Form D-Q filings in the same fiscal year in which a legal proceeding or a material development is reported should reference any previous reports in that year. </w:t>
      </w:r>
    </w:p>
    <w:p>
      <w:pPr>
        <w:pStyle w:val="TextBody"/>
        <w:bidi w:val="0"/>
        <w:jc w:val="left"/>
        <w:rPr>
          <w:rFonts w:ascii="TimesNewRomanPSMT" w:hAnsi="TimesNewRomanPSMT"/>
          <w:sz w:val="20"/>
        </w:rPr>
      </w:pPr>
      <w:r>
        <w:rPr>
          <w:rFonts w:ascii="TimesNewRomanPSMT" w:hAnsi="TimesNewRomanPSMT"/>
          <w:sz w:val="20"/>
        </w:rPr>
        <w:t xml:space="preserve">Item 1A. Risk Factors. </w:t>
      </w:r>
    </w:p>
    <w:p>
      <w:pPr>
        <w:pStyle w:val="TextBody"/>
        <w:bidi w:val="0"/>
        <w:jc w:val="left"/>
        <w:rPr>
          <w:rFonts w:ascii="TimesNewRomanPSMT" w:hAnsi="TimesNewRomanPSMT"/>
          <w:sz w:val="20"/>
        </w:rPr>
      </w:pPr>
      <w:r>
        <w:rPr>
          <w:rFonts w:ascii="TimesNewRomanPSMT" w:hAnsi="TimesNewRomanPSMT"/>
          <w:sz w:val="20"/>
        </w:rPr>
        <w:t xml:space="preserve">Set forth any material changes from risk factors as previously disclosed in the registrant's Form D-K in response to Item 1A. to Part 1 of Form D-K. Smaller reporting companies are not required to provide the information required by this item. </w:t>
      </w:r>
    </w:p>
    <w:p>
      <w:pPr>
        <w:pStyle w:val="TextBody"/>
        <w:bidi w:val="0"/>
        <w:jc w:val="left"/>
        <w:rPr>
          <w:rFonts w:ascii="TimesNewRomanPSMT" w:hAnsi="TimesNewRomanPSMT"/>
          <w:sz w:val="20"/>
        </w:rPr>
      </w:pPr>
      <w:r>
        <w:rPr>
          <w:rFonts w:ascii="TimesNewRomanPSMT" w:hAnsi="TimesNewRomanPSMT"/>
          <w:sz w:val="20"/>
        </w:rPr>
        <w:t xml:space="preserve">Item 2. Unregistered Sales of Equity Securities and Use of Proceeds.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(a)  Furnish the information required by Item 701 of Regulation S-K (17 CFR 229.701) as to all equity securities of the registrant sold by the registrant during the period covered by the report that were not registered under the Securities Act. If the Item 701 information previously has been included in a Current Report on Form 8-K (17 CFR 249.308), however, it need not be furnished.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(b)  If required pursuant to Rule 463 (17 CFR 230.463) of the Securities Act of 1933, furnish the information required by Item 701(f) of Regulation S-K (§ 229.701(f) of this chapter). </w:t>
      </w:r>
    </w:p>
    <w:p>
      <w:pPr>
        <w:pStyle w:val="TextBody"/>
        <w:numPr>
          <w:ilvl w:val="0"/>
          <w:numId w:val="1"/>
        </w:numPr>
        <w:tabs>
          <w:tab w:val="left" w:pos="709" w:leader="none"/>
        </w:tabs>
        <w:bidi w:val="0"/>
        <w:ind w:left="709" w:hanging="283"/>
        <w:jc w:val="left"/>
        <w:rPr>
          <w:rFonts w:ascii="TimesNewRomanPSMT" w:hAnsi="TimesNewRomanPSMT"/>
          <w:sz w:val="20"/>
        </w:rPr>
      </w:pPr>
      <w:r>
        <w:rPr>
          <w:rFonts w:ascii="TimesNewRomanPSMT" w:hAnsi="TimesNewRomanPSMT"/>
          <w:sz w:val="20"/>
        </w:rPr>
        <w:t xml:space="preserve">(c)  Furnish the information required by Item 703 of Regulation S-K (§ 229.703 of this chapter) for any purchase made in the quarter covered by the report. Provide disclosures covering repurchases made on a monthly basis. For example, if the quarter began on January 16 and ended on April 15, the chart would show repurchases for the months from January 16 through February 15, February 16 through March 15, and March 16 through April 15. </w:t>
      </w:r>
    </w:p>
    <w:p>
      <w:pPr>
        <w:pStyle w:val="TextBody"/>
        <w:bidi w:val="0"/>
        <w:jc w:val="left"/>
        <w:rPr>
          <w:rFonts w:ascii="TimesNewRomanPSMT" w:hAnsi="TimesNewRomanPSMT"/>
          <w:sz w:val="20"/>
        </w:rPr>
      </w:pPr>
      <w:r>
        <w:rPr>
          <w:rFonts w:ascii="TimesNewRomanPSMT" w:hAnsi="TimesNewRomanPSMT"/>
          <w:sz w:val="20"/>
        </w:rPr>
        <w:t xml:space="preserve">Instruction. Working capital restrictions and other limitations upon the payment of dividends are to be reported hereunder. </w:t>
      </w:r>
    </w:p>
    <w:p>
      <w:pPr>
        <w:pStyle w:val="TextBody"/>
        <w:bidi w:val="0"/>
        <w:jc w:val="left"/>
        <w:rPr>
          <w:rFonts w:ascii="TimesNewRomanPSMT" w:hAnsi="TimesNewRomanPSMT"/>
          <w:sz w:val="20"/>
        </w:rPr>
      </w:pPr>
      <w:r>
        <w:rPr>
          <w:rFonts w:ascii="TimesNewRomanPSMT" w:hAnsi="TimesNewRomanPSMT"/>
          <w:sz w:val="20"/>
        </w:rPr>
        <w:t xml:space="preserve">Item 3. Defaults Upon Senior Securities. </w:t>
      </w:r>
    </w:p>
    <w:p>
      <w:pPr>
        <w:pStyle w:val="TextBody"/>
        <w:bidi w:val="0"/>
        <w:spacing w:lineRule="auto" w:line="276" w:before="0" w:after="140"/>
        <w:jc w:val="left"/>
        <w:rPr/>
      </w:pPr>
      <w:r>
        <w:rPr>
          <w:rFonts w:ascii="TimesNewRomanPSMT" w:hAnsi="TimesNewRomanPSMT"/>
          <w:sz w:val="20"/>
        </w:rPr>
        <w:t xml:space="preserve">(a) If there has been any material default in the payment of principal, interest, a sinking or purchase fund installment, or any other material default not cured within 30 days, with respect to any indebtedness of the registrant or any of its significant subsidiaries exceeding 5 percent of the total assets of the registrant and its consolidated subsidiaries, identify the indebtedness and state the nature of the default. In the case of such a default in the payment of principal, interest, or a sinking or purchase fund installment, state the amount of the default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 xml:space="preserve">Instruction. This paragraph refers only to events which have become defaults under the governing instruments, i.e., after the expiration of any period of grace and compliance with any notice requirements. </w:t>
      </w:r>
    </w:p>
    <w:p>
      <w:pPr>
        <w:pStyle w:val="TextBody"/>
        <w:bidi w:val="0"/>
        <w:spacing w:lineRule="auto" w:line="276" w:before="0" w:after="140"/>
        <w:jc w:val="left"/>
        <w:rPr/>
      </w:pPr>
      <w:r>
        <w:rPr>
          <w:rFonts w:ascii="TimesNewRomanPSMT" w:hAnsi="TimesNewRomanPSMT"/>
          <w:sz w:val="20"/>
        </w:rPr>
        <w:t xml:space="preserve">(b) If any material arrearage in the payment of dividends has occurred or if there has been any other material delinquency not cured within 30 days, with respect to any class of preferred stock of the registrant which is registered or which ranks prior to any class of registered securities, or with respect to any class of preferred stock of any significant subsidiary of the registrant, give the title of the class and state the nature of the arrearage or delinquency. In the case of an arrearage in the payment of dividends, state the amount and the total arrearage on the date of filing this report. </w:t>
      </w:r>
    </w:p>
    <w:p>
      <w:pPr>
        <w:pStyle w:val="TextBody"/>
        <w:bidi w:val="0"/>
        <w:jc w:val="left"/>
        <w:rPr>
          <w:rFonts w:ascii="TimesNewRomanPSMT" w:hAnsi="TimesNewRomanPSMT"/>
          <w:sz w:val="20"/>
        </w:rPr>
      </w:pPr>
      <w:r>
        <w:rPr>
          <w:rFonts w:ascii="TimesNewRomanPSMT" w:hAnsi="TimesNewRomanPSMT"/>
          <w:sz w:val="20"/>
        </w:rPr>
        <w:t>Instructions to Item 3.</w:t>
        <w:br/>
        <w:t xml:space="preserve">1. Item 3 need not be answered as to any default or arrearage with respect to any class of securities all of which is held by, or </w:t>
      </w:r>
    </w:p>
    <w:p>
      <w:pPr>
        <w:pStyle w:val="TextBody"/>
        <w:bidi w:val="0"/>
        <w:jc w:val="left"/>
        <w:rPr>
          <w:rFonts w:ascii="TimesNewRomanPSMT" w:hAnsi="TimesNewRomanPSMT"/>
          <w:sz w:val="20"/>
        </w:rPr>
      </w:pPr>
      <w:r>
        <w:rPr>
          <w:rFonts w:ascii="TimesNewRomanPSMT" w:hAnsi="TimesNewRomanPSMT"/>
          <w:sz w:val="20"/>
        </w:rPr>
        <w:t>for the account of, the registrant or its totally held subsidiaries.</w:t>
        <w:br/>
        <w:t xml:space="preserve">2. The information required by Item 3 need not be made if previously disclosed on a report on Form 8-K (17 CFR 249.308). </w:t>
      </w:r>
    </w:p>
    <w:p>
      <w:pPr>
        <w:pStyle w:val="TextBody"/>
        <w:bidi w:val="0"/>
        <w:jc w:val="left"/>
        <w:rPr>
          <w:rFonts w:ascii="TimesNewRomanPSMT" w:hAnsi="TimesNewRomanPSMT"/>
          <w:sz w:val="20"/>
        </w:rPr>
      </w:pPr>
      <w:r>
        <w:rPr>
          <w:rFonts w:ascii="TimesNewRomanPSMT" w:hAnsi="TimesNewRomanPSMT"/>
          <w:sz w:val="20"/>
        </w:rPr>
        <w:t xml:space="preserve">Item 4. Mine Safety Disclosures. </w:t>
      </w:r>
    </w:p>
    <w:p>
      <w:pPr>
        <w:pStyle w:val="TextBody"/>
        <w:bidi w:val="0"/>
        <w:jc w:val="left"/>
        <w:rPr>
          <w:rFonts w:ascii="TimesNewRomanPSMT" w:hAnsi="TimesNewRomanPSMT"/>
          <w:sz w:val="20"/>
        </w:rPr>
      </w:pPr>
      <w:r>
        <w:rPr>
          <w:rFonts w:ascii="TimesNewRomanPSMT" w:hAnsi="TimesNewRomanPSMT"/>
          <w:sz w:val="20"/>
        </w:rPr>
        <w:t xml:space="preserve">If applicable, provide a statement that the information concerning mine safety violations or other regulatory matters required by Section 1503(a) of the Dodd-Frank Wall Street Reform and Consumer Protection Act and Item 104 of Regulation S-K (17 CFR 229.104) is included in exhibit 95 to the quarterly report. </w:t>
      </w:r>
    </w:p>
    <w:p>
      <w:pPr>
        <w:pStyle w:val="TextBody"/>
        <w:bidi w:val="0"/>
        <w:jc w:val="left"/>
        <w:rPr>
          <w:rFonts w:ascii="TimesNewRomanPSMT" w:hAnsi="TimesNewRomanPSMT"/>
          <w:sz w:val="20"/>
        </w:rPr>
      </w:pPr>
      <w:r>
        <w:rPr>
          <w:rFonts w:ascii="TimesNewRomanPSMT" w:hAnsi="TimesNewRomanPSMT"/>
          <w:sz w:val="20"/>
        </w:rPr>
        <w:t xml:space="preserve">Item 5. Other Information. </w:t>
      </w:r>
    </w:p>
    <w:p>
      <w:pPr>
        <w:pStyle w:val="TextBody"/>
        <w:bidi w:val="0"/>
        <w:spacing w:lineRule="auto" w:line="276" w:before="0" w:after="140"/>
        <w:jc w:val="left"/>
        <w:rPr/>
      </w:pPr>
      <w:r>
        <w:rPr>
          <w:rFonts w:ascii="TimesNewRomanPSMT" w:hAnsi="TimesNewRomanPSMT"/>
          <w:sz w:val="20"/>
        </w:rPr>
        <w:t xml:space="preserve">(a) The registrant must disclose under this item any information required to be disclosed in a report on Form 8-K during the period covered by this Form D-Q, but not reported, whether or not otherwise required by this Form D-Q. If disclosure of such information is made under this item, it need not be repeated in a report on Form 8-K which would otherwise be required to be filed with respect to such information or in a subsequent report on Form D-Q; and </w:t>
      </w:r>
    </w:p>
    <w:p>
      <w:pPr>
        <w:pStyle w:val="TextBody"/>
        <w:bidi w:val="0"/>
        <w:jc w:val="left"/>
        <w:rPr>
          <w:rFonts w:ascii="TimesNewRomanPSMT" w:hAnsi="TimesNewRomanPSMT"/>
          <w:sz w:val="20"/>
        </w:rPr>
      </w:pPr>
      <w:r>
        <w:rPr>
          <w:rFonts w:ascii="TimesNewRomanPSMT" w:hAnsi="TimesNewRomanPSMT"/>
          <w:sz w:val="20"/>
        </w:rPr>
        <w:t xml:space="preserve">(b) Furnish the information required by Item 407(c)(3) of Regulation S-K (§229.407 of this chapter). (c) Furnish the information required by Item 408(a) of Regulation S-K (17 CFR 229.408(a)). </w:t>
      </w:r>
    </w:p>
    <w:p>
      <w:pPr>
        <w:pStyle w:val="TextBody"/>
        <w:bidi w:val="0"/>
        <w:jc w:val="left"/>
        <w:rPr>
          <w:rFonts w:ascii="TimesNewRomanPSMT" w:hAnsi="TimesNewRomanPSMT"/>
          <w:sz w:val="20"/>
        </w:rPr>
      </w:pPr>
      <w:r>
        <w:rPr>
          <w:rFonts w:ascii="TimesNewRomanPSMT" w:hAnsi="TimesNewRomanPSMT"/>
          <w:sz w:val="20"/>
        </w:rPr>
        <w:t>Item 6. Exhibits.</w:t>
        <w:br/>
        <w:t xml:space="preserve">Furnish the exhibits required by Item 601 of Regulation S-K (§ 229.601 of this chapter). </w:t>
      </w:r>
    </w:p>
    <w:p>
      <w:pPr>
        <w:pStyle w:val="TextBody"/>
        <w:bidi w:val="0"/>
        <w:jc w:val="left"/>
        <w:rPr>
          <w:rFonts w:ascii="TimesNewRomanPSMT" w:hAnsi="TimesNewRomanPSMT"/>
          <w:sz w:val="20"/>
        </w:rPr>
      </w:pPr>
      <w:r>
        <w:rPr>
          <w:rFonts w:ascii="TimesNewRomanPSMT" w:hAnsi="TimesNewRomanPSMT"/>
          <w:sz w:val="20"/>
        </w:rPr>
        <w:t xml:space="preserve">SIGNATURES* </w:t>
      </w:r>
    </w:p>
    <w:p>
      <w:pPr>
        <w:pStyle w:val="TextBody"/>
        <w:bidi w:val="0"/>
        <w:jc w:val="left"/>
        <w:rPr>
          <w:rFonts w:ascii="TimesNewRomanPSMT" w:hAnsi="TimesNewRomanPSMT"/>
          <w:sz w:val="20"/>
        </w:rPr>
      </w:pPr>
      <w:r>
        <w:rPr>
          <w:rFonts w:ascii="TimesNewRomanPSMT" w:hAnsi="TimesNewRomanPSMT"/>
          <w:sz w:val="20"/>
        </w:rPr>
        <w:t xml:space="preserve">Pursuant to the requirements of the Securities Exchange Act of 1934, the registrant has duly caused this report to be signed on its behalf by the undersigned thereunto duly authorized. </w:t>
      </w:r>
    </w:p>
    <w:p>
      <w:pPr>
        <w:pStyle w:val="TextBody"/>
        <w:bidi w:val="0"/>
        <w:jc w:val="left"/>
        <w:rPr>
          <w:rFonts w:ascii="TimesNewRomanPSMT" w:hAnsi="TimesNewRomanPSMT"/>
          <w:sz w:val="20"/>
        </w:rPr>
      </w:pPr>
      <w:r>
        <w:rPr>
          <w:rFonts w:ascii="TimesNewRomanPSMT" w:hAnsi="TimesNewRomanPSMT"/>
          <w:sz w:val="20"/>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PS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LibreOffice/7.5.0.3$MacOSX_AARCH64 LibreOffice_project/c21113d003cd3efa8c53188764377a8272d9d6de</Application>
  <AppVersion>15.0000</AppVersion>
  <Pages>4</Pages>
  <Words>1373</Words>
  <Characters>7366</Characters>
  <CharactersWithSpaces>8729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2023-06-04T03:00:31Z</dcterms:created>
  <dc:creator/>
  <dc:description/>
  <dc:language>en-US</dc:language>
  <cp:lastModifiedBy/>
  <dcterms:modified xsi:type="dcterms:W3CDTF">2023-06-07T16:28:16Z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