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REDEECASH EXCHANGE RULES</w:t>
      </w:r>
    </w:p>
    <w:p>
      <w:pPr>
        <w:pStyle w:val="Subtitle"/>
        <w:bidi w:val="0"/>
        <w:rPr/>
      </w:pPr>
      <w:r>
        <w:rPr/>
        <w:t>aka REDEECASH RULES</w:t>
      </w:r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Preface</w:t>
      </w:r>
    </w:p>
    <w:p>
      <w:pPr>
        <w:pStyle w:val="TextBody"/>
        <w:bidi w:val="0"/>
        <w:jc w:val="left"/>
        <w:rPr/>
      </w:pPr>
      <w:r>
        <w:rPr/>
        <w:t>As a newly registered Self-Regulatory Organization (SRO), it is crucial to establish operational rules to ensure fair and transparent operations. The following is an initial list of operational rules to consider:</w:t>
      </w:r>
    </w:p>
    <w:p>
      <w:pPr>
        <w:pStyle w:val="TextBody"/>
        <w:bidi w:val="0"/>
        <w:jc w:val="left"/>
        <w:rPr/>
      </w:pPr>
      <w:r>
        <w:rPr/>
        <w:t>The initial list of rules should serve as a foundation, and further refinement may be necessary based on the SRO's unique characteristics and regulatory environment.</w:t>
      </w:r>
    </w:p>
    <w:p>
      <w:pPr>
        <w:pStyle w:val="Normal"/>
        <w:bidi w:val="0"/>
        <w:jc w:val="left"/>
        <w:rPr/>
      </w:pPr>
      <w:r>
        <w:rPr/>
        <w:t>Blockchain was thought as a disruptor to the traditional finance model, but as we have seen in the recent events, it’s more of a wild west approach to finance where the influencers have the controlling stake and decentralized finance or DeFi is a marketing ploy, resulting in the downfall of these mayor players.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With the changes in regulation to help business raise funds, specifically The Jobs Act, blockchain can instead be another tool to lower the cost of entry to the public markets.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While the previous players in the blockchain wish to comply with AML regulation, their approach has become unnecessarily too invasive during onboarding, to raise questions of their true motives?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Lowering the cost to enter the public markets as well as a streamline approached for AML compliance is the goal of Redeecash Exchange SRO, all in while providing liquidity to market sectors where there were no liquidity.</w:t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1</w:t>
      </w:r>
      <w:r>
        <w:rPr/>
        <w:t>000</w:t>
      </w:r>
      <w:r>
        <w:rPr/>
        <w:t>. Membership Requirements: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clear criteria and qualifications for membership in the SRO.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Define the application and review process for prospective members.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Outline ongoing obligations and responsibilities for SRO members.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listing process begins with completing the </w:t>
      </w:r>
      <w:hyperlink r:id="rId2">
        <w:r>
          <w:rPr>
            <w:rStyle w:val="InternetLink"/>
          </w:rPr>
          <w:t>application</w:t>
        </w:r>
      </w:hyperlink>
      <w:r>
        <w:rPr/>
        <w:t>. The entity should have a public record with the SEC EDGAR and have file notice of their intended exempt offering or have either files a DRS or S-1.</w:t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2</w:t>
      </w:r>
      <w:r>
        <w:rPr/>
        <w:t>000</w:t>
      </w:r>
      <w:r>
        <w:rPr/>
        <w:t>. Regulatory Compliance: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Develop and enforce rules and regulations in alignment with applicable laws and regulations.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a compliance monitoring program to ensure members' adherence to regulatory requirements.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reporting mechanisms for member non-compliance and violations.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3</w:t>
      </w:r>
      <w:r>
        <w:rPr/>
        <w:t>000</w:t>
      </w:r>
      <w:r>
        <w:rPr/>
        <w:t>. Market Surveillance and Enforcement: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market surveillance mechanisms to detect and address market manipulation, insider trading, and other illicit activities.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robust enforcement procedures to investigate and take appropriate actions against rule violators.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Define penalties and disciplinary measures for non-compliant members.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4</w:t>
      </w:r>
      <w:r>
        <w:rPr/>
        <w:t>000</w:t>
      </w:r>
      <w:r>
        <w:rPr/>
        <w:t>. Financial Responsibility: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capital adequacy requirements for member firms to ensure financial stability.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risk management and contingency planning measures to mitigate potential financial risks.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procedures for financial audits and reporting.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5</w:t>
      </w:r>
      <w:r>
        <w:rPr/>
        <w:t>000</w:t>
      </w:r>
      <w:r>
        <w:rPr/>
        <w:t>. Investor Protection: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Develop investor education initiatives to promote awareness and understanding of risks associated with trading.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mechanisms to handle investor complaints and facilitate dispute resolution.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measures to safeguard investor assets and promote fair treatment of investors.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6</w:t>
      </w:r>
      <w:r>
        <w:rPr/>
        <w:t>000</w:t>
      </w:r>
      <w:r>
        <w:rPr/>
        <w:t>. Governance and Transparency: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a governance framework with clear roles and responsibilities for SRO management, board of directors, and committees.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Develop transparent decision-making processes and communication channels with members and the public.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mechanisms for public disclosure of key SRO policies, rules, and regulatory updates.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7</w:t>
      </w:r>
      <w:r>
        <w:rPr/>
        <w:t>000</w:t>
      </w:r>
      <w:r>
        <w:rPr/>
        <w:t>. Technology and System Integrity: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Implement robust technological infrastructure and systems to support efficient and secure operations.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cybersecurity protocols and measures to safeguard sensitive data and protect against unauthorized access.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Conduct regular system audits and testing to ensure system reliability and integrity.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8</w:t>
      </w:r>
      <w:r>
        <w:rPr/>
        <w:t>000</w:t>
      </w:r>
      <w:r>
        <w:rPr/>
        <w:t>. Continuing Education and Professional Development: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Develop educational programs and training initiatives to enhance members' knowledge of industry best practices, regulations, and ethics.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Encourage professional development and certifications for members to promote competence and professionalism.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Blockchain and token trading are new technologies, raises the importance of proper education.</w:t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9</w:t>
      </w:r>
      <w:r>
        <w:rPr/>
        <w:t>000</w:t>
      </w:r>
      <w:r>
        <w:rPr/>
        <w:t>. Collaboration with Regulatory Bodies: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Foster collaboration and information sharing with relevant regulatory bodies and authorities.</w:t>
      </w:r>
    </w:p>
    <w:p>
      <w:pPr>
        <w:pStyle w:val="TextBody"/>
        <w:bidi w:val="0"/>
        <w:jc w:val="left"/>
        <w:rPr/>
      </w:pPr>
      <w:r>
        <w:rPr/>
        <w:t xml:space="preserve">   </w:t>
      </w:r>
      <w:r>
        <w:rPr/>
        <w:t>- Establish communication channels to report potential regulatory concerns or issues promptly.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Exempt offerings are have state requirements. Upon effectiveness of the exempt offering, the appropriate states will be notified of the new listing.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Other collaboration is outlined in the </w:t>
      </w:r>
      <w:hyperlink r:id="rId3">
        <w:r>
          <w:rPr>
            <w:rStyle w:val="InternetLink"/>
          </w:rPr>
          <w:t>AML Policy</w:t>
        </w:r>
      </w:hyperlink>
      <w:r>
        <w:rPr/>
        <w:t xml:space="preserve">. </w:t>
      </w:r>
      <w:r>
        <w:br w:type="page"/>
      </w:r>
    </w:p>
    <w:p>
      <w:pPr>
        <w:pStyle w:val="Heading1"/>
        <w:bidi w:val="0"/>
        <w:jc w:val="left"/>
        <w:rPr/>
      </w:pPr>
      <w:r>
        <w:rPr/>
        <w:t xml:space="preserve">Rule </w:t>
      </w:r>
      <w:r>
        <w:rPr/>
        <w:t>10</w:t>
      </w:r>
      <w:r>
        <w:rPr/>
        <w:t>000</w:t>
      </w:r>
      <w:r>
        <w:rPr/>
        <w:t>. Periodic Review and Amendments:</w:t>
      </w:r>
    </w:p>
    <w:p>
      <w:pPr>
        <w:pStyle w:val="Heading2"/>
        <w:bidi w:val="0"/>
        <w:jc w:val="left"/>
        <w:rPr/>
      </w:pPr>
      <w:r>
        <w:rPr/>
        <w:t>Purpose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- Conduct periodic reviews of operational rules to assess their effectiveness and relevance.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- Incorporate feedback from members, industry stakeholders, and regulatory authorities for rule amendments and updates.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ingleware/redeecash.exchange/blob/main/files/listing-application.pdf" TargetMode="External"/><Relationship Id="rId3" Type="http://schemas.openxmlformats.org/officeDocument/2006/relationships/hyperlink" Target="https://github.com/pingleware/redeecash.exchange/blob/main/files/aml-policy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LibreOffice/7.5.0.3$MacOSX_AARCH64 LibreOffice_project/c21113d003cd3efa8c53188764377a8272d9d6de</Application>
  <AppVersion>15.0000</AppVersion>
  <Pages>12</Pages>
  <Words>700</Words>
  <Characters>4279</Characters>
  <CharactersWithSpaces>5005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2023-06-09T08:56:29Z</dcterms:created>
  <dc:creator/>
  <dc:description/>
  <dc:language>en-US</dc:language>
  <cp:lastModifiedBy/>
  <dcterms:modified xsi:type="dcterms:W3CDTF">2023-06-09T09:31:32Z</dcterms:modified>
  <cp:revision>6</cp:revision>
  <dc:subject/>
  <dc:title/>
</cp:coreProperties>
</file>