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48d889874d30df218939e640373ae840a9030b3"/>
    <w:p>
      <w:pPr>
        <w:pStyle w:val="Heading1"/>
      </w:pPr>
      <w:r>
        <w:t xml:space="preserve">Globalization &amp; Localization Platform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GLO</w:t>
      </w:r>
    </w:p>
    <w:p>
      <w:pPr>
        <w:pStyle w:val="BodyText"/>
      </w:pPr>
      <w:r>
        <w:t xml:space="preserve">Document Type: Platform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10-multi-tenancy-design.md</w:t>
      </w:r>
    </w:p>
    <w:p>
      <w:pPr>
        <w:pStyle w:val="Compact"/>
        <w:numPr>
          <w:ilvl w:val="0"/>
          <w:numId w:val="1001"/>
        </w:numPr>
      </w:pPr>
      <w:r>
        <w:t xml:space="preserve">18-payroll-management-module.md</w:t>
      </w:r>
    </w:p>
    <w:p>
      <w:pPr>
        <w:pStyle w:val="Compact"/>
        <w:numPr>
          <w:ilvl w:val="0"/>
          <w:numId w:val="1001"/>
        </w:numPr>
      </w:pPr>
      <w:r>
        <w:t xml:space="preserve">24-notification-communication-module.md</w:t>
      </w:r>
    </w:p>
    <w:p>
      <w:pPr>
        <w:pStyle w:val="Compact"/>
        <w:numPr>
          <w:ilvl w:val="0"/>
          <w:numId w:val="1001"/>
        </w:numPr>
      </w:pPr>
      <w:r>
        <w:t xml:space="preserve">27-mobile-app-platform.md</w:t>
      </w:r>
    </w:p>
    <w:p>
      <w:pPr>
        <w:pStyle w:val="Compact"/>
        <w:numPr>
          <w:ilvl w:val="0"/>
          <w:numId w:val="1001"/>
        </w:numPr>
      </w:pPr>
      <w:r>
        <w:t xml:space="preserve">34-organization-management-module.md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Globalization &amp; Localization Platform enables PhoenixHRMS to support organizations operating across multiple countries, languages, currencies, time zones, legal jurisdictions, and cultural regions.</w:t>
      </w:r>
    </w:p>
    <w:p>
      <w:pPr>
        <w:pStyle w:val="BodyText"/>
      </w:pPr>
      <w:r>
        <w:t xml:space="preserve">The platform provides a framework for delivering globally consistent experiences while supporting local business, legal, payroll, and compliance requirements.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Support global workforce operations</w:t>
      </w:r>
    </w:p>
    <w:p>
      <w:pPr>
        <w:pStyle w:val="Compact"/>
        <w:numPr>
          <w:ilvl w:val="0"/>
          <w:numId w:val="1002"/>
        </w:numPr>
      </w:pPr>
      <w:r>
        <w:t xml:space="preserve">Enable regional compliance</w:t>
      </w:r>
    </w:p>
    <w:p>
      <w:pPr>
        <w:pStyle w:val="Compact"/>
        <w:numPr>
          <w:ilvl w:val="0"/>
          <w:numId w:val="1002"/>
        </w:numPr>
      </w:pPr>
      <w:r>
        <w:t xml:space="preserve">Improve employee experience</w:t>
      </w:r>
    </w:p>
    <w:p>
      <w:pPr>
        <w:pStyle w:val="Compact"/>
        <w:numPr>
          <w:ilvl w:val="0"/>
          <w:numId w:val="1002"/>
        </w:numPr>
      </w:pPr>
      <w:r>
        <w:t xml:space="preserve">Simplify international expansion</w:t>
      </w:r>
    </w:p>
    <w:p>
      <w:pPr>
        <w:pStyle w:val="Compact"/>
        <w:numPr>
          <w:ilvl w:val="0"/>
          <w:numId w:val="1002"/>
        </w:numPr>
      </w:pPr>
      <w:r>
        <w:t xml:space="preserve">Reduce localization effort</w:t>
      </w:r>
    </w:p>
    <w:p>
      <w:pPr>
        <w:pStyle w:val="Compact"/>
        <w:numPr>
          <w:ilvl w:val="0"/>
          <w:numId w:val="1002"/>
        </w:numPr>
      </w:pPr>
      <w:r>
        <w:t xml:space="preserve">Maintain global governance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globalization-vision"/>
    <w:p>
      <w:pPr>
        <w:pStyle w:val="Heading1"/>
      </w:pPr>
      <w:r>
        <w:t xml:space="preserve">2. Globalization Vision</w:t>
      </w:r>
    </w:p>
    <w:p>
      <w:pPr>
        <w:pStyle w:val="SourceCode"/>
      </w:pPr>
      <w:r>
        <w:rPr>
          <w:rStyle w:val="VerbatimChar"/>
        </w:rPr>
        <w:t xml:space="preserve">Global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Regional 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Country 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 Compliance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Localized Experience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bookmarkEnd w:id="25"/>
    <w:bookmarkStart w:id="28" w:name="platform-scope"/>
    <w:p>
      <w:pPr>
        <w:pStyle w:val="Heading1"/>
      </w:pPr>
      <w:r>
        <w:t xml:space="preserve">3. Platform Scope</w:t>
      </w:r>
    </w:p>
    <w:bookmarkStart w:id="26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Multi-Country Support</w:t>
      </w:r>
    </w:p>
    <w:p>
      <w:pPr>
        <w:pStyle w:val="BodyText"/>
      </w:pPr>
      <w:r>
        <w:t xml:space="preserve">Multi-Language Support</w:t>
      </w:r>
    </w:p>
    <w:p>
      <w:pPr>
        <w:pStyle w:val="BodyText"/>
      </w:pPr>
      <w:r>
        <w:t xml:space="preserve">Multi-Currency Support</w:t>
      </w:r>
    </w:p>
    <w:p>
      <w:pPr>
        <w:pStyle w:val="BodyText"/>
      </w:pPr>
      <w:r>
        <w:t xml:space="preserve">Time Zone Management</w:t>
      </w:r>
    </w:p>
    <w:p>
      <w:pPr>
        <w:pStyle w:val="BodyText"/>
      </w:pPr>
      <w:r>
        <w:t xml:space="preserve">Regional Compliance</w:t>
      </w:r>
    </w:p>
    <w:p>
      <w:pPr>
        <w:pStyle w:val="BodyText"/>
      </w:pPr>
      <w:r>
        <w:t xml:space="preserve">Localization Framework</w:t>
      </w:r>
    </w:p>
    <w:p>
      <w:pPr>
        <w:pStyle w:val="BodyText"/>
      </w:pPr>
      <w:r>
        <w:t xml:space="preserve">Holiday Management</w:t>
      </w:r>
    </w:p>
    <w:p>
      <w:pPr>
        <w:pStyle w:val="BodyText"/>
      </w:pPr>
      <w:r>
        <w:t xml:space="preserve">Country Payroll Configuration</w:t>
      </w:r>
    </w:p>
    <w:p>
      <w:pPr>
        <w:pStyle w:val="BodyText"/>
      </w:pPr>
      <w:r>
        <w:t xml:space="preserve">Global Workforce Support</w:t>
      </w:r>
    </w:p>
    <w:p>
      <w:pPr>
        <w:pStyle w:val="BodyText"/>
      </w:pPr>
      <w:r>
        <w:t xml:space="preserve">International Mobility</w:t>
      </w:r>
    </w:p>
    <w:p>
      <w:r>
        <w:pict>
          <v:rect style="width:0;height:1.5pt" o:hralign="center" o:hrstd="t" o:hr="t"/>
        </w:pict>
      </w:r>
    </w:p>
    <w:bookmarkEnd w:id="26"/>
    <w:bookmarkStart w:id="27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Immigration Legal Services</w:t>
      </w:r>
    </w:p>
    <w:p>
      <w:pPr>
        <w:pStyle w:val="BodyText"/>
      </w:pPr>
      <w:r>
        <w:t xml:space="preserve">International Tax Filing</w:t>
      </w:r>
    </w:p>
    <w:p>
      <w:pPr>
        <w:pStyle w:val="BodyText"/>
      </w:pPr>
      <w:r>
        <w:t xml:space="preserve">External Mobility Vendors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global-operating-model"/>
    <w:p>
      <w:pPr>
        <w:pStyle w:val="Heading1"/>
      </w:pPr>
      <w:r>
        <w:t xml:space="preserve">4. Global Operating Model</w:t>
      </w:r>
    </w:p>
    <w:bookmarkStart w:id="29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Global Organization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Country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Legal Entity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</w:t>
      </w:r>
    </w:p>
    <w:p>
      <w:r>
        <w:pict>
          <v:rect style="width:0;height:1.5pt" o:hralign="center" o:hrstd="t" o:hr="t"/>
        </w:pict>
      </w:r>
    </w:p>
    <w:bookmarkEnd w:id="29"/>
    <w:bookmarkStart w:id="30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Global Governance</w:t>
      </w:r>
    </w:p>
    <w:p>
      <w:pPr>
        <w:pStyle w:val="BodyText"/>
      </w:pPr>
      <w:r>
        <w:t xml:space="preserve">Regional Flexibility</w:t>
      </w:r>
    </w:p>
    <w:p>
      <w:pPr>
        <w:pStyle w:val="BodyText"/>
      </w:pPr>
      <w:r>
        <w:t xml:space="preserve">Country Compliance</w:t>
      </w:r>
    </w:p>
    <w:p>
      <w:pPr>
        <w:pStyle w:val="BodyText"/>
      </w:pPr>
      <w:r>
        <w:t xml:space="preserve">Unified Reporting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untry-management"/>
    <w:p>
      <w:pPr>
        <w:pStyle w:val="Heading1"/>
      </w:pPr>
      <w:r>
        <w:t xml:space="preserve">5. Country Management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 supported countries.</w:t>
      </w:r>
    </w:p>
    <w:p>
      <w:r>
        <w:pict>
          <v:rect style="width:0;height:1.5pt" o:hralign="center" o:hrstd="t" o:hr="t"/>
        </w:pict>
      </w:r>
    </w:p>
    <w:bookmarkEnd w:id="32"/>
    <w:bookmarkStart w:id="33" w:name="country-attributes"/>
    <w:p>
      <w:pPr>
        <w:pStyle w:val="Heading2"/>
      </w:pPr>
      <w:r>
        <w:t xml:space="preserve">Country Attributes</w:t>
      </w:r>
    </w:p>
    <w:p>
      <w:pPr>
        <w:pStyle w:val="FirstParagraph"/>
      </w:pPr>
      <w:r>
        <w:t xml:space="preserve">Country Name</w:t>
      </w:r>
    </w:p>
    <w:p>
      <w:pPr>
        <w:pStyle w:val="BodyText"/>
      </w:pPr>
      <w:r>
        <w:t xml:space="preserve">ISO Country Code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Timezone</w:t>
      </w:r>
    </w:p>
    <w:p>
      <w:pPr>
        <w:pStyle w:val="BodyText"/>
      </w:pPr>
      <w:r>
        <w:t xml:space="preserve">Locale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Regulatory Settings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3"/>
    <w:bookmarkStart w:id="34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India</w:t>
      </w:r>
      <w:r>
        <w:br/>
      </w:r>
      <w:r>
        <w:br/>
      </w:r>
      <w:r>
        <w:rPr>
          <w:rStyle w:val="VerbatimChar"/>
        </w:rPr>
        <w:t xml:space="preserve">IN</w:t>
      </w:r>
      <w:r>
        <w:br/>
      </w:r>
      <w:r>
        <w:br/>
      </w:r>
      <w:r>
        <w:rPr>
          <w:rStyle w:val="VerbatimChar"/>
        </w:rPr>
        <w:t xml:space="preserve">INR</w:t>
      </w:r>
      <w:r>
        <w:br/>
      </w:r>
      <w:r>
        <w:br/>
      </w:r>
      <w:r>
        <w:rPr>
          <w:rStyle w:val="VerbatimChar"/>
        </w:rPr>
        <w:t xml:space="preserve">Asia/Kolkata</w:t>
      </w:r>
      <w:r>
        <w:br/>
      </w:r>
      <w:r>
        <w:br/>
      </w:r>
      <w:r>
        <w:rPr>
          <w:rStyle w:val="VerbatimChar"/>
        </w:rPr>
        <w:t xml:space="preserve">en-IN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egional-management"/>
    <w:p>
      <w:pPr>
        <w:pStyle w:val="Heading1"/>
      </w:pPr>
      <w:r>
        <w:t xml:space="preserve">6. Regional Management</w:t>
      </w:r>
    </w:p>
    <w:bookmarkStart w:id="36" w:name="regions"/>
    <w:p>
      <w:pPr>
        <w:pStyle w:val="Heading2"/>
      </w:pPr>
      <w:r>
        <w:t xml:space="preserve">Regions</w:t>
      </w:r>
    </w:p>
    <w:p>
      <w:pPr>
        <w:pStyle w:val="FirstParagraph"/>
      </w:pPr>
      <w:r>
        <w:t xml:space="preserve">APAC</w:t>
      </w:r>
    </w:p>
    <w:p>
      <w:pPr>
        <w:pStyle w:val="BodyText"/>
      </w:pPr>
      <w:r>
        <w:t xml:space="preserve">EMEA</w:t>
      </w:r>
    </w:p>
    <w:p>
      <w:pPr>
        <w:pStyle w:val="BodyText"/>
      </w:pPr>
      <w:r>
        <w:t xml:space="preserve">North America</w:t>
      </w:r>
    </w:p>
    <w:p>
      <w:pPr>
        <w:pStyle w:val="BodyText"/>
      </w:pPr>
      <w:r>
        <w:t xml:space="preserve">South America</w:t>
      </w:r>
    </w:p>
    <w:p>
      <w:pPr>
        <w:pStyle w:val="BodyText"/>
      </w:pPr>
      <w:r>
        <w:t xml:space="preserve">Middle East</w:t>
      </w:r>
    </w:p>
    <w:p>
      <w:pPr>
        <w:pStyle w:val="BodyText"/>
      </w:pPr>
      <w:r>
        <w:t xml:space="preserve">Africa</w:t>
      </w:r>
    </w:p>
    <w:p>
      <w:r>
        <w:pict>
          <v:rect style="width:0;height:1.5pt" o:hralign="center" o:hrstd="t" o:hr="t"/>
        </w:pict>
      </w:r>
    </w:p>
    <w:bookmarkEnd w:id="36"/>
    <w:bookmarkStart w:id="37" w:name="benefits-1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Regional Policies</w:t>
      </w:r>
    </w:p>
    <w:p>
      <w:pPr>
        <w:pStyle w:val="BodyText"/>
      </w:pPr>
      <w:r>
        <w:t xml:space="preserve">Regional Reporting</w:t>
      </w:r>
    </w:p>
    <w:p>
      <w:pPr>
        <w:pStyle w:val="BodyText"/>
      </w:pPr>
      <w:r>
        <w:t xml:space="preserve">Regional Compliance</w:t>
      </w:r>
    </w:p>
    <w:p>
      <w:pPr>
        <w:pStyle w:val="BodyText"/>
      </w:pPr>
      <w:r>
        <w:t xml:space="preserve">Regional Analytics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ulti-language-framework"/>
    <w:p>
      <w:pPr>
        <w:pStyle w:val="Heading1"/>
      </w:pPr>
      <w:r>
        <w:t xml:space="preserve">7. Multi-Language Framework</w:t>
      </w:r>
    </w:p>
    <w:bookmarkStart w:id="3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localized user experiences.</w:t>
      </w:r>
    </w:p>
    <w:p>
      <w:r>
        <w:pict>
          <v:rect style="width:0;height:1.5pt" o:hralign="center" o:hrstd="t" o:hr="t"/>
        </w:pict>
      </w:r>
    </w:p>
    <w:bookmarkEnd w:id="39"/>
    <w:bookmarkStart w:id="40" w:name="supported-areas"/>
    <w:p>
      <w:pPr>
        <w:pStyle w:val="Heading2"/>
      </w:pPr>
      <w:r>
        <w:t xml:space="preserve">Supported Areas</w:t>
      </w:r>
    </w:p>
    <w:p>
      <w:pPr>
        <w:pStyle w:val="FirstParagraph"/>
      </w:pPr>
      <w:r>
        <w:t xml:space="preserve">User Interface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AI Responses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Emails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language-management"/>
    <w:p>
      <w:pPr>
        <w:pStyle w:val="Heading1"/>
      </w:pPr>
      <w:r>
        <w:t xml:space="preserve">8. Language Management</w:t>
      </w:r>
    </w:p>
    <w:bookmarkStart w:id="42" w:name="supported-languages"/>
    <w:p>
      <w:pPr>
        <w:pStyle w:val="Heading2"/>
      </w:pPr>
      <w:r>
        <w:t xml:space="preserve">Supported Languages</w:t>
      </w:r>
    </w:p>
    <w:p>
      <w:pPr>
        <w:pStyle w:val="FirstParagraph"/>
      </w:pPr>
      <w:r>
        <w:t xml:space="preserve">English</w:t>
      </w:r>
    </w:p>
    <w:p>
      <w:pPr>
        <w:pStyle w:val="BodyText"/>
      </w:pPr>
      <w:r>
        <w:t xml:space="preserve">Hindi</w:t>
      </w:r>
    </w:p>
    <w:p>
      <w:pPr>
        <w:pStyle w:val="BodyText"/>
      </w:pPr>
      <w:r>
        <w:t xml:space="preserve">Arabic</w:t>
      </w:r>
    </w:p>
    <w:p>
      <w:pPr>
        <w:pStyle w:val="BodyText"/>
      </w:pPr>
      <w:r>
        <w:t xml:space="preserve">French</w:t>
      </w:r>
    </w:p>
    <w:p>
      <w:pPr>
        <w:pStyle w:val="BodyText"/>
      </w:pPr>
      <w:r>
        <w:t xml:space="preserve">German</w:t>
      </w:r>
    </w:p>
    <w:p>
      <w:pPr>
        <w:pStyle w:val="BodyText"/>
      </w:pPr>
      <w:r>
        <w:t xml:space="preserve">Spanish</w:t>
      </w:r>
    </w:p>
    <w:p>
      <w:pPr>
        <w:pStyle w:val="BodyText"/>
      </w:pPr>
      <w:r>
        <w:t xml:space="preserve">Italian</w:t>
      </w:r>
    </w:p>
    <w:p>
      <w:pPr>
        <w:pStyle w:val="BodyText"/>
      </w:pPr>
      <w:r>
        <w:t xml:space="preserve">Portuguese</w:t>
      </w:r>
    </w:p>
    <w:p>
      <w:pPr>
        <w:pStyle w:val="BodyText"/>
      </w:pPr>
      <w:r>
        <w:t xml:space="preserve">Japanese</w:t>
      </w:r>
    </w:p>
    <w:p>
      <w:pPr>
        <w:pStyle w:val="BodyText"/>
      </w:pPr>
      <w:r>
        <w:t xml:space="preserve">Chinese</w:t>
      </w:r>
    </w:p>
    <w:p>
      <w:pPr>
        <w:pStyle w:val="BodyText"/>
      </w:pPr>
      <w:r>
        <w:t xml:space="preserve">Korean</w:t>
      </w:r>
    </w:p>
    <w:p>
      <w:r>
        <w:pict>
          <v:rect style="width:0;height:1.5pt" o:hralign="center" o:hrstd="t" o:hr="t"/>
        </w:pict>
      </w:r>
    </w:p>
    <w:bookmarkEnd w:id="42"/>
    <w:bookmarkStart w:id="43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Language Packs</w:t>
      </w:r>
    </w:p>
    <w:p>
      <w:pPr>
        <w:pStyle w:val="BodyText"/>
      </w:pPr>
      <w:r>
        <w:t xml:space="preserve">Fallback Languages</w:t>
      </w:r>
    </w:p>
    <w:p>
      <w:pPr>
        <w:pStyle w:val="BodyText"/>
      </w:pPr>
      <w:r>
        <w:t xml:space="preserve">Translation Management</w:t>
      </w:r>
    </w:p>
    <w:p>
      <w:pPr>
        <w:pStyle w:val="BodyText"/>
      </w:pPr>
      <w:r>
        <w:t xml:space="preserve">Version Tracking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ocalization-architecture"/>
    <w:p>
      <w:pPr>
        <w:pStyle w:val="Heading1"/>
      </w:pPr>
      <w:r>
        <w:t xml:space="preserve">9. Localization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Preferred Language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Localization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Translated Content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Localized UI</w:t>
      </w:r>
    </w:p>
    <w:p>
      <w:r>
        <w:pict>
          <v:rect style="width:0;height:1.5pt" o:hralign="center" o:hrstd="t" o:hr="t"/>
        </w:pict>
      </w:r>
    </w:p>
    <w:bookmarkEnd w:id="45"/>
    <w:bookmarkStart w:id="48" w:name="translation-management"/>
    <w:p>
      <w:pPr>
        <w:pStyle w:val="Heading1"/>
      </w:pPr>
      <w:r>
        <w:t xml:space="preserve">10. Translation Management</w:t>
      </w:r>
    </w:p>
    <w:bookmarkStart w:id="46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Translation Keys</w:t>
      </w:r>
    </w:p>
    <w:p>
      <w:pPr>
        <w:pStyle w:val="BodyText"/>
      </w:pPr>
      <w:r>
        <w:t xml:space="preserve">Translation Catalogs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Review Workflow</w:t>
      </w:r>
    </w:p>
    <w:p>
      <w:pPr>
        <w:pStyle w:val="BodyText"/>
      </w:pPr>
      <w:r>
        <w:t xml:space="preserve">Translation Memory</w:t>
      </w:r>
    </w:p>
    <w:p>
      <w:r>
        <w:pict>
          <v:rect style="width:0;height:1.5pt" o:hralign="center" o:hrstd="t" o:hr="t"/>
        </w:pict>
      </w:r>
    </w:p>
    <w:bookmarkEnd w:id="46"/>
    <w:bookmarkStart w:id="47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employee.profile.save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Guardar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Speichern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locale-management"/>
    <w:p>
      <w:pPr>
        <w:pStyle w:val="Heading1"/>
      </w:pPr>
      <w:r>
        <w:t xml:space="preserve">11. Locale Management</w:t>
      </w:r>
    </w:p>
    <w:bookmarkStart w:id="49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 regional formatting.</w:t>
      </w:r>
    </w:p>
    <w:p>
      <w:r>
        <w:pict>
          <v:rect style="width:0;height:1.5pt" o:hralign="center" o:hrstd="t" o:hr="t"/>
        </w:pict>
      </w:r>
    </w:p>
    <w:bookmarkEnd w:id="49"/>
    <w:bookmarkStart w:id="50" w:name="supported-formats"/>
    <w:p>
      <w:pPr>
        <w:pStyle w:val="Heading2"/>
      </w:pPr>
      <w:r>
        <w:t xml:space="preserve">Supported Formats</w:t>
      </w:r>
    </w:p>
    <w:p>
      <w:pPr>
        <w:pStyle w:val="FirstParagraph"/>
      </w:pPr>
      <w:r>
        <w:t xml:space="preserve">Dates</w:t>
      </w:r>
    </w:p>
    <w:p>
      <w:pPr>
        <w:pStyle w:val="BodyText"/>
      </w:pPr>
      <w:r>
        <w:t xml:space="preserve">Times</w:t>
      </w:r>
    </w:p>
    <w:p>
      <w:pPr>
        <w:pStyle w:val="BodyText"/>
      </w:pPr>
      <w:r>
        <w:t xml:space="preserve">Numbers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Phone Numbers</w:t>
      </w:r>
    </w:p>
    <w:p>
      <w:pPr>
        <w:pStyle w:val="BodyText"/>
      </w:pPr>
      <w:r>
        <w:t xml:space="preserve">Names</w:t>
      </w:r>
    </w:p>
    <w:p>
      <w:r>
        <w:pict>
          <v:rect style="width:0;height:1.5pt" o:hralign="center" o:hrstd="t" o:hr="t"/>
        </w:pict>
      </w:r>
    </w:p>
    <w:bookmarkEnd w:id="50"/>
    <w:bookmarkStart w:id="51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US</w:t>
      </w:r>
    </w:p>
    <w:p>
      <w:pPr>
        <w:pStyle w:val="BodyText"/>
      </w:pPr>
      <w:r>
        <w:t xml:space="preserve">MM/DD/YYYY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India</w:t>
      </w:r>
    </w:p>
    <w:p>
      <w:pPr>
        <w:pStyle w:val="BodyText"/>
      </w:pPr>
      <w:r>
        <w:t xml:space="preserve">DD/MM/YYYY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Germany</w:t>
      </w:r>
    </w:p>
    <w:p>
      <w:pPr>
        <w:pStyle w:val="BodyText"/>
      </w:pPr>
      <w:r>
        <w:t xml:space="preserve">DD.MM.YYYY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time-zone-management"/>
    <w:p>
      <w:pPr>
        <w:pStyle w:val="Heading1"/>
      </w:pPr>
      <w:r>
        <w:t xml:space="preserve">12. Time Zone Management</w:t>
      </w:r>
    </w:p>
    <w:bookmarkStart w:id="53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global workforce operations.</w:t>
      </w:r>
    </w:p>
    <w:p>
      <w:r>
        <w:pict>
          <v:rect style="width:0;height:1.5pt" o:hralign="center" o:hrstd="t" o:hr="t"/>
        </w:pict>
      </w:r>
    </w:p>
    <w:bookmarkEnd w:id="53"/>
    <w:bookmarkStart w:id="54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User Time Zones</w:t>
      </w:r>
    </w:p>
    <w:p>
      <w:pPr>
        <w:pStyle w:val="BodyText"/>
      </w:pPr>
      <w:r>
        <w:t xml:space="preserve">Location Time Zones</w:t>
      </w:r>
    </w:p>
    <w:p>
      <w:pPr>
        <w:pStyle w:val="BodyText"/>
      </w:pPr>
      <w:r>
        <w:t xml:space="preserve">Automatic Conversion</w:t>
      </w:r>
    </w:p>
    <w:p>
      <w:pPr>
        <w:pStyle w:val="BodyText"/>
      </w:pPr>
      <w:r>
        <w:t xml:space="preserve">Meeting Scheduling</w:t>
      </w:r>
    </w:p>
    <w:p>
      <w:pPr>
        <w:pStyle w:val="BodyText"/>
      </w:pPr>
      <w:r>
        <w:t xml:space="preserve">Shift Alignment</w:t>
      </w:r>
    </w:p>
    <w:p>
      <w:r>
        <w:pict>
          <v:rect style="width:0;height:1.5pt" o:hralign="center" o:hrstd="t" o:hr="t"/>
        </w:pict>
      </w:r>
    </w:p>
    <w:bookmarkEnd w:id="54"/>
    <w:bookmarkStart w:id="55" w:name="examples-1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Asia/Kolkata</w:t>
      </w:r>
    </w:p>
    <w:p>
      <w:pPr>
        <w:pStyle w:val="BodyText"/>
      </w:pPr>
      <w:r>
        <w:t xml:space="preserve">Europe/Berlin</w:t>
      </w:r>
    </w:p>
    <w:p>
      <w:pPr>
        <w:pStyle w:val="BodyText"/>
      </w:pPr>
      <w:r>
        <w:t xml:space="preserve">America/New_York</w:t>
      </w:r>
    </w:p>
    <w:p>
      <w:pPr>
        <w:pStyle w:val="BodyText"/>
      </w:pPr>
      <w:r>
        <w:t xml:space="preserve">Australia/Sydney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urrency-management"/>
    <w:p>
      <w:pPr>
        <w:pStyle w:val="Heading1"/>
      </w:pPr>
      <w:r>
        <w:t xml:space="preserve">13. Currency Management</w:t>
      </w:r>
    </w:p>
    <w:bookmarkStart w:id="57" w:name="supported-features"/>
    <w:p>
      <w:pPr>
        <w:pStyle w:val="Heading2"/>
      </w:pPr>
      <w:r>
        <w:t xml:space="preserve">Supported Features</w:t>
      </w:r>
    </w:p>
    <w:p>
      <w:pPr>
        <w:pStyle w:val="FirstParagraph"/>
      </w:pPr>
      <w:r>
        <w:t xml:space="preserve">Multi-Currency Payroll</w:t>
      </w:r>
    </w:p>
    <w:p>
      <w:pPr>
        <w:pStyle w:val="BodyText"/>
      </w:pPr>
      <w:r>
        <w:t xml:space="preserve">Compensation Planning</w:t>
      </w:r>
    </w:p>
    <w:p>
      <w:pPr>
        <w:pStyle w:val="BodyText"/>
      </w:pPr>
      <w:r>
        <w:t xml:space="preserve">Benefits Administration</w:t>
      </w:r>
    </w:p>
    <w:p>
      <w:pPr>
        <w:pStyle w:val="BodyText"/>
      </w:pPr>
      <w:r>
        <w:t xml:space="preserve">Expense Tracking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57"/>
    <w:bookmarkStart w:id="58" w:name="currency-attributes"/>
    <w:p>
      <w:pPr>
        <w:pStyle w:val="Heading2"/>
      </w:pPr>
      <w:r>
        <w:t xml:space="preserve">Currency Attributes</w:t>
      </w:r>
    </w:p>
    <w:p>
      <w:pPr>
        <w:pStyle w:val="FirstParagraph"/>
      </w:pPr>
      <w:r>
        <w:t xml:space="preserve">Currency Code</w:t>
      </w:r>
    </w:p>
    <w:p>
      <w:pPr>
        <w:pStyle w:val="BodyText"/>
      </w:pPr>
      <w:r>
        <w:t xml:space="preserve">Symbol</w:t>
      </w:r>
    </w:p>
    <w:p>
      <w:pPr>
        <w:pStyle w:val="BodyText"/>
      </w:pPr>
      <w:r>
        <w:t xml:space="preserve">Decimal Rules</w:t>
      </w:r>
    </w:p>
    <w:p>
      <w:pPr>
        <w:pStyle w:val="BodyText"/>
      </w:pPr>
      <w:r>
        <w:t xml:space="preserve">Exchange Rates</w:t>
      </w:r>
    </w:p>
    <w:p>
      <w:pPr>
        <w:pStyle w:val="BodyText"/>
      </w:pPr>
      <w:r>
        <w:t xml:space="preserve">Rounding Rules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exchange-rate-management"/>
    <w:p>
      <w:pPr>
        <w:pStyle w:val="Heading1"/>
      </w:pPr>
      <w:r>
        <w:t xml:space="preserve">14. Exchange Rate Management</w:t>
      </w:r>
    </w:p>
    <w:bookmarkStart w:id="60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Manual Entry</w:t>
      </w:r>
    </w:p>
    <w:p>
      <w:pPr>
        <w:pStyle w:val="BodyText"/>
      </w:pPr>
      <w:r>
        <w:t xml:space="preserve">Market Feed</w:t>
      </w:r>
    </w:p>
    <w:p>
      <w:pPr>
        <w:pStyle w:val="BodyText"/>
      </w:pPr>
      <w:r>
        <w:t xml:space="preserve">ERP Integration</w:t>
      </w:r>
    </w:p>
    <w:p>
      <w:pPr>
        <w:pStyle w:val="BodyText"/>
      </w:pPr>
      <w:r>
        <w:t xml:space="preserve">Bank Integration</w:t>
      </w:r>
    </w:p>
    <w:p>
      <w:r>
        <w:pict>
          <v:rect style="width:0;height:1.5pt" o:hralign="center" o:hrstd="t" o:hr="t"/>
        </w:pict>
      </w:r>
    </w:p>
    <w:bookmarkEnd w:id="60"/>
    <w:bookmarkStart w:id="61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Compensation Analytics</w:t>
      </w:r>
    </w:p>
    <w:p>
      <w:pPr>
        <w:pStyle w:val="BodyText"/>
      </w:pPr>
      <w:r>
        <w:t xml:space="preserve">Budget Planning</w:t>
      </w:r>
    </w:p>
    <w:p>
      <w:pPr>
        <w:pStyle w:val="BodyText"/>
      </w:pPr>
      <w:r>
        <w:t xml:space="preserve">Global Reporting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holiday-management"/>
    <w:p>
      <w:pPr>
        <w:pStyle w:val="Heading1"/>
      </w:pPr>
      <w:r>
        <w:t xml:space="preserve">15. Holiday Management</w:t>
      </w:r>
    </w:p>
    <w:bookmarkStart w:id="63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regional holidays.</w:t>
      </w:r>
    </w:p>
    <w:p>
      <w:r>
        <w:pict>
          <v:rect style="width:0;height:1.5pt" o:hralign="center" o:hrstd="t" o:hr="t"/>
        </w:pict>
      </w:r>
    </w:p>
    <w:bookmarkEnd w:id="63"/>
    <w:bookmarkStart w:id="64" w:name="types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National Holidays</w:t>
      </w:r>
    </w:p>
    <w:p>
      <w:pPr>
        <w:pStyle w:val="BodyText"/>
      </w:pPr>
      <w:r>
        <w:t xml:space="preserve">Regional Holidays</w:t>
      </w:r>
    </w:p>
    <w:p>
      <w:pPr>
        <w:pStyle w:val="BodyText"/>
      </w:pPr>
      <w:r>
        <w:t xml:space="preserve">Religious Holidays</w:t>
      </w:r>
    </w:p>
    <w:p>
      <w:pPr>
        <w:pStyle w:val="BodyText"/>
      </w:pPr>
      <w:r>
        <w:t xml:space="preserve">Company Holidays</w:t>
      </w:r>
    </w:p>
    <w:p>
      <w:pPr>
        <w:pStyle w:val="BodyText"/>
      </w:pPr>
      <w:r>
        <w:t xml:space="preserve">Location Holidays</w:t>
      </w:r>
    </w:p>
    <w:p>
      <w:r>
        <w:pict>
          <v:rect style="width:0;height:1.5pt" o:hralign="center" o:hrstd="t" o:hr="t"/>
        </w:pict>
      </w:r>
    </w:p>
    <w:bookmarkEnd w:id="64"/>
    <w:bookmarkStart w:id="65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Country Calendars</w:t>
      </w:r>
    </w:p>
    <w:p>
      <w:pPr>
        <w:pStyle w:val="BodyText"/>
      </w:pPr>
      <w:r>
        <w:t xml:space="preserve">Location Calendars</w:t>
      </w:r>
    </w:p>
    <w:p>
      <w:pPr>
        <w:pStyle w:val="BodyText"/>
      </w:pPr>
      <w:r>
        <w:t xml:space="preserve">Holiday Overrides</w:t>
      </w:r>
    </w:p>
    <w:p>
      <w:pPr>
        <w:pStyle w:val="BodyText"/>
      </w:pPr>
      <w:r>
        <w:t xml:space="preserve">Recurring Holidays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working-week-configuration"/>
    <w:p>
      <w:pPr>
        <w:pStyle w:val="Heading1"/>
      </w:pPr>
      <w:r>
        <w:t xml:space="preserve">16. Working Week Configuration</w:t>
      </w:r>
    </w:p>
    <w:bookmarkStart w:id="67" w:name="examples-2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India</w:t>
      </w:r>
    </w:p>
    <w:p>
      <w:pPr>
        <w:pStyle w:val="BodyText"/>
      </w:pPr>
      <w:r>
        <w:t xml:space="preserve">Monday-Friday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Middle East</w:t>
      </w:r>
    </w:p>
    <w:p>
      <w:pPr>
        <w:pStyle w:val="BodyText"/>
      </w:pPr>
      <w:r>
        <w:t xml:space="preserve">Sunday-Thursday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Custom Schedules</w:t>
      </w:r>
    </w:p>
    <w:p>
      <w:pPr>
        <w:pStyle w:val="BodyText"/>
      </w:pPr>
      <w:r>
        <w:t xml:space="preserve">Supported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country-specific-compliance"/>
    <w:p>
      <w:pPr>
        <w:pStyle w:val="Heading1"/>
      </w:pPr>
      <w:r>
        <w:t xml:space="preserve">17. Country-Specific Compliance</w:t>
      </w:r>
    </w:p>
    <w:bookmarkStart w:id="6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local regulations.</w:t>
      </w:r>
    </w:p>
    <w:p>
      <w:r>
        <w:pict>
          <v:rect style="width:0;height:1.5pt" o:hralign="center" o:hrstd="t" o:hr="t"/>
        </w:pict>
      </w:r>
    </w:p>
    <w:bookmarkEnd w:id="69"/>
    <w:bookmarkStart w:id="70" w:name="areas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Labor Laws</w:t>
      </w:r>
    </w:p>
    <w:p>
      <w:pPr>
        <w:pStyle w:val="BodyText"/>
      </w:pPr>
      <w:r>
        <w:t xml:space="preserve">Payroll Regulations</w:t>
      </w:r>
    </w:p>
    <w:p>
      <w:pPr>
        <w:pStyle w:val="BodyText"/>
      </w:pPr>
      <w:r>
        <w:t xml:space="preserve">Tax Rules</w:t>
      </w:r>
    </w:p>
    <w:p>
      <w:pPr>
        <w:pStyle w:val="BodyText"/>
      </w:pPr>
      <w:r>
        <w:t xml:space="preserve">Benefits Rules</w:t>
      </w:r>
    </w:p>
    <w:p>
      <w:pPr>
        <w:pStyle w:val="BodyText"/>
      </w:pPr>
      <w:r>
        <w:t xml:space="preserve">Data Privacy Laws</w:t>
      </w:r>
    </w:p>
    <w:p>
      <w:pPr>
        <w:pStyle w:val="BodyText"/>
      </w:pPr>
      <w:r>
        <w:t xml:space="preserve">Termination Rules</w:t>
      </w:r>
    </w:p>
    <w:p>
      <w:pPr>
        <w:pStyle w:val="BodyText"/>
      </w:pPr>
      <w:r>
        <w:t xml:space="preserve">Leave Regulations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ompliance-profiles"/>
    <w:p>
      <w:pPr>
        <w:pStyle w:val="Heading1"/>
      </w:pPr>
      <w:r>
        <w:t xml:space="preserve">18. Compliance Profiles</w:t>
      </w:r>
    </w:p>
    <w:bookmarkStart w:id="72" w:name="structure-1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Compliance Profile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72"/>
    <w:bookmarkStart w:id="73" w:name="examples-3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India Compliance</w:t>
      </w:r>
    </w:p>
    <w:p>
      <w:pPr>
        <w:pStyle w:val="BodyText"/>
      </w:pPr>
      <w:r>
        <w:t xml:space="preserve">UAE Compliance</w:t>
      </w:r>
    </w:p>
    <w:p>
      <w:pPr>
        <w:pStyle w:val="BodyText"/>
      </w:pPr>
      <w:r>
        <w:t xml:space="preserve">UK Compliance</w:t>
      </w:r>
    </w:p>
    <w:p>
      <w:pPr>
        <w:pStyle w:val="BodyText"/>
      </w:pPr>
      <w:r>
        <w:t xml:space="preserve">Germany Compliance</w:t>
      </w:r>
    </w:p>
    <w:p>
      <w:pPr>
        <w:pStyle w:val="BodyText"/>
      </w:pPr>
      <w:r>
        <w:t xml:space="preserve">USA Compliance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ountry-payroll-configuration"/>
    <w:p>
      <w:pPr>
        <w:pStyle w:val="Heading1"/>
      </w:pPr>
      <w:r>
        <w:t xml:space="preserve">19. Country Payroll Configuration</w:t>
      </w:r>
    </w:p>
    <w:bookmarkStart w:id="75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Tax Rules</w:t>
      </w:r>
    </w:p>
    <w:p>
      <w:pPr>
        <w:pStyle w:val="BodyText"/>
      </w:pPr>
      <w:r>
        <w:t xml:space="preserve">Contribution Rules</w:t>
      </w:r>
    </w:p>
    <w:p>
      <w:pPr>
        <w:pStyle w:val="BodyText"/>
      </w:pPr>
      <w:r>
        <w:t xml:space="preserve">Benefits Rules</w:t>
      </w:r>
    </w:p>
    <w:p>
      <w:pPr>
        <w:pStyle w:val="BodyText"/>
      </w:pPr>
      <w:r>
        <w:t xml:space="preserve">Salary Components</w:t>
      </w:r>
    </w:p>
    <w:p>
      <w:pPr>
        <w:pStyle w:val="BodyText"/>
      </w:pPr>
      <w:r>
        <w:t xml:space="preserve">Payslip Formats</w:t>
      </w:r>
    </w:p>
    <w:p>
      <w:pPr>
        <w:pStyle w:val="BodyText"/>
      </w:pPr>
      <w:r>
        <w:t xml:space="preserve">Payroll Calendars</w:t>
      </w:r>
    </w:p>
    <w:p>
      <w:r>
        <w:pict>
          <v:rect style="width:0;height:1.5pt" o:hralign="center" o:hrstd="t" o:hr="t"/>
        </w:pict>
      </w:r>
    </w:p>
    <w:bookmarkEnd w:id="75"/>
    <w:bookmarkStart w:id="76" w:name="examples-4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India</w:t>
      </w:r>
    </w:p>
    <w:p>
      <w:pPr>
        <w:pStyle w:val="BodyText"/>
      </w:pPr>
      <w:r>
        <w:t xml:space="preserve">PF</w:t>
      </w:r>
    </w:p>
    <w:p>
      <w:pPr>
        <w:pStyle w:val="BodyText"/>
      </w:pPr>
      <w:r>
        <w:t xml:space="preserve">ESI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TDS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</w:t>
      </w:r>
    </w:p>
    <w:p>
      <w:pPr>
        <w:pStyle w:val="BodyText"/>
      </w:pPr>
      <w:r>
        <w:t xml:space="preserve">Federal Tax</w:t>
      </w:r>
    </w:p>
    <w:p>
      <w:pPr>
        <w:pStyle w:val="BodyText"/>
      </w:pPr>
      <w:r>
        <w:t xml:space="preserve">State Tax</w:t>
      </w:r>
    </w:p>
    <w:p>
      <w:pPr>
        <w:pStyle w:val="BodyText"/>
      </w:pPr>
      <w:r>
        <w:t xml:space="preserve">401(k)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regional-policy-management"/>
    <w:p>
      <w:pPr>
        <w:pStyle w:val="Heading1"/>
      </w:pPr>
      <w:r>
        <w:t xml:space="preserve">20. Regional Policy Management</w:t>
      </w:r>
    </w:p>
    <w:bookmarkStart w:id="78" w:name="policy-levels"/>
    <w:p>
      <w:pPr>
        <w:pStyle w:val="Heading2"/>
      </w:pPr>
      <w:r>
        <w:t xml:space="preserve">Policy Levels</w:t>
      </w:r>
    </w:p>
    <w:p>
      <w:pPr>
        <w:pStyle w:val="FirstParagraph"/>
      </w:pPr>
      <w:r>
        <w:t xml:space="preserve">Global Policy</w:t>
      </w:r>
    </w:p>
    <w:p>
      <w:pPr>
        <w:pStyle w:val="BodyText"/>
      </w:pPr>
      <w:r>
        <w:t xml:space="preserve">Regional Policy</w:t>
      </w:r>
    </w:p>
    <w:p>
      <w:pPr>
        <w:pStyle w:val="BodyText"/>
      </w:pPr>
      <w:r>
        <w:t xml:space="preserve">Country Policy</w:t>
      </w:r>
    </w:p>
    <w:p>
      <w:pPr>
        <w:pStyle w:val="BodyText"/>
      </w:pPr>
      <w:r>
        <w:t xml:space="preserve">Location Policy</w:t>
      </w:r>
    </w:p>
    <w:p>
      <w:pPr>
        <w:pStyle w:val="BodyText"/>
      </w:pPr>
      <w:r>
        <w:t xml:space="preserve">Department Policy</w:t>
      </w:r>
    </w:p>
    <w:p>
      <w:r>
        <w:pict>
          <v:rect style="width:0;height:1.5pt" o:hralign="center" o:hrstd="t" o:hr="t"/>
        </w:pict>
      </w:r>
    </w:p>
    <w:bookmarkEnd w:id="78"/>
    <w:bookmarkStart w:id="79" w:name="examples-5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Leave Policies</w:t>
      </w:r>
    </w:p>
    <w:p>
      <w:pPr>
        <w:pStyle w:val="BodyText"/>
      </w:pPr>
      <w:r>
        <w:t xml:space="preserve">Attendance Policies</w:t>
      </w:r>
    </w:p>
    <w:p>
      <w:pPr>
        <w:pStyle w:val="BodyText"/>
      </w:pPr>
      <w:r>
        <w:t xml:space="preserve">Expense Policies</w:t>
      </w:r>
    </w:p>
    <w:p>
      <w:pPr>
        <w:pStyle w:val="BodyText"/>
      </w:pPr>
      <w:r>
        <w:t xml:space="preserve">Travel Policies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global-mobility-management"/>
    <w:p>
      <w:pPr>
        <w:pStyle w:val="Heading1"/>
      </w:pPr>
      <w:r>
        <w:t xml:space="preserve">21. Global Mobility Management</w:t>
      </w:r>
    </w:p>
    <w:bookmarkStart w:id="81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workforce movement.</w:t>
      </w:r>
    </w:p>
    <w:p>
      <w:r>
        <w:pict>
          <v:rect style="width:0;height:1.5pt" o:hralign="center" o:hrstd="t" o:hr="t"/>
        </w:pict>
      </w:r>
    </w:p>
    <w:bookmarkEnd w:id="81"/>
    <w:bookmarkStart w:id="82" w:name="mobility-types"/>
    <w:p>
      <w:pPr>
        <w:pStyle w:val="Heading2"/>
      </w:pPr>
      <w:r>
        <w:t xml:space="preserve">Mobility Types</w:t>
      </w:r>
    </w:p>
    <w:p>
      <w:pPr>
        <w:pStyle w:val="FirstParagraph"/>
      </w:pPr>
      <w:r>
        <w:t xml:space="preserve">International Assignment</w:t>
      </w:r>
    </w:p>
    <w:p>
      <w:pPr>
        <w:pStyle w:val="BodyText"/>
      </w:pPr>
      <w:r>
        <w:t xml:space="preserve">Short-Term Assignment</w:t>
      </w:r>
    </w:p>
    <w:p>
      <w:pPr>
        <w:pStyle w:val="BodyText"/>
      </w:pPr>
      <w:r>
        <w:t xml:space="preserve">Permanent Transfer</w:t>
      </w:r>
    </w:p>
    <w:p>
      <w:pPr>
        <w:pStyle w:val="BodyText"/>
      </w:pPr>
      <w:r>
        <w:t xml:space="preserve">Relocation</w:t>
      </w:r>
    </w:p>
    <w:p>
      <w:pPr>
        <w:pStyle w:val="BodyText"/>
      </w:pPr>
      <w:r>
        <w:t xml:space="preserve">Remote Cross-Border Work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international-assignment-management"/>
    <w:p>
      <w:pPr>
        <w:pStyle w:val="Heading1"/>
      </w:pPr>
      <w:r>
        <w:t xml:space="preserve">22. International Assignment Management</w:t>
      </w:r>
    </w:p>
    <w:bookmarkStart w:id="84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Assignment Tracking</w:t>
      </w:r>
    </w:p>
    <w:p>
      <w:pPr>
        <w:pStyle w:val="BodyText"/>
      </w:pPr>
      <w:r>
        <w:t xml:space="preserve">Host Country</w:t>
      </w:r>
    </w:p>
    <w:p>
      <w:pPr>
        <w:pStyle w:val="BodyText"/>
      </w:pPr>
      <w:r>
        <w:t xml:space="preserve">Home Country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Compensation Adjustments</w:t>
      </w:r>
    </w:p>
    <w:p>
      <w:pPr>
        <w:pStyle w:val="BodyText"/>
      </w:pPr>
      <w:r>
        <w:t xml:space="preserve">Benefits Adjustments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visa-work-permit-management"/>
    <w:p>
      <w:pPr>
        <w:pStyle w:val="Heading1"/>
      </w:pPr>
      <w:r>
        <w:t xml:space="preserve">23. Visa &amp; Work Permit Management</w:t>
      </w:r>
    </w:p>
    <w:bookmarkStart w:id="86" w:name="features-5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Visa Tracking</w:t>
      </w:r>
    </w:p>
    <w:p>
      <w:pPr>
        <w:pStyle w:val="BodyText"/>
      </w:pPr>
      <w:r>
        <w:t xml:space="preserve">Permit Tracking</w:t>
      </w:r>
    </w:p>
    <w:p>
      <w:pPr>
        <w:pStyle w:val="BodyText"/>
      </w:pPr>
      <w:r>
        <w:t xml:space="preserve">Expiry Alerts</w:t>
      </w:r>
    </w:p>
    <w:p>
      <w:pPr>
        <w:pStyle w:val="BodyText"/>
      </w:pPr>
      <w:r>
        <w:t xml:space="preserve">Renewals</w:t>
      </w:r>
    </w:p>
    <w:p>
      <w:pPr>
        <w:pStyle w:val="BodyText"/>
      </w:pPr>
      <w:r>
        <w:t xml:space="preserve">Compliance Monitoring</w:t>
      </w:r>
    </w:p>
    <w:p>
      <w:r>
        <w:pict>
          <v:rect style="width:0;height:1.5pt" o:hralign="center" o:hrstd="t" o:hr="t"/>
        </w:pict>
      </w:r>
    </w:p>
    <w:bookmarkEnd w:id="86"/>
    <w:bookmarkStart w:id="87" w:name="statuses"/>
    <w:p>
      <w:pPr>
        <w:pStyle w:val="Heading2"/>
      </w:pPr>
      <w:r>
        <w:t xml:space="preserve">Statuses</w:t>
      </w:r>
    </w:p>
    <w:p>
      <w:pPr>
        <w:pStyle w:val="FirstParagraph"/>
      </w:pPr>
      <w:r>
        <w:t xml:space="preserve">Active</w:t>
      </w:r>
    </w:p>
    <w:p>
      <w:pPr>
        <w:pStyle w:val="BodyText"/>
      </w:pPr>
      <w:r>
        <w:t xml:space="preserve">Expiring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localized-notifications"/>
    <w:p>
      <w:pPr>
        <w:pStyle w:val="Heading1"/>
      </w:pPr>
      <w:r>
        <w:t xml:space="preserve">24. Localized Notifications</w:t>
      </w:r>
    </w:p>
    <w:bookmarkStart w:id="89" w:name="supported-channels"/>
    <w:p>
      <w:pPr>
        <w:pStyle w:val="Heading2"/>
      </w:pPr>
      <w:r>
        <w:t xml:space="preserve">Supported Channels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Push Notifications</w:t>
      </w:r>
    </w:p>
    <w:p>
      <w:pPr>
        <w:pStyle w:val="BodyText"/>
      </w:pPr>
      <w:r>
        <w:t xml:space="preserve">In-App Notifications</w:t>
      </w:r>
    </w:p>
    <w:p>
      <w:r>
        <w:pict>
          <v:rect style="width:0;height:1.5pt" o:hralign="center" o:hrstd="t" o:hr="t"/>
        </w:pict>
      </w:r>
    </w:p>
    <w:bookmarkEnd w:id="89"/>
    <w:bookmarkStart w:id="90" w:name="features-6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Language Selection</w:t>
      </w:r>
    </w:p>
    <w:p>
      <w:pPr>
        <w:pStyle w:val="BodyText"/>
      </w:pPr>
      <w:r>
        <w:t xml:space="preserve">Regional Templates</w:t>
      </w:r>
    </w:p>
    <w:p>
      <w:pPr>
        <w:pStyle w:val="BodyText"/>
      </w:pPr>
      <w:r>
        <w:t xml:space="preserve">Localized Content</w:t>
      </w:r>
    </w:p>
    <w:p>
      <w:pPr>
        <w:pStyle w:val="BodyText"/>
      </w:pPr>
      <w:r>
        <w:t xml:space="preserve">Timezone Scheduling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localization-of-documents"/>
    <w:p>
      <w:pPr>
        <w:pStyle w:val="Heading1"/>
      </w:pPr>
      <w:r>
        <w:t xml:space="preserve">25. Localization of Documents</w:t>
      </w:r>
    </w:p>
    <w:bookmarkStart w:id="92" w:name="supported-documents"/>
    <w:p>
      <w:pPr>
        <w:pStyle w:val="Heading2"/>
      </w:pPr>
      <w:r>
        <w:t xml:space="preserve">Supported Documents</w:t>
      </w:r>
    </w:p>
    <w:p>
      <w:pPr>
        <w:pStyle w:val="FirstParagraph"/>
      </w:pPr>
      <w:r>
        <w:t xml:space="preserve">Contracts</w:t>
      </w:r>
    </w:p>
    <w:p>
      <w:pPr>
        <w:pStyle w:val="BodyText"/>
      </w:pPr>
      <w:r>
        <w:t xml:space="preserve">Offer Letters</w:t>
      </w:r>
    </w:p>
    <w:p>
      <w:pPr>
        <w:pStyle w:val="BodyText"/>
      </w:pPr>
      <w:r>
        <w:t xml:space="preserve">Payslips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Compliance Documents</w:t>
      </w:r>
    </w:p>
    <w:p>
      <w:r>
        <w:pict>
          <v:rect style="width:0;height:1.5pt" o:hralign="center" o:hrstd="t" o:hr="t"/>
        </w:pict>
      </w:r>
    </w:p>
    <w:bookmarkEnd w:id="92"/>
    <w:bookmarkStart w:id="93" w:name="features-7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Country Templates</w:t>
      </w:r>
    </w:p>
    <w:p>
      <w:pPr>
        <w:pStyle w:val="BodyText"/>
      </w:pPr>
      <w:r>
        <w:t xml:space="preserve">Language Variants</w:t>
      </w:r>
    </w:p>
    <w:p>
      <w:pPr>
        <w:pStyle w:val="BodyText"/>
      </w:pPr>
      <w:r>
        <w:t xml:space="preserve">Version Control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global-workforce-analytics"/>
    <w:p>
      <w:pPr>
        <w:pStyle w:val="Heading1"/>
      </w:pPr>
      <w:r>
        <w:t xml:space="preserve">26. Global Workforce Analytics</w:t>
      </w:r>
    </w:p>
    <w:bookmarkStart w:id="95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Global Headcount</w:t>
      </w:r>
    </w:p>
    <w:p>
      <w:pPr>
        <w:pStyle w:val="BodyText"/>
      </w:pPr>
      <w:r>
        <w:t xml:space="preserve">Regional Headcount</w:t>
      </w:r>
    </w:p>
    <w:p>
      <w:pPr>
        <w:pStyle w:val="BodyText"/>
      </w:pPr>
      <w:r>
        <w:t xml:space="preserve">Country Distribution</w:t>
      </w:r>
    </w:p>
    <w:p>
      <w:pPr>
        <w:pStyle w:val="BodyText"/>
      </w:pPr>
      <w:r>
        <w:t xml:space="preserve">Global Attrition</w:t>
      </w:r>
    </w:p>
    <w:p>
      <w:pPr>
        <w:pStyle w:val="BodyText"/>
      </w:pPr>
      <w:r>
        <w:t xml:space="preserve">Mobility Trends</w:t>
      </w:r>
    </w:p>
    <w:p>
      <w:pPr>
        <w:pStyle w:val="BodyText"/>
      </w:pPr>
      <w:r>
        <w:t xml:space="preserve">Workforce Costs</w:t>
      </w:r>
    </w:p>
    <w:p>
      <w:pPr>
        <w:pStyle w:val="BodyText"/>
      </w:pPr>
      <w:r>
        <w:t xml:space="preserve">Diversity Metrics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regional-reporting"/>
    <w:p>
      <w:pPr>
        <w:pStyle w:val="Heading1"/>
      </w:pPr>
      <w:r>
        <w:t xml:space="preserve">27. Regional Reporting</w:t>
      </w:r>
    </w:p>
    <w:bookmarkStart w:id="97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Country Workforce Report</w:t>
      </w:r>
    </w:p>
    <w:p>
      <w:pPr>
        <w:pStyle w:val="BodyText"/>
      </w:pPr>
      <w:r>
        <w:t xml:space="preserve">Regional Payroll Report</w:t>
      </w:r>
    </w:p>
    <w:p>
      <w:pPr>
        <w:pStyle w:val="BodyText"/>
      </w:pPr>
      <w:r>
        <w:t xml:space="preserve">Global Headcount Report</w:t>
      </w:r>
    </w:p>
    <w:p>
      <w:pPr>
        <w:pStyle w:val="BodyText"/>
      </w:pPr>
      <w:r>
        <w:t xml:space="preserve">Mobility Report</w:t>
      </w:r>
    </w:p>
    <w:p>
      <w:pPr>
        <w:pStyle w:val="BodyText"/>
      </w:pPr>
      <w:r>
        <w:t xml:space="preserve">Compliance Report</w:t>
      </w:r>
    </w:p>
    <w:p>
      <w:pPr>
        <w:pStyle w:val="BodyText"/>
      </w:pPr>
      <w:r>
        <w:t xml:space="preserve">Holiday Report</w:t>
      </w:r>
    </w:p>
    <w:p>
      <w:pPr>
        <w:pStyle w:val="BodyText"/>
      </w:pPr>
      <w:r>
        <w:t xml:space="preserve">Localization Usage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global-organization-support"/>
    <w:p>
      <w:pPr>
        <w:pStyle w:val="Heading1"/>
      </w:pPr>
      <w:r>
        <w:t xml:space="preserve">28. Global Organization Support</w:t>
      </w:r>
    </w:p>
    <w:bookmarkStart w:id="99" w:name="features-8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Multiple Countries</w:t>
      </w:r>
    </w:p>
    <w:p>
      <w:pPr>
        <w:pStyle w:val="BodyText"/>
      </w:pPr>
      <w:r>
        <w:t xml:space="preserve">Multiple Legal Entities</w:t>
      </w:r>
    </w:p>
    <w:p>
      <w:pPr>
        <w:pStyle w:val="BodyText"/>
      </w:pPr>
      <w:r>
        <w:t xml:space="preserve">Cross-Border Reporting</w:t>
      </w:r>
    </w:p>
    <w:p>
      <w:pPr>
        <w:pStyle w:val="BodyText"/>
      </w:pPr>
      <w:r>
        <w:t xml:space="preserve">Regional Leadership Structures</w:t>
      </w:r>
    </w:p>
    <w:p>
      <w:pPr>
        <w:pStyle w:val="BodyText"/>
      </w:pPr>
      <w:r>
        <w:t xml:space="preserve">Global Org Charts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localization-apis"/>
    <w:p>
      <w:pPr>
        <w:pStyle w:val="Heading1"/>
      </w:pPr>
      <w:r>
        <w:t xml:space="preserve">29. Localization APIs</w:t>
      </w:r>
    </w:p>
    <w:p>
      <w:pPr>
        <w:pStyle w:val="FirstParagraph"/>
      </w:pPr>
      <w:r>
        <w:t xml:space="preserve">Countries</w:t>
      </w:r>
    </w:p>
    <w:p>
      <w:pPr>
        <w:pStyle w:val="SourceCode"/>
      </w:pPr>
      <w:r>
        <w:rPr>
          <w:rStyle w:val="VerbatimChar"/>
        </w:rPr>
        <w:t xml:space="preserve">GET /countries</w:t>
      </w:r>
      <w:r>
        <w:br/>
      </w:r>
      <w:r>
        <w:br/>
      </w:r>
      <w:r>
        <w:rPr>
          <w:rStyle w:val="VerbatimChar"/>
        </w:rPr>
        <w:t xml:space="preserve">POST /countries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Languages</w:t>
      </w:r>
    </w:p>
    <w:p>
      <w:pPr>
        <w:pStyle w:val="SourceCode"/>
      </w:pPr>
      <w:r>
        <w:rPr>
          <w:rStyle w:val="VerbatimChar"/>
        </w:rPr>
        <w:t xml:space="preserve">GET /languages</w:t>
      </w:r>
      <w:r>
        <w:br/>
      </w:r>
      <w:r>
        <w:br/>
      </w:r>
      <w:r>
        <w:rPr>
          <w:rStyle w:val="VerbatimChar"/>
        </w:rPr>
        <w:t xml:space="preserve">POST /languages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Currencies</w:t>
      </w:r>
    </w:p>
    <w:p>
      <w:pPr>
        <w:pStyle w:val="SourceCode"/>
      </w:pPr>
      <w:r>
        <w:rPr>
          <w:rStyle w:val="VerbatimChar"/>
        </w:rPr>
        <w:t xml:space="preserve">GET /currencies</w:t>
      </w:r>
      <w:r>
        <w:br/>
      </w:r>
      <w:r>
        <w:br/>
      </w:r>
      <w:r>
        <w:rPr>
          <w:rStyle w:val="VerbatimChar"/>
        </w:rPr>
        <w:t xml:space="preserve">POST /currencies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Holidays</w:t>
      </w:r>
    </w:p>
    <w:p>
      <w:pPr>
        <w:pStyle w:val="SourceCode"/>
      </w:pPr>
      <w:r>
        <w:rPr>
          <w:rStyle w:val="VerbatimChar"/>
        </w:rPr>
        <w:t xml:space="preserve">GET /holidays</w:t>
      </w:r>
      <w:r>
        <w:br/>
      </w:r>
      <w:r>
        <w:br/>
      </w:r>
      <w:r>
        <w:rPr>
          <w:rStyle w:val="VerbatimChar"/>
        </w:rPr>
        <w:t xml:space="preserve">POST /holidays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Localization</w:t>
      </w:r>
    </w:p>
    <w:p>
      <w:pPr>
        <w:pStyle w:val="SourceCode"/>
      </w:pPr>
      <w:r>
        <w:rPr>
          <w:rStyle w:val="VerbatimChar"/>
        </w:rPr>
        <w:t xml:space="preserve">GET /localization</w:t>
      </w:r>
    </w:p>
    <w:p>
      <w:r>
        <w:pict>
          <v:rect style="width:0;height:1.5pt" o:hralign="center" o:hrstd="t" o:hr="t"/>
        </w:pict>
      </w:r>
    </w:p>
    <w:bookmarkEnd w:id="101"/>
    <w:bookmarkStart w:id="102" w:name="database-tables"/>
    <w:p>
      <w:pPr>
        <w:pStyle w:val="Heading1"/>
      </w:pPr>
      <w:r>
        <w:t xml:space="preserve">30. Database Tables</w:t>
      </w:r>
    </w:p>
    <w:p>
      <w:pPr>
        <w:pStyle w:val="FirstParagraph"/>
      </w:pPr>
      <w:r>
        <w:t xml:space="preserve">Country Domain</w:t>
      </w:r>
    </w:p>
    <w:p>
      <w:pPr>
        <w:pStyle w:val="BodyText"/>
      </w:pPr>
      <w:r>
        <w:t xml:space="preserve">countries</w:t>
      </w:r>
    </w:p>
    <w:p>
      <w:pPr>
        <w:pStyle w:val="BodyText"/>
      </w:pPr>
      <w:r>
        <w:t xml:space="preserve">country_configs</w:t>
      </w:r>
    </w:p>
    <w:p>
      <w:pPr>
        <w:pStyle w:val="BodyText"/>
      </w:pPr>
      <w:r>
        <w:t xml:space="preserve">country_compliance_profiles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Localization Domain</w:t>
      </w:r>
    </w:p>
    <w:p>
      <w:pPr>
        <w:pStyle w:val="BodyText"/>
      </w:pPr>
      <w:r>
        <w:t xml:space="preserve">languages</w:t>
      </w:r>
    </w:p>
    <w:p>
      <w:pPr>
        <w:pStyle w:val="BodyText"/>
      </w:pPr>
      <w:r>
        <w:t xml:space="preserve">translations</w:t>
      </w:r>
    </w:p>
    <w:p>
      <w:pPr>
        <w:pStyle w:val="BodyText"/>
      </w:pPr>
      <w:r>
        <w:t xml:space="preserve">translation_versions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Currency Domain</w:t>
      </w:r>
    </w:p>
    <w:p>
      <w:pPr>
        <w:pStyle w:val="BodyText"/>
      </w:pPr>
      <w:r>
        <w:t xml:space="preserve">currencies</w:t>
      </w:r>
    </w:p>
    <w:p>
      <w:pPr>
        <w:pStyle w:val="BodyText"/>
      </w:pPr>
      <w:r>
        <w:t xml:space="preserve">exchange_rates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Holiday Domain</w:t>
      </w:r>
    </w:p>
    <w:p>
      <w:pPr>
        <w:pStyle w:val="BodyText"/>
      </w:pPr>
      <w:r>
        <w:t xml:space="preserve">holidays</w:t>
      </w:r>
    </w:p>
    <w:p>
      <w:pPr>
        <w:pStyle w:val="BodyText"/>
      </w:pPr>
      <w:r>
        <w:t xml:space="preserve">holiday_calendars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Mobility Domain</w:t>
      </w:r>
    </w:p>
    <w:p>
      <w:pPr>
        <w:pStyle w:val="BodyText"/>
      </w:pPr>
      <w:r>
        <w:t xml:space="preserve">international_assignments</w:t>
      </w:r>
    </w:p>
    <w:p>
      <w:pPr>
        <w:pStyle w:val="BodyText"/>
      </w:pPr>
      <w:r>
        <w:t xml:space="preserve">work_permits</w:t>
      </w:r>
    </w:p>
    <w:p>
      <w:pPr>
        <w:pStyle w:val="BodyText"/>
      </w:pPr>
      <w:r>
        <w:t xml:space="preserve">visa_records</w:t>
      </w:r>
    </w:p>
    <w:p>
      <w:r>
        <w:pict>
          <v:rect style="width:0;height:1.5pt" o:hralign="center" o:hrstd="t" o:hr="t"/>
        </w:pict>
      </w:r>
    </w:p>
    <w:bookmarkEnd w:id="102"/>
    <w:bookmarkStart w:id="103" w:name="permissions-matrix"/>
    <w:p>
      <w:pPr>
        <w:pStyle w:val="Heading1"/>
      </w:pPr>
      <w:r>
        <w:t xml:space="preserve">31. Permissions Matrix</w:t>
      </w:r>
    </w:p>
    <w:p>
      <w:pPr>
        <w:pStyle w:val="FirstParagraph"/>
      </w:pPr>
      <w:r>
        <w:t xml:space="preserve">globalization.view</w:t>
      </w:r>
    </w:p>
    <w:p>
      <w:pPr>
        <w:pStyle w:val="BodyText"/>
      </w:pPr>
      <w:r>
        <w:t xml:space="preserve">globalization.manage</w:t>
      </w:r>
    </w:p>
    <w:p>
      <w:pPr>
        <w:pStyle w:val="BodyText"/>
      </w:pPr>
      <w:r>
        <w:t xml:space="preserve">country.manage</w:t>
      </w:r>
    </w:p>
    <w:p>
      <w:pPr>
        <w:pStyle w:val="BodyText"/>
      </w:pPr>
      <w:r>
        <w:t xml:space="preserve">language.manage</w:t>
      </w:r>
    </w:p>
    <w:p>
      <w:pPr>
        <w:pStyle w:val="BodyText"/>
      </w:pPr>
      <w:r>
        <w:t xml:space="preserve">currency.manage</w:t>
      </w:r>
    </w:p>
    <w:p>
      <w:pPr>
        <w:pStyle w:val="BodyText"/>
      </w:pPr>
      <w:r>
        <w:t xml:space="preserve">holiday.manage</w:t>
      </w:r>
    </w:p>
    <w:p>
      <w:pPr>
        <w:pStyle w:val="BodyText"/>
      </w:pPr>
      <w:r>
        <w:t xml:space="preserve">mobility.manage</w:t>
      </w:r>
    </w:p>
    <w:p>
      <w:pPr>
        <w:pStyle w:val="BodyText"/>
      </w:pPr>
      <w:r>
        <w:t xml:space="preserve">globalization.admin</w:t>
      </w:r>
    </w:p>
    <w:p>
      <w:r>
        <w:pict>
          <v:rect style="width:0;height:1.5pt" o:hralign="center" o:hrstd="t" o:hr="t"/>
        </w:pict>
      </w:r>
    </w:p>
    <w:bookmarkEnd w:id="103"/>
    <w:bookmarkStart w:id="104" w:name="security-requirements"/>
    <w:p>
      <w:pPr>
        <w:pStyle w:val="Heading1"/>
      </w:pPr>
      <w:r>
        <w:t xml:space="preserve">32. Security Requirements</w:t>
      </w:r>
    </w:p>
    <w:p>
      <w:pPr>
        <w:pStyle w:val="FirstParagraph"/>
      </w:pPr>
      <w:r>
        <w:t xml:space="preserve">Tenant Isolation</w:t>
      </w:r>
    </w:p>
    <w:p>
      <w:pPr>
        <w:pStyle w:val="BodyText"/>
      </w:pPr>
      <w:r>
        <w:t xml:space="preserve">Regional Data Controls</w:t>
      </w:r>
    </w:p>
    <w:p>
      <w:pPr>
        <w:pStyle w:val="BodyText"/>
      </w:pPr>
      <w:r>
        <w:t xml:space="preserve">Localization Access Controls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Data Residency Enforcement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104"/>
    <w:bookmarkStart w:id="105" w:name="audit-requirements"/>
    <w:p>
      <w:pPr>
        <w:pStyle w:val="Heading1"/>
      </w:pPr>
      <w:r>
        <w:t xml:space="preserve">33. Audit Requirements</w:t>
      </w:r>
    </w:p>
    <w:p>
      <w:pPr>
        <w:pStyle w:val="FirstParagraph"/>
      </w:pPr>
      <w:r>
        <w:t xml:space="preserve">Country Added</w:t>
      </w:r>
    </w:p>
    <w:p>
      <w:pPr>
        <w:pStyle w:val="BodyText"/>
      </w:pPr>
      <w:r>
        <w:t xml:space="preserve">Localization Modified</w:t>
      </w:r>
    </w:p>
    <w:p>
      <w:pPr>
        <w:pStyle w:val="BodyText"/>
      </w:pPr>
      <w:r>
        <w:t xml:space="preserve">Translation Updated</w:t>
      </w:r>
    </w:p>
    <w:p>
      <w:pPr>
        <w:pStyle w:val="BodyText"/>
      </w:pPr>
      <w:r>
        <w:t xml:space="preserve">Exchange Rate Updated</w:t>
      </w:r>
    </w:p>
    <w:p>
      <w:pPr>
        <w:pStyle w:val="BodyText"/>
      </w:pPr>
      <w:r>
        <w:t xml:space="preserve">Holiday Created</w:t>
      </w:r>
    </w:p>
    <w:p>
      <w:pPr>
        <w:pStyle w:val="BodyText"/>
      </w:pPr>
      <w:r>
        <w:t xml:space="preserve">Visa Updated</w:t>
      </w:r>
    </w:p>
    <w:p>
      <w:pPr>
        <w:pStyle w:val="BodyText"/>
      </w:pPr>
      <w:r>
        <w:t xml:space="preserve">Assignment Created</w:t>
      </w:r>
    </w:p>
    <w:p>
      <w:pPr>
        <w:pStyle w:val="BodyText"/>
      </w:pPr>
      <w:r>
        <w:t xml:space="preserve">Compliance Profile Modified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105"/>
    <w:bookmarkStart w:id="106" w:name="performance-requirements"/>
    <w:p>
      <w:pPr>
        <w:pStyle w:val="Heading1"/>
      </w:pPr>
      <w:r>
        <w:t xml:space="preserve">34. Performance Requirements</w:t>
      </w:r>
    </w:p>
    <w:p>
      <w:pPr>
        <w:pStyle w:val="FirstParagraph"/>
      </w:pPr>
      <w:r>
        <w:t xml:space="preserve">Language Switch</w:t>
      </w:r>
    </w:p>
    <w:p>
      <w:pPr>
        <w:pStyle w:val="BodyText"/>
      </w:pPr>
      <w:r>
        <w:t xml:space="preserve">&lt; 100ms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Localization Lookup</w:t>
      </w:r>
    </w:p>
    <w:p>
      <w:pPr>
        <w:pStyle w:val="BodyText"/>
      </w:pPr>
      <w:r>
        <w:t xml:space="preserve">&lt; 50ms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Reports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bookmarkEnd w:id="106"/>
    <w:bookmarkStart w:id="107" w:name="compliance-requirements"/>
    <w:p>
      <w:pPr>
        <w:pStyle w:val="Heading1"/>
      </w:pPr>
      <w:r>
        <w:t xml:space="preserve">35. Compliance Requirements</w: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CCPA</w:t>
      </w:r>
    </w:p>
    <w:p>
      <w:pPr>
        <w:pStyle w:val="BodyText"/>
      </w:pPr>
      <w:r>
        <w:t xml:space="preserve">UK GDPR</w:t>
      </w:r>
    </w:p>
    <w:p>
      <w:pPr>
        <w:pStyle w:val="BodyText"/>
      </w:pPr>
      <w:r>
        <w:t xml:space="preserve">PDPL</w:t>
      </w:r>
    </w:p>
    <w:p>
      <w:pPr>
        <w:pStyle w:val="BodyText"/>
      </w:pPr>
      <w:r>
        <w:t xml:space="preserve">LGPD</w:t>
      </w:r>
    </w:p>
    <w:p>
      <w:pPr>
        <w:pStyle w:val="BodyText"/>
      </w:pPr>
      <w:r>
        <w:t xml:space="preserve">Country Labor Laws</w:t>
      </w:r>
    </w:p>
    <w:p>
      <w:pPr>
        <w:pStyle w:val="BodyText"/>
      </w:pPr>
      <w:r>
        <w:t xml:space="preserve">Country Tax Regulations</w:t>
      </w:r>
    </w:p>
    <w:p>
      <w:pPr>
        <w:pStyle w:val="BodyText"/>
      </w:pPr>
      <w:r>
        <w:t xml:space="preserve">Data Residency Requirements</w:t>
      </w:r>
    </w:p>
    <w:p>
      <w:r>
        <w:pict>
          <v:rect style="width:0;height:1.5pt" o:hralign="center" o:hrstd="t" o:hr="t"/>
        </w:pict>
      </w:r>
    </w:p>
    <w:bookmarkEnd w:id="107"/>
    <w:bookmarkStart w:id="110" w:name="ai-localization-features"/>
    <w:p>
      <w:pPr>
        <w:pStyle w:val="Heading1"/>
      </w:pPr>
      <w:r>
        <w:t xml:space="preserve">36. AI Localization Features</w:t>
      </w:r>
    </w:p>
    <w:bookmarkStart w:id="108" w:name="features-9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AI Translation</w:t>
      </w:r>
    </w:p>
    <w:p>
      <w:pPr>
        <w:pStyle w:val="BodyText"/>
      </w:pPr>
      <w:r>
        <w:t xml:space="preserve">Localized AI Responses</w:t>
      </w:r>
    </w:p>
    <w:p>
      <w:pPr>
        <w:pStyle w:val="BodyText"/>
      </w:pPr>
      <w:r>
        <w:t xml:space="preserve">Regional Policy Recommendations</w:t>
      </w:r>
    </w:p>
    <w:p>
      <w:pPr>
        <w:pStyle w:val="BodyText"/>
      </w:pPr>
      <w:r>
        <w:t xml:space="preserve">Compliance Guidance</w:t>
      </w:r>
    </w:p>
    <w:p>
      <w:pPr>
        <w:pStyle w:val="BodyText"/>
      </w:pPr>
      <w:r>
        <w:t xml:space="preserve">Global Workforce Insights</w:t>
      </w:r>
    </w:p>
    <w:p>
      <w:r>
        <w:pict>
          <v:rect style="width:0;height:1.5pt" o:hralign="center" o:hrstd="t" o:hr="t"/>
        </w:pict>
      </w:r>
    </w:p>
    <w:bookmarkEnd w:id="108"/>
    <w:bookmarkStart w:id="10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Human review required for legal content.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future-enhancements"/>
    <w:p>
      <w:pPr>
        <w:pStyle w:val="Heading1"/>
      </w:pPr>
      <w:r>
        <w:t xml:space="preserve">37.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Real-Time AI Translation</w:t>
      </w:r>
    </w:p>
    <w:p>
      <w:pPr>
        <w:pStyle w:val="BodyText"/>
      </w:pPr>
      <w:r>
        <w:t xml:space="preserve">Global Mobility Copilot</w:t>
      </w:r>
    </w:p>
    <w:p>
      <w:pPr>
        <w:pStyle w:val="BodyText"/>
      </w:pPr>
      <w:r>
        <w:t xml:space="preserve">International Tax Intelligence</w:t>
      </w:r>
    </w:p>
    <w:p>
      <w:pPr>
        <w:pStyle w:val="BodyText"/>
      </w:pPr>
      <w:r>
        <w:t xml:space="preserve">Global Compliance Assistant</w:t>
      </w:r>
    </w:p>
    <w:p>
      <w:pPr>
        <w:pStyle w:val="BodyText"/>
      </w:pPr>
      <w:r>
        <w:t xml:space="preserve">Cross-Border Workforce Analytics</w:t>
      </w:r>
    </w:p>
    <w:p>
      <w:pPr>
        <w:pStyle w:val="BodyText"/>
      </w:pPr>
      <w:r>
        <w:t xml:space="preserve">Global Workforce Digital Twin</w:t>
      </w:r>
    </w:p>
    <w:p>
      <w:r>
        <w:pict>
          <v:rect style="width:0;height:1.5pt" o:hralign="center" o:hrstd="t" o:hr="t"/>
        </w:pict>
      </w:r>
    </w:p>
    <w:bookmarkEnd w:id="111"/>
    <w:bookmarkStart w:id="112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Localization Coverage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Country Compliance Coverage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Translation Accuracy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Global Payroll Support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112"/>
    <w:bookmarkStart w:id="11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Globalization &amp; Localization Platform provides the foundational framework for operating PhoenixHRMS as a truly global Human Capital Management platform.</w:t>
      </w:r>
    </w:p>
    <w:p>
      <w:pPr>
        <w:pStyle w:val="BodyText"/>
      </w:pPr>
      <w:r>
        <w:t xml:space="preserve">The platform enables multi-country workforce management, localization, international compliance, regional payroll support, global mobility, and multilingual employee experiences while maintaining consistency, scalability, compliance, security, and tenant isolation across all supported regions.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2026-06-01T07:34:05Z</dcterms:created>
  <dcterms:modified xsi:type="dcterms:W3CDTF">2026-06-01T07:34:05Z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