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multi-tenancy-design-document"/>
    <w:p>
      <w:pPr>
        <w:pStyle w:val="Heading1"/>
      </w:pPr>
      <w:r>
        <w:t xml:space="preserve">Multi-Tenancy Design Document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Document Type: SaaS Multi-Tenancy Architecture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06-system-architecture.md</w:t>
      </w:r>
    </w:p>
    <w:p>
      <w:pPr>
        <w:pStyle w:val="Compact"/>
        <w:numPr>
          <w:ilvl w:val="0"/>
          <w:numId w:val="1001"/>
        </w:numPr>
      </w:pPr>
      <w:r>
        <w:t xml:space="preserve">08-backend-architecture.md</w:t>
      </w:r>
    </w:p>
    <w:p>
      <w:pPr>
        <w:pStyle w:val="Compact"/>
        <w:numPr>
          <w:ilvl w:val="0"/>
          <w:numId w:val="1001"/>
        </w:numPr>
      </w:pPr>
      <w:r>
        <w:t xml:space="preserve">09-security-architecture.md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multi-tenancy architecture of PhoenixHRMS.</w:t>
      </w:r>
    </w:p>
    <w:p>
      <w:pPr>
        <w:pStyle w:val="BodyText"/>
      </w:pPr>
      <w:r>
        <w:t xml:space="preserve">The purpose of this architecture is to:</w:t>
      </w:r>
    </w:p>
    <w:p>
      <w:pPr>
        <w:pStyle w:val="Compact"/>
        <w:numPr>
          <w:ilvl w:val="0"/>
          <w:numId w:val="1002"/>
        </w:numPr>
      </w:pPr>
      <w:r>
        <w:t xml:space="preserve">Support multiple organizations</w:t>
      </w:r>
    </w:p>
    <w:p>
      <w:pPr>
        <w:pStyle w:val="Compact"/>
        <w:numPr>
          <w:ilvl w:val="0"/>
          <w:numId w:val="1002"/>
        </w:numPr>
      </w:pPr>
      <w:r>
        <w:t xml:space="preserve">Ensure strict data isolation</w:t>
      </w:r>
    </w:p>
    <w:p>
      <w:pPr>
        <w:pStyle w:val="Compact"/>
        <w:numPr>
          <w:ilvl w:val="0"/>
          <w:numId w:val="1002"/>
        </w:numPr>
      </w:pPr>
      <w:r>
        <w:t xml:space="preserve">Support SaaS subscriptions</w:t>
      </w:r>
    </w:p>
    <w:p>
      <w:pPr>
        <w:pStyle w:val="Compact"/>
        <w:numPr>
          <w:ilvl w:val="0"/>
          <w:numId w:val="1002"/>
        </w:numPr>
      </w:pPr>
      <w:r>
        <w:t xml:space="preserve">Enable tenant customization</w:t>
      </w:r>
    </w:p>
    <w:p>
      <w:pPr>
        <w:pStyle w:val="Compact"/>
        <w:numPr>
          <w:ilvl w:val="0"/>
          <w:numId w:val="1002"/>
        </w:numPr>
      </w:pPr>
      <w:r>
        <w:t xml:space="preserve">Simplify deployment</w:t>
      </w:r>
    </w:p>
    <w:p>
      <w:pPr>
        <w:pStyle w:val="Compact"/>
        <w:numPr>
          <w:ilvl w:val="0"/>
          <w:numId w:val="1002"/>
        </w:numPr>
      </w:pPr>
      <w:r>
        <w:t xml:space="preserve">Reduce infrastructure costs</w:t>
      </w:r>
    </w:p>
    <w:p>
      <w:r>
        <w:pict>
          <v:rect style="width:0;height:1.5pt" o:hralign="center" o:hrstd="t" o:hr="t"/>
        </w:pict>
      </w:r>
    </w:p>
    <w:bookmarkEnd w:id="22"/>
    <w:bookmarkStart w:id="23" w:name="multi-tenancy-definition"/>
    <w:p>
      <w:pPr>
        <w:pStyle w:val="Heading1"/>
      </w:pPr>
      <w:r>
        <w:t xml:space="preserve">2. Multi-Tenancy Definition</w:t>
      </w:r>
    </w:p>
    <w:p>
      <w:pPr>
        <w:pStyle w:val="FirstParagraph"/>
      </w:pPr>
      <w:r>
        <w:t xml:space="preserve">A tenant represents a single organization.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Company A</w:t>
      </w:r>
    </w:p>
    <w:p>
      <w:pPr>
        <w:pStyle w:val="BodyText"/>
      </w:pPr>
      <w:r>
        <w:t xml:space="preserve">Company B</w:t>
      </w:r>
    </w:p>
    <w:p>
      <w:pPr>
        <w:pStyle w:val="BodyText"/>
      </w:pPr>
      <w:r>
        <w:t xml:space="preserve">Company C</w:t>
      </w:r>
    </w:p>
    <w:p>
      <w:pPr>
        <w:pStyle w:val="BodyText"/>
      </w:pPr>
      <w:r>
        <w:t xml:space="preserve">Each company operates independently while sharing the same platform infrastructure.</w:t>
      </w:r>
    </w:p>
    <w:p>
      <w:r>
        <w:pict>
          <v:rect style="width:0;height:1.5pt" o:hralign="center" o:hrstd="t" o:hr="t"/>
        </w:pict>
      </w:r>
    </w:p>
    <w:bookmarkEnd w:id="23"/>
    <w:bookmarkStart w:id="24" w:name="architecture-strategy"/>
    <w:p>
      <w:pPr>
        <w:pStyle w:val="Heading1"/>
      </w:pPr>
      <w:r>
        <w:t xml:space="preserve">3. Architecture Strategy</w:t>
      </w:r>
    </w:p>
    <w:p>
      <w:pPr>
        <w:pStyle w:val="FirstParagraph"/>
      </w:pPr>
      <w:r>
        <w:t xml:space="preserve">Selected Strategy:</w:t>
      </w:r>
    </w:p>
    <w:p>
      <w:pPr>
        <w:pStyle w:val="BodyText"/>
      </w:pPr>
      <w:r>
        <w:t xml:space="preserve">Shared Database</w:t>
      </w:r>
    </w:p>
    <w:p>
      <w:pPr>
        <w:pStyle w:val="BodyText"/>
      </w:pPr>
      <w:r>
        <w:t xml:space="preserve">Shared Schema</w:t>
      </w:r>
    </w:p>
    <w:p>
      <w:pPr>
        <w:pStyle w:val="BodyText"/>
      </w:pPr>
      <w:r>
        <w:t xml:space="preserve">Tenant Isolation via company_id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PhoenixHRMS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Employees</w:t>
      </w:r>
      <w:r>
        <w:br/>
      </w:r>
      <w:r>
        <w:rPr>
          <w:rStyle w:val="VerbatimChar"/>
        </w:rPr>
        <w:t xml:space="preserve">Attendance</w:t>
      </w:r>
      <w:r>
        <w:br/>
      </w:r>
      <w:r>
        <w:rPr>
          <w:rStyle w:val="VerbatimChar"/>
        </w:rPr>
        <w:t xml:space="preserve">Payroll</w:t>
      </w:r>
      <w:r>
        <w:br/>
      </w:r>
      <w:r>
        <w:rPr>
          <w:rStyle w:val="VerbatimChar"/>
        </w:rPr>
        <w:t xml:space="preserve">Leave</w:t>
      </w:r>
      <w:r>
        <w:br/>
      </w:r>
      <w:r>
        <w:rPr>
          <w:rStyle w:val="VerbatimChar"/>
        </w:rPr>
        <w:t xml:space="preserve">Recruitment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company_id</w:t>
      </w:r>
    </w:p>
    <w:p>
      <w:r>
        <w:pict>
          <v:rect style="width:0;height:1.5pt" o:hralign="center" o:hrstd="t" o:hr="t"/>
        </w:pict>
      </w:r>
    </w:p>
    <w:bookmarkEnd w:id="24"/>
    <w:bookmarkStart w:id="27" w:name="why-this-strategy"/>
    <w:p>
      <w:pPr>
        <w:pStyle w:val="Heading1"/>
      </w:pPr>
      <w:r>
        <w:t xml:space="preserve">4. Why This Strategy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03"/>
        </w:numPr>
      </w:pPr>
      <w:r>
        <w:t xml:space="preserve">Lower cost</w:t>
      </w:r>
    </w:p>
    <w:p>
      <w:pPr>
        <w:pStyle w:val="Compact"/>
        <w:numPr>
          <w:ilvl w:val="0"/>
          <w:numId w:val="1003"/>
        </w:numPr>
      </w:pPr>
      <w:r>
        <w:t xml:space="preserve">Easier deployment</w:t>
      </w:r>
    </w:p>
    <w:p>
      <w:pPr>
        <w:pStyle w:val="Compact"/>
        <w:numPr>
          <w:ilvl w:val="0"/>
          <w:numId w:val="1003"/>
        </w:numPr>
      </w:pPr>
      <w:r>
        <w:t xml:space="preserve">Easier maintenance</w:t>
      </w:r>
    </w:p>
    <w:p>
      <w:pPr>
        <w:pStyle w:val="Compact"/>
        <w:numPr>
          <w:ilvl w:val="0"/>
          <w:numId w:val="1003"/>
        </w:numPr>
      </w:pPr>
      <w:r>
        <w:t xml:space="preserve">Faster development</w:t>
      </w:r>
    </w:p>
    <w:p>
      <w:pPr>
        <w:pStyle w:val="Compact"/>
        <w:numPr>
          <w:ilvl w:val="0"/>
          <w:numId w:val="1003"/>
        </w:numPr>
      </w:pPr>
      <w:r>
        <w:t xml:space="preserve">Better resource utilization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Alternative Approaches</w:t>
      </w:r>
    </w:p>
    <w:bookmarkStart w:id="25" w:name="database-per-tenant"/>
    <w:p>
      <w:pPr>
        <w:pStyle w:val="Heading3"/>
      </w:pPr>
      <w:r>
        <w:t xml:space="preserve">Database Per Tenant</w:t>
      </w:r>
    </w:p>
    <w:p>
      <w:pPr>
        <w:pStyle w:val="FirstParagraph"/>
      </w:pPr>
      <w:r>
        <w:t xml:space="preserve">Pros:</w:t>
      </w:r>
    </w:p>
    <w:p>
      <w:pPr>
        <w:pStyle w:val="BodyText"/>
      </w:pPr>
      <w:r>
        <w:t xml:space="preserve">Strong isolation</w:t>
      </w:r>
    </w:p>
    <w:p>
      <w:pPr>
        <w:pStyle w:val="BodyText"/>
      </w:pPr>
      <w:r>
        <w:t xml:space="preserve">Cons:</w:t>
      </w:r>
    </w:p>
    <w:p>
      <w:pPr>
        <w:pStyle w:val="BodyText"/>
      </w:pPr>
      <w:r>
        <w:t xml:space="preserve">Operational complexity</w:t>
      </w:r>
    </w:p>
    <w:p>
      <w:r>
        <w:pict>
          <v:rect style="width:0;height:1.5pt" o:hralign="center" o:hrstd="t" o:hr="t"/>
        </w:pict>
      </w:r>
    </w:p>
    <w:bookmarkEnd w:id="25"/>
    <w:bookmarkStart w:id="26" w:name="schema-per-tenant"/>
    <w:p>
      <w:pPr>
        <w:pStyle w:val="Heading3"/>
      </w:pPr>
      <w:r>
        <w:t xml:space="preserve">Schema Per Tenant</w:t>
      </w:r>
    </w:p>
    <w:p>
      <w:pPr>
        <w:pStyle w:val="FirstParagraph"/>
      </w:pPr>
      <w:r>
        <w:t xml:space="preserve">Pros:</w:t>
      </w:r>
    </w:p>
    <w:p>
      <w:pPr>
        <w:pStyle w:val="BodyText"/>
      </w:pPr>
      <w:r>
        <w:t xml:space="preserve">Good isolation</w:t>
      </w:r>
    </w:p>
    <w:p>
      <w:pPr>
        <w:pStyle w:val="BodyText"/>
      </w:pPr>
      <w:r>
        <w:t xml:space="preserve">Cons:</w:t>
      </w:r>
    </w:p>
    <w:p>
      <w:pPr>
        <w:pStyle w:val="BodyText"/>
      </w:pPr>
      <w:r>
        <w:t xml:space="preserve">Migration complexity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Decision:</w:t>
      </w:r>
    </w:p>
    <w:p>
      <w:pPr>
        <w:pStyle w:val="BodyText"/>
      </w:pPr>
      <w:r>
        <w:t xml:space="preserve">Shared Schema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enant-model"/>
    <w:p>
      <w:pPr>
        <w:pStyle w:val="Heading1"/>
      </w:pPr>
      <w:r>
        <w:t xml:space="preserve">5. Tenant Model</w:t>
      </w:r>
    </w:p>
    <w:p>
      <w:pPr>
        <w:pStyle w:val="FirstParagraph"/>
      </w:pPr>
      <w:r>
        <w:t xml:space="preserve">Every organization is a tenant.</w:t>
      </w:r>
    </w:p>
    <w:p>
      <w:pPr>
        <w:pStyle w:val="BodyText"/>
      </w:pPr>
      <w:r>
        <w:t xml:space="preserve">Core Table:</w:t>
      </w:r>
    </w:p>
    <w:p>
      <w:pPr>
        <w:pStyle w:val="BodyText"/>
      </w:pPr>
      <w:r>
        <w:t xml:space="preserve">companies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NormalTok"/>
        </w:rPr>
        <w:t xml:space="preserve">companies</w:t>
      </w:r>
      <w:r>
        <w:br/>
      </w:r>
      <w:r>
        <w:br/>
      </w:r>
      <w:r>
        <w:rPr>
          <w:rStyle w:val="KeywordTok"/>
        </w:rPr>
        <w:t xml:space="preserve">id</w:t>
      </w:r>
      <w:r>
        <w:br/>
      </w:r>
      <w:r>
        <w:br/>
      </w:r>
      <w:r>
        <w:rPr>
          <w:rStyle w:val="NormalTok"/>
        </w:rPr>
        <w:t xml:space="preserve">uuid</w:t>
      </w:r>
      <w:r>
        <w:br/>
      </w:r>
      <w:r>
        <w:br/>
      </w:r>
      <w:r>
        <w:rPr>
          <w:rStyle w:val="NormalTok"/>
        </w:rPr>
        <w:t xml:space="preserve">name</w:t>
      </w:r>
      <w:r>
        <w:br/>
      </w:r>
      <w:r>
        <w:br/>
      </w:r>
      <w:r>
        <w:rPr>
          <w:rStyle w:val="NormalTok"/>
        </w:rPr>
        <w:t xml:space="preserve">slug</w:t>
      </w:r>
      <w:r>
        <w:br/>
      </w:r>
      <w:r>
        <w:br/>
      </w:r>
      <w:r>
        <w:rPr>
          <w:rStyle w:val="NormalTok"/>
        </w:rPr>
        <w:t xml:space="preserve">status</w:t>
      </w:r>
      <w:r>
        <w:br/>
      </w:r>
      <w:r>
        <w:br/>
      </w:r>
      <w:r>
        <w:rPr>
          <w:rStyle w:val="NormalTok"/>
        </w:rPr>
        <w:t xml:space="preserve">subscription_plan_id</w:t>
      </w:r>
      <w:r>
        <w:br/>
      </w:r>
      <w:r>
        <w:br/>
      </w:r>
      <w:r>
        <w:rPr>
          <w:rStyle w:val="NormalTok"/>
        </w:rPr>
        <w:t xml:space="preserve">timezone</w:t>
      </w:r>
      <w:r>
        <w:br/>
      </w:r>
      <w:r>
        <w:br/>
      </w:r>
      <w:r>
        <w:rPr>
          <w:rStyle w:val="NormalTok"/>
        </w:rPr>
        <w:t xml:space="preserve">currency</w:t>
      </w:r>
      <w:r>
        <w:br/>
      </w:r>
      <w:r>
        <w:br/>
      </w:r>
      <w:r>
        <w:rPr>
          <w:rStyle w:val="NormalTok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28"/>
    <w:bookmarkStart w:id="32" w:name="tenant-identification"/>
    <w:p>
      <w:pPr>
        <w:pStyle w:val="Heading1"/>
      </w:pPr>
      <w:r>
        <w:t xml:space="preserve">6. Tenant Identification</w:t>
      </w:r>
    </w:p>
    <w:p>
      <w:pPr>
        <w:pStyle w:val="FirstParagraph"/>
      </w:pPr>
      <w:r>
        <w:t xml:space="preserve">Every request must identify tenant.</w:t>
      </w:r>
    </w:p>
    <w:p>
      <w:pPr>
        <w:pStyle w:val="BodyText"/>
      </w:pPr>
      <w:r>
        <w:t xml:space="preserve">Methods:</w:t>
      </w:r>
    </w:p>
    <w:bookmarkStart w:id="29" w:name="web"/>
    <w:p>
      <w:pPr>
        <w:pStyle w:val="Heading3"/>
      </w:pPr>
      <w:r>
        <w:t xml:space="preserve">Web</w:t>
      </w:r>
    </w:p>
    <w:p>
      <w:pPr>
        <w:pStyle w:val="FirstParagraph"/>
      </w:pPr>
      <w:r>
        <w:t xml:space="preserve">Authenticated User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Company ID</w:t>
      </w:r>
    </w:p>
    <w:p>
      <w:r>
        <w:pict>
          <v:rect style="width:0;height:1.5pt" o:hralign="center" o:hrstd="t" o:hr="t"/>
        </w:pict>
      </w:r>
    </w:p>
    <w:bookmarkEnd w:id="29"/>
    <w:bookmarkStart w:id="30" w:name="api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Token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Company ID</w:t>
      </w:r>
    </w:p>
    <w:p>
      <w:r>
        <w:pict>
          <v:rect style="width:0;height:1.5pt" o:hralign="center" o:hrstd="t" o:hr="t"/>
        </w:pict>
      </w:r>
    </w:p>
    <w:bookmarkEnd w:id="30"/>
    <w:bookmarkStart w:id="31" w:name="future"/>
    <w:p>
      <w:pPr>
        <w:pStyle w:val="Heading3"/>
      </w:pPr>
      <w:r>
        <w:t xml:space="preserve">Future</w:t>
      </w:r>
    </w:p>
    <w:p>
      <w:pPr>
        <w:pStyle w:val="FirstParagraph"/>
      </w:pPr>
      <w:r>
        <w:t xml:space="preserve">Subdomain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acme.phoenixhrms.com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re-tenant-entity"/>
    <w:p>
      <w:pPr>
        <w:pStyle w:val="Heading1"/>
      </w:pPr>
      <w:r>
        <w:t xml:space="preserve">7. Core Tenant Entity</w:t>
      </w:r>
    </w:p>
    <w:p>
      <w:pPr>
        <w:pStyle w:val="FirstParagraph"/>
      </w:pPr>
      <w:r>
        <w:t xml:space="preserve">Company becomes root entity.</w:t>
      </w:r>
    </w:p>
    <w:p>
      <w:pPr>
        <w:pStyle w:val="BodyText"/>
      </w:pPr>
      <w:r>
        <w:t xml:space="preserve">All business data belongs to a company.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Company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Employees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Attendance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Payroll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Assets</w:t>
      </w:r>
    </w:p>
    <w:p>
      <w:r>
        <w:pict>
          <v:rect style="width:0;height:1.5pt" o:hralign="center" o:hrstd="t" o:hr="t"/>
        </w:pict>
      </w:r>
    </w:p>
    <w:bookmarkEnd w:id="33"/>
    <w:bookmarkStart w:id="34" w:name="data-isolation-strategy"/>
    <w:p>
      <w:pPr>
        <w:pStyle w:val="Heading1"/>
      </w:pPr>
      <w:r>
        <w:t xml:space="preserve">8. Data Isolation Strategy</w:t>
      </w:r>
    </w:p>
    <w:p>
      <w:pPr>
        <w:pStyle w:val="FirstParagraph"/>
      </w:pPr>
      <w:r>
        <w:t xml:space="preserve">Every business table contains:</w:t>
      </w:r>
    </w:p>
    <w:p>
      <w:pPr>
        <w:pStyle w:val="SourceCode"/>
      </w:pPr>
      <w:r>
        <w:rPr>
          <w:rStyle w:val="NormalTok"/>
        </w:rPr>
        <w:t xml:space="preserve">company_id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employees</w:t>
      </w:r>
    </w:p>
    <w:p>
      <w:pPr>
        <w:pStyle w:val="BodyText"/>
      </w:pPr>
      <w:r>
        <w:t xml:space="preserve">attendance</w:t>
      </w:r>
    </w:p>
    <w:p>
      <w:pPr>
        <w:pStyle w:val="BodyText"/>
      </w:pPr>
      <w:r>
        <w:t xml:space="preserve">leave_requests</w:t>
      </w:r>
    </w:p>
    <w:p>
      <w:pPr>
        <w:pStyle w:val="BodyText"/>
      </w:pPr>
      <w:r>
        <w:t xml:space="preserve">payrolls</w:t>
      </w:r>
    </w:p>
    <w:p>
      <w:pPr>
        <w:pStyle w:val="BodyText"/>
      </w:pPr>
      <w:r>
        <w:t xml:space="preserve">departments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documents</w:t>
      </w:r>
    </w:p>
    <w:p>
      <w:r>
        <w:pict>
          <v:rect style="width:0;height:1.5pt" o:hralign="center" o:hrstd="t" o:hr="t"/>
        </w:pict>
      </w:r>
    </w:p>
    <w:bookmarkEnd w:id="34"/>
    <w:bookmarkStart w:id="35" w:name="example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employees</w:t>
      </w:r>
    </w:p>
    <w:p>
      <w:pPr>
        <w:pStyle w:val="SourceCode"/>
      </w:pPr>
      <w:r>
        <w:rPr>
          <w:rStyle w:val="KeywordTok"/>
        </w:rPr>
        <w:t xml:space="preserve">id</w:t>
      </w:r>
      <w:r>
        <w:br/>
      </w:r>
      <w:r>
        <w:br/>
      </w:r>
      <w:r>
        <w:rPr>
          <w:rStyle w:val="NormalTok"/>
        </w:rPr>
        <w:t xml:space="preserve">company_id</w:t>
      </w:r>
      <w:r>
        <w:br/>
      </w:r>
      <w:r>
        <w:br/>
      </w:r>
      <w:r>
        <w:rPr>
          <w:rStyle w:val="NormalTok"/>
        </w:rPr>
        <w:t xml:space="preserve">employee_code</w:t>
      </w:r>
      <w:r>
        <w:br/>
      </w:r>
      <w:r>
        <w:br/>
      </w:r>
      <w:r>
        <w:rPr>
          <w:rStyle w:val="NormalTok"/>
        </w:rPr>
        <w:t xml:space="preserve">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Company A</w:t>
      </w:r>
    </w:p>
    <w:p>
      <w:pPr>
        <w:pStyle w:val="BodyText"/>
      </w:pPr>
      <w:r>
        <w:t xml:space="preserve">company_id =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Company B</w:t>
      </w:r>
    </w:p>
    <w:p>
      <w:pPr>
        <w:pStyle w:val="BodyText"/>
      </w:pPr>
      <w:r>
        <w:t xml:space="preserve">company_id = 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 never mixed.</w:t>
      </w:r>
    </w:p>
    <w:p>
      <w:r>
        <w:pict>
          <v:rect style="width:0;height:1.5pt" o:hralign="center" o:hrstd="t" o:hr="t"/>
        </w:pict>
      </w:r>
    </w:p>
    <w:bookmarkEnd w:id="35"/>
    <w:bookmarkStart w:id="36" w:name="tenant-scope-architecture"/>
    <w:p>
      <w:pPr>
        <w:pStyle w:val="Heading1"/>
      </w:pPr>
      <w:r>
        <w:t xml:space="preserve">9. Tenant Scope Architecture</w:t>
      </w:r>
    </w:p>
    <w:p>
      <w:pPr>
        <w:pStyle w:val="FirstParagraph"/>
      </w:pPr>
      <w:r>
        <w:t xml:space="preserve">Laravel Global Scope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TenantScope</w:t>
      </w:r>
    </w:p>
    <w:p>
      <w:pPr>
        <w:pStyle w:val="FirstParagraph"/>
      </w:pPr>
      <w:r>
        <w:t xml:space="preserve">Automatically applies: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company_id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pPr>
        <w:pStyle w:val="FirstParagraph"/>
      </w:pPr>
      <w:r>
        <w:t xml:space="preserve">to every query.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Benefits:</w:t>
      </w:r>
    </w:p>
    <w:p>
      <w:pPr>
        <w:pStyle w:val="BodyText"/>
      </w:pPr>
      <w:r>
        <w:t xml:space="preserve">No accidental leakage.</w:t>
      </w:r>
    </w:p>
    <w:p>
      <w:r>
        <w:pict>
          <v:rect style="width:0;height:1.5pt" o:hralign="center" o:hrstd="t" o:hr="t"/>
        </w:pict>
      </w:r>
    </w:p>
    <w:bookmarkEnd w:id="36"/>
    <w:bookmarkStart w:id="37" w:name="tenant-context"/>
    <w:p>
      <w:pPr>
        <w:pStyle w:val="Heading1"/>
      </w:pPr>
      <w:r>
        <w:t xml:space="preserve">10. Tenant Context</w:t>
      </w:r>
    </w:p>
    <w:p>
      <w:pPr>
        <w:pStyle w:val="FirstParagraph"/>
      </w:pPr>
      <w:r>
        <w:t xml:space="preserve">Each request loads:</w:t>
      </w:r>
    </w:p>
    <w:p>
      <w:pPr>
        <w:pStyle w:val="SourceCode"/>
      </w:pPr>
      <w:r>
        <w:rPr>
          <w:rStyle w:val="NormalTok"/>
        </w:rPr>
        <w:t xml:space="preserve">TenantContext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04"/>
        </w:numPr>
      </w:pPr>
      <w:r>
        <w:t xml:space="preserve">Company ID</w:t>
      </w:r>
    </w:p>
    <w:p>
      <w:pPr>
        <w:pStyle w:val="Compact"/>
        <w:numPr>
          <w:ilvl w:val="0"/>
          <w:numId w:val="1004"/>
        </w:numPr>
      </w:pPr>
      <w:r>
        <w:t xml:space="preserve">Company Name</w:t>
      </w:r>
    </w:p>
    <w:p>
      <w:pPr>
        <w:pStyle w:val="Compact"/>
        <w:numPr>
          <w:ilvl w:val="0"/>
          <w:numId w:val="1004"/>
        </w:numPr>
      </w:pPr>
      <w:r>
        <w:t xml:space="preserve">Subscription Plan</w:t>
      </w:r>
    </w:p>
    <w:p>
      <w:pPr>
        <w:pStyle w:val="Compact"/>
        <w:numPr>
          <w:ilvl w:val="0"/>
          <w:numId w:val="1004"/>
        </w:numPr>
      </w:pPr>
      <w:r>
        <w:t xml:space="preserve">Timezone</w:t>
      </w:r>
    </w:p>
    <w:p>
      <w:pPr>
        <w:pStyle w:val="Compact"/>
        <w:numPr>
          <w:ilvl w:val="0"/>
          <w:numId w:val="1004"/>
        </w:numPr>
      </w:pPr>
      <w:r>
        <w:t xml:space="preserve">Currency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Available globally.</w:t>
      </w:r>
    </w:p>
    <w:p>
      <w:r>
        <w:pict>
          <v:rect style="width:0;height:1.5pt" o:hralign="center" o:hrstd="t" o:hr="t"/>
        </w:pict>
      </w:r>
    </w:p>
    <w:bookmarkEnd w:id="37"/>
    <w:bookmarkStart w:id="38" w:name="tenant-middleware"/>
    <w:p>
      <w:pPr>
        <w:pStyle w:val="Heading1"/>
      </w:pPr>
      <w:r>
        <w:t xml:space="preserve">11. Tenant Middleware</w:t>
      </w:r>
    </w:p>
    <w:p>
      <w:pPr>
        <w:pStyle w:val="FirstParagraph"/>
      </w:pPr>
      <w:r>
        <w:t xml:space="preserve">Middleware:</w:t>
      </w:r>
    </w:p>
    <w:p>
      <w:pPr>
        <w:pStyle w:val="SourceCode"/>
      </w:pPr>
      <w:r>
        <w:rPr>
          <w:rStyle w:val="VerbatimChar"/>
        </w:rPr>
        <w:t xml:space="preserve">ResolveTenantMiddleware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Identify tenant</w:t>
      </w:r>
    </w:p>
    <w:p>
      <w:pPr>
        <w:pStyle w:val="Compact"/>
        <w:numPr>
          <w:ilvl w:val="0"/>
          <w:numId w:val="1005"/>
        </w:numPr>
      </w:pPr>
      <w:r>
        <w:t xml:space="preserve">Validate tenant</w:t>
      </w:r>
    </w:p>
    <w:p>
      <w:pPr>
        <w:pStyle w:val="Compact"/>
        <w:numPr>
          <w:ilvl w:val="0"/>
          <w:numId w:val="1005"/>
        </w:numPr>
      </w:pPr>
      <w:r>
        <w:t xml:space="preserve">Load tenant context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Request Flow: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Tenant Resolution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Logic</w:t>
      </w:r>
    </w:p>
    <w:p>
      <w:r>
        <w:pict>
          <v:rect style="width:0;height:1.5pt" o:hralign="center" o:hrstd="t" o:hr="t"/>
        </w:pict>
      </w:r>
    </w:p>
    <w:bookmarkEnd w:id="38"/>
    <w:bookmarkStart w:id="39" w:name="tenant-configuration"/>
    <w:p>
      <w:pPr>
        <w:pStyle w:val="Heading1"/>
      </w:pPr>
      <w:r>
        <w:t xml:space="preserve">12. Tenant Configuration</w:t>
      </w:r>
    </w:p>
    <w:p>
      <w:pPr>
        <w:pStyle w:val="FirstParagraph"/>
      </w:pPr>
      <w:r>
        <w:t xml:space="preserve">Every organization may configure:</w:t>
      </w:r>
    </w:p>
    <w:p>
      <w:pPr>
        <w:pStyle w:val="BodyText"/>
      </w:pPr>
      <w:r>
        <w:t xml:space="preserve">Leave Policies</w:t>
      </w:r>
    </w:p>
    <w:p>
      <w:pPr>
        <w:pStyle w:val="BodyText"/>
      </w:pPr>
      <w:r>
        <w:t xml:space="preserve">Payroll Rules</w:t>
      </w:r>
    </w:p>
    <w:p>
      <w:pPr>
        <w:pStyle w:val="BodyText"/>
      </w:pPr>
      <w:r>
        <w:t xml:space="preserve">Attendance Policies</w:t>
      </w:r>
    </w:p>
    <w:p>
      <w:pPr>
        <w:pStyle w:val="BodyText"/>
      </w:pPr>
      <w:r>
        <w:t xml:space="preserve">Approval Workflows</w:t>
      </w:r>
    </w:p>
    <w:p>
      <w:pPr>
        <w:pStyle w:val="BodyText"/>
      </w:pPr>
      <w:r>
        <w:t xml:space="preserve">Branding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Stored In:</w:t>
      </w:r>
    </w:p>
    <w:p>
      <w:pPr>
        <w:pStyle w:val="BodyText"/>
      </w:pPr>
      <w:r>
        <w:t xml:space="preserve">tenant_settings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NormalTok"/>
        </w:rPr>
        <w:t xml:space="preserve">tenant_settings</w:t>
      </w:r>
      <w:r>
        <w:br/>
      </w:r>
      <w:r>
        <w:br/>
      </w:r>
      <w:r>
        <w:rPr>
          <w:rStyle w:val="NormalTok"/>
        </w:rPr>
        <w:t xml:space="preserve">company_id</w:t>
      </w:r>
      <w:r>
        <w:br/>
      </w:r>
      <w:r>
        <w:br/>
      </w:r>
      <w:r>
        <w:rPr>
          <w:rStyle w:val="KeywordTok"/>
        </w:rPr>
        <w:t xml:space="preserve">key</w:t>
      </w:r>
      <w:r>
        <w:br/>
      </w:r>
      <w:r>
        <w:br/>
      </w:r>
      <w:r>
        <w:rPr>
          <w:rStyle w:val="FunctionTok"/>
        </w:rPr>
        <w:t xml:space="preserve">value</w:t>
      </w:r>
    </w:p>
    <w:p>
      <w:r>
        <w:pict>
          <v:rect style="width:0;height:1.5pt" o:hralign="center" o:hrstd="t" o:hr="t"/>
        </w:pict>
      </w:r>
    </w:p>
    <w:bookmarkEnd w:id="39"/>
    <w:bookmarkStart w:id="40" w:name="tenant-branding"/>
    <w:p>
      <w:pPr>
        <w:pStyle w:val="Heading1"/>
      </w:pPr>
      <w:r>
        <w:t xml:space="preserve">13. Tenant Branding</w:t>
      </w:r>
    </w:p>
    <w:p>
      <w:pPr>
        <w:pStyle w:val="FirstParagraph"/>
      </w:pPr>
      <w:r>
        <w:t xml:space="preserve">Supported:</w:t>
      </w:r>
    </w:p>
    <w:p>
      <w:pPr>
        <w:pStyle w:val="BodyText"/>
      </w:pPr>
      <w:r>
        <w:t xml:space="preserve">Logo</w:t>
      </w:r>
    </w:p>
    <w:p>
      <w:pPr>
        <w:pStyle w:val="BodyText"/>
      </w:pPr>
      <w:r>
        <w:t xml:space="preserve">Primary Color</w:t>
      </w:r>
    </w:p>
    <w:p>
      <w:pPr>
        <w:pStyle w:val="BodyText"/>
      </w:pPr>
      <w:r>
        <w:t xml:space="preserve">Secondary Color</w:t>
      </w:r>
    </w:p>
    <w:p>
      <w:pPr>
        <w:pStyle w:val="BodyText"/>
      </w:pPr>
      <w:r>
        <w:t xml:space="preserve">Email Templates</w:t>
      </w:r>
    </w:p>
    <w:p>
      <w:pPr>
        <w:pStyle w:val="BodyText"/>
      </w:pPr>
      <w:r>
        <w:t xml:space="preserve">Company 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Frontend dynamically loads branding.</w:t>
      </w:r>
    </w:p>
    <w:p>
      <w:r>
        <w:pict>
          <v:rect style="width:0;height:1.5pt" o:hralign="center" o:hrstd="t" o:hr="t"/>
        </w:pict>
      </w:r>
    </w:p>
    <w:bookmarkEnd w:id="40"/>
    <w:bookmarkStart w:id="41" w:name="tenant-timezone-management"/>
    <w:p>
      <w:pPr>
        <w:pStyle w:val="Heading1"/>
      </w:pPr>
      <w:r>
        <w:t xml:space="preserve">14. Tenant Timezone Management</w:t>
      </w:r>
    </w:p>
    <w:p>
      <w:pPr>
        <w:pStyle w:val="FirstParagraph"/>
      </w:pPr>
      <w:r>
        <w:t xml:space="preserve">Every company has:</w:t>
      </w:r>
    </w:p>
    <w:p>
      <w:pPr>
        <w:pStyle w:val="BodyText"/>
      </w:pPr>
      <w:r>
        <w:t xml:space="preserve">timezone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Asia/Kolkata</w:t>
      </w:r>
      <w:r>
        <w:br/>
      </w:r>
      <w:r>
        <w:br/>
      </w:r>
      <w:r>
        <w:rPr>
          <w:rStyle w:val="VerbatimChar"/>
        </w:rPr>
        <w:t xml:space="preserve">Europe/Berlin</w:t>
      </w:r>
      <w:r>
        <w:br/>
      </w:r>
      <w:r>
        <w:br/>
      </w:r>
      <w:r>
        <w:rPr>
          <w:rStyle w:val="VerbatimChar"/>
        </w:rPr>
        <w:t xml:space="preserve">America/New_York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timestamps stored:</w:t>
      </w:r>
    </w:p>
    <w:p>
      <w:pPr>
        <w:pStyle w:val="BodyText"/>
      </w:pPr>
      <w:r>
        <w:t xml:space="preserve">UTC</w:t>
      </w:r>
    </w:p>
    <w:p>
      <w:pPr>
        <w:pStyle w:val="BodyText"/>
      </w:pPr>
      <w:r>
        <w:t xml:space="preserve">Displayed:</w:t>
      </w:r>
    </w:p>
    <w:p>
      <w:pPr>
        <w:pStyle w:val="BodyText"/>
      </w:pPr>
      <w:r>
        <w:t xml:space="preserve">Tenant Timezone</w:t>
      </w:r>
    </w:p>
    <w:p>
      <w:r>
        <w:pict>
          <v:rect style="width:0;height:1.5pt" o:hralign="center" o:hrstd="t" o:hr="t"/>
        </w:pict>
      </w:r>
    </w:p>
    <w:bookmarkEnd w:id="41"/>
    <w:bookmarkStart w:id="42" w:name="tenant-currency-management"/>
    <w:p>
      <w:pPr>
        <w:pStyle w:val="Heading1"/>
      </w:pPr>
      <w:r>
        <w:t xml:space="preserve">15. Tenant Currency Management</w:t>
      </w:r>
    </w:p>
    <w:p>
      <w:pPr>
        <w:pStyle w:val="FirstParagraph"/>
      </w:pPr>
      <w:r>
        <w:t xml:space="preserve">Supported:</w:t>
      </w:r>
    </w:p>
    <w:p>
      <w:pPr>
        <w:pStyle w:val="BodyText"/>
      </w:pPr>
      <w:r>
        <w:t xml:space="preserve">INR</w:t>
      </w:r>
    </w:p>
    <w:p>
      <w:pPr>
        <w:pStyle w:val="BodyText"/>
      </w:pPr>
      <w:r>
        <w:t xml:space="preserve">USD</w:t>
      </w:r>
    </w:p>
    <w:p>
      <w:pPr>
        <w:pStyle w:val="BodyText"/>
      </w:pPr>
      <w:r>
        <w:t xml:space="preserve">EUR</w:t>
      </w:r>
    </w:p>
    <w:p>
      <w:pPr>
        <w:pStyle w:val="BodyText"/>
      </w:pPr>
      <w:r>
        <w:t xml:space="preserve">GBP</w:t>
      </w:r>
    </w:p>
    <w:p>
      <w:pPr>
        <w:pStyle w:val="BodyText"/>
      </w:pPr>
      <w:r>
        <w:t xml:space="preserve">AED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Payroll displays tenant currency.</w:t>
      </w:r>
    </w:p>
    <w:p>
      <w:r>
        <w:pict>
          <v:rect style="width:0;height:1.5pt" o:hralign="center" o:hrstd="t" o:hr="t"/>
        </w:pict>
      </w:r>
    </w:p>
    <w:bookmarkEnd w:id="42"/>
    <w:bookmarkStart w:id="43" w:name="tenant-locale-management"/>
    <w:p>
      <w:pPr>
        <w:pStyle w:val="Heading1"/>
      </w:pPr>
      <w:r>
        <w:t xml:space="preserve">16. Tenant Locale Management</w:t>
      </w:r>
    </w:p>
    <w:p>
      <w:pPr>
        <w:pStyle w:val="FirstParagraph"/>
      </w:pPr>
      <w:r>
        <w:t xml:space="preserve">Future Support:</w:t>
      </w:r>
    </w:p>
    <w:p>
      <w:pPr>
        <w:pStyle w:val="BodyText"/>
      </w:pPr>
      <w:r>
        <w:t xml:space="preserve">English</w:t>
      </w:r>
    </w:p>
    <w:p>
      <w:pPr>
        <w:pStyle w:val="BodyText"/>
      </w:pPr>
      <w:r>
        <w:t xml:space="preserve">Hindi</w:t>
      </w:r>
    </w:p>
    <w:p>
      <w:pPr>
        <w:pStyle w:val="BodyText"/>
      </w:pPr>
      <w:r>
        <w:t xml:space="preserve">Spanish</w:t>
      </w:r>
    </w:p>
    <w:p>
      <w:pPr>
        <w:pStyle w:val="BodyText"/>
      </w:pPr>
      <w:r>
        <w:t xml:space="preserve">German</w:t>
      </w:r>
    </w:p>
    <w:p>
      <w:pPr>
        <w:pStyle w:val="BodyText"/>
      </w:pPr>
      <w:r>
        <w:t xml:space="preserve">Korean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Stored:</w:t>
      </w:r>
    </w:p>
    <w:p>
      <w:pPr>
        <w:pStyle w:val="BodyText"/>
      </w:pPr>
      <w:r>
        <w:t xml:space="preserve">company.locale</w:t>
      </w:r>
    </w:p>
    <w:p>
      <w:r>
        <w:pict>
          <v:rect style="width:0;height:1.5pt" o:hralign="center" o:hrstd="t" o:hr="t"/>
        </w:pict>
      </w:r>
    </w:p>
    <w:bookmarkEnd w:id="43"/>
    <w:bookmarkStart w:id="44" w:name="tenant-subscription-model"/>
    <w:p>
      <w:pPr>
        <w:pStyle w:val="Heading1"/>
      </w:pPr>
      <w:r>
        <w:t xml:space="preserve">17. Tenant Subscription Model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subscription_plans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 Plans</w:t>
      </w:r>
    </w:p>
    <w:p>
      <w:pPr>
        <w:pStyle w:val="BodyText"/>
      </w:pPr>
      <w:r>
        <w:t xml:space="preserve">Starter</w:t>
      </w:r>
    </w:p>
    <w:p>
      <w:pPr>
        <w:pStyle w:val="BodyText"/>
      </w:pPr>
      <w:r>
        <w:t xml:space="preserve">Professional</w:t>
      </w:r>
    </w:p>
    <w:p>
      <w:pPr>
        <w:pStyle w:val="BodyText"/>
      </w:pPr>
      <w:r>
        <w:t xml:space="preserve">Enterprise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Features controlled by plan.</w:t>
      </w:r>
    </w:p>
    <w:p>
      <w:r>
        <w:pict>
          <v:rect style="width:0;height:1.5pt" o:hralign="center" o:hrstd="t" o:hr="t"/>
        </w:pict>
      </w:r>
    </w:p>
    <w:bookmarkEnd w:id="44"/>
    <w:bookmarkStart w:id="45" w:name="starter-plan"/>
    <w:p>
      <w:pPr>
        <w:pStyle w:val="Heading1"/>
      </w:pPr>
      <w:r>
        <w:t xml:space="preserve">Starter Plan</w:t>
      </w:r>
    </w:p>
    <w:p>
      <w:pPr>
        <w:pStyle w:val="FirstParagraph"/>
      </w:pPr>
      <w:r>
        <w:t xml:space="preserve">Employees: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Storage:</w:t>
      </w:r>
    </w:p>
    <w:p>
      <w:pPr>
        <w:pStyle w:val="BodyText"/>
      </w:pPr>
      <w:r>
        <w:t xml:space="preserve">5 GB</w:t>
      </w:r>
    </w:p>
    <w:p>
      <w:pPr>
        <w:pStyle w:val="BodyText"/>
      </w:pPr>
      <w:r>
        <w:t xml:space="preserve">Modules:</w:t>
      </w:r>
    </w:p>
    <w:p>
      <w:pPr>
        <w:pStyle w:val="BodyText"/>
      </w:pPr>
      <w:r>
        <w:t xml:space="preserve">Core HR</w:t>
      </w:r>
    </w:p>
    <w:p>
      <w:pPr>
        <w:pStyle w:val="BodyText"/>
      </w:pPr>
      <w:r>
        <w:t xml:space="preserve">Attendance</w:t>
      </w:r>
    </w:p>
    <w:p>
      <w:pPr>
        <w:pStyle w:val="BodyText"/>
      </w:pPr>
      <w:r>
        <w:t xml:space="preserve">Leave</w:t>
      </w:r>
    </w:p>
    <w:p>
      <w:r>
        <w:pict>
          <v:rect style="width:0;height:1.5pt" o:hralign="center" o:hrstd="t" o:hr="t"/>
        </w:pict>
      </w:r>
    </w:p>
    <w:bookmarkEnd w:id="45"/>
    <w:bookmarkStart w:id="46" w:name="professional-plan"/>
    <w:p>
      <w:pPr>
        <w:pStyle w:val="Heading1"/>
      </w:pPr>
      <w:r>
        <w:t xml:space="preserve">Professional Plan</w:t>
      </w:r>
    </w:p>
    <w:p>
      <w:pPr>
        <w:pStyle w:val="FirstParagraph"/>
      </w:pPr>
      <w:r>
        <w:t xml:space="preserve">Employees:</w:t>
      </w:r>
    </w:p>
    <w:p>
      <w:pPr>
        <w:pStyle w:val="BodyText"/>
      </w:pPr>
      <w:r>
        <w:t xml:space="preserve">1000</w:t>
      </w:r>
    </w:p>
    <w:p>
      <w:pPr>
        <w:pStyle w:val="BodyText"/>
      </w:pPr>
      <w:r>
        <w:t xml:space="preserve">Storage:</w:t>
      </w:r>
    </w:p>
    <w:p>
      <w:pPr>
        <w:pStyle w:val="BodyText"/>
      </w:pPr>
      <w:r>
        <w:t xml:space="preserve">100 GB</w:t>
      </w:r>
    </w:p>
    <w:p>
      <w:pPr>
        <w:pStyle w:val="BodyText"/>
      </w:pPr>
      <w:r>
        <w:t xml:space="preserve">Modules:</w:t>
      </w:r>
    </w:p>
    <w:p>
      <w:pPr>
        <w:pStyle w:val="BodyText"/>
      </w:pPr>
      <w:r>
        <w:t xml:space="preserve">All Standard Modules</w:t>
      </w:r>
    </w:p>
    <w:p>
      <w:r>
        <w:pict>
          <v:rect style="width:0;height:1.5pt" o:hralign="center" o:hrstd="t" o:hr="t"/>
        </w:pict>
      </w:r>
    </w:p>
    <w:bookmarkEnd w:id="46"/>
    <w:bookmarkStart w:id="47" w:name="enterprise-plan"/>
    <w:p>
      <w:pPr>
        <w:pStyle w:val="Heading1"/>
      </w:pPr>
      <w:r>
        <w:t xml:space="preserve">Enterprise Plan</w:t>
      </w:r>
    </w:p>
    <w:p>
      <w:pPr>
        <w:pStyle w:val="FirstParagraph"/>
      </w:pPr>
      <w:r>
        <w:t xml:space="preserve">Unlimited</w:t>
      </w:r>
    </w:p>
    <w:p>
      <w:pPr>
        <w:pStyle w:val="BodyText"/>
      </w:pPr>
      <w:r>
        <w:t xml:space="preserve">Custom Features</w:t>
      </w:r>
    </w:p>
    <w:p>
      <w:pPr>
        <w:pStyle w:val="BodyText"/>
      </w:pPr>
      <w:r>
        <w:t xml:space="preserve">Dedicated Support</w:t>
      </w:r>
    </w:p>
    <w:p>
      <w:r>
        <w:pict>
          <v:rect style="width:0;height:1.5pt" o:hralign="center" o:hrstd="t" o:hr="t"/>
        </w:pict>
      </w:r>
    </w:p>
    <w:bookmarkEnd w:id="47"/>
    <w:bookmarkStart w:id="48" w:name="feature-flags"/>
    <w:p>
      <w:pPr>
        <w:pStyle w:val="Heading1"/>
      </w:pPr>
      <w:r>
        <w:t xml:space="preserve">18. Feature Flags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feature_flags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AI Assistant</w:t>
      </w:r>
    </w:p>
    <w:p>
      <w:pPr>
        <w:pStyle w:val="BodyText"/>
      </w:pPr>
      <w:r>
        <w:t xml:space="preserve">Advanced Analytics</w:t>
      </w:r>
    </w:p>
    <w:p>
      <w:pPr>
        <w:pStyle w:val="BodyText"/>
      </w:pPr>
      <w:r>
        <w:t xml:space="preserve">SSO</w:t>
      </w:r>
    </w:p>
    <w:p>
      <w:pPr>
        <w:pStyle w:val="BodyText"/>
      </w:pPr>
      <w:r>
        <w:t xml:space="preserve">Recruitment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Tenant-specific activation.</w:t>
      </w:r>
    </w:p>
    <w:p>
      <w:r>
        <w:pict>
          <v:rect style="width:0;height:1.5pt" o:hralign="center" o:hrstd="t" o:hr="t"/>
        </w:pict>
      </w:r>
    </w:p>
    <w:bookmarkEnd w:id="48"/>
    <w:bookmarkStart w:id="49" w:name="tenant-user-management"/>
    <w:p>
      <w:pPr>
        <w:pStyle w:val="Heading1"/>
      </w:pPr>
      <w:r>
        <w:t xml:space="preserve">19. Tenant User Management</w:t>
      </w:r>
    </w:p>
    <w:p>
      <w:pPr>
        <w:pStyle w:val="FirstParagraph"/>
      </w:pPr>
      <w:r>
        <w:t xml:space="preserve">Users belong to company.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NormalTok"/>
        </w:rPr>
        <w:t xml:space="preserve">users</w:t>
      </w:r>
      <w:r>
        <w:br/>
      </w:r>
      <w:r>
        <w:br/>
      </w:r>
      <w:r>
        <w:rPr>
          <w:rStyle w:val="KeywordTok"/>
        </w:rPr>
        <w:t xml:space="preserve">id</w:t>
      </w:r>
      <w:r>
        <w:br/>
      </w:r>
      <w:r>
        <w:br/>
      </w:r>
      <w:r>
        <w:rPr>
          <w:rStyle w:val="NormalTok"/>
        </w:rPr>
        <w:t xml:space="preserve">company_id</w:t>
      </w:r>
      <w:r>
        <w:br/>
      </w:r>
      <w:r>
        <w:br/>
      </w:r>
      <w:r>
        <w:rPr>
          <w:rStyle w:val="NormalTok"/>
        </w:rPr>
        <w:t xml:space="preserve">role_id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User cannot belong to multiple companies.</w:t>
      </w:r>
    </w:p>
    <w:p>
      <w:pPr>
        <w:pStyle w:val="BodyText"/>
      </w:pPr>
      <w:r>
        <w:t xml:space="preserve">Version 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Future:</w:t>
      </w:r>
    </w:p>
    <w:p>
      <w:pPr>
        <w:pStyle w:val="BodyText"/>
      </w:pPr>
      <w:r>
        <w:t xml:space="preserve">Multi-Organization Support.</w:t>
      </w:r>
    </w:p>
    <w:p>
      <w:r>
        <w:pict>
          <v:rect style="width:0;height:1.5pt" o:hralign="center" o:hrstd="t" o:hr="t"/>
        </w:pict>
      </w:r>
    </w:p>
    <w:bookmarkEnd w:id="49"/>
    <w:bookmarkStart w:id="50" w:name="tenant-rbac"/>
    <w:p>
      <w:pPr>
        <w:pStyle w:val="Heading1"/>
      </w:pPr>
      <w:r>
        <w:t xml:space="preserve">20. Tenant RBAC</w:t>
      </w:r>
    </w:p>
    <w:p>
      <w:pPr>
        <w:pStyle w:val="FirstParagraph"/>
      </w:pPr>
      <w:r>
        <w:t xml:space="preserve">Permissions isolated.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Company A</w:t>
      </w:r>
    </w:p>
    <w:p>
      <w:pPr>
        <w:pStyle w:val="BodyText"/>
      </w:pPr>
      <w:r>
        <w:t xml:space="preserve">cannot access</w:t>
      </w:r>
    </w:p>
    <w:p>
      <w:pPr>
        <w:pStyle w:val="BodyText"/>
      </w:pPr>
      <w:r>
        <w:t xml:space="preserve">Company B</w:t>
      </w:r>
    </w:p>
    <w:p>
      <w:pPr>
        <w:pStyle w:val="BodyText"/>
      </w:pPr>
      <w:r>
        <w:t xml:space="preserve">resources.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Authorization includes:</w:t>
      </w:r>
    </w:p>
    <w:p>
      <w:pPr>
        <w:pStyle w:val="BodyText"/>
      </w:pPr>
      <w:r>
        <w:t xml:space="preserve">Permission Check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Tenant Check</w:t>
      </w:r>
    </w:p>
    <w:p>
      <w:r>
        <w:pict>
          <v:rect style="width:0;height:1.5pt" o:hralign="center" o:hrstd="t" o:hr="t"/>
        </w:pict>
      </w:r>
    </w:p>
    <w:bookmarkEnd w:id="50"/>
    <w:bookmarkStart w:id="51" w:name="tenant-file-storage"/>
    <w:p>
      <w:pPr>
        <w:pStyle w:val="Heading1"/>
      </w:pPr>
      <w:r>
        <w:t xml:space="preserve">21. Tenant File Storage</w:t>
      </w:r>
    </w:p>
    <w:p>
      <w:pPr>
        <w:pStyle w:val="FirstParagraph"/>
      </w:pPr>
      <w:r>
        <w:t xml:space="preserve">Documents stored in:</w:t>
      </w:r>
    </w:p>
    <w:p>
      <w:pPr>
        <w:pStyle w:val="SourceCode"/>
      </w:pPr>
      <w:r>
        <w:rPr>
          <w:rStyle w:val="VerbatimChar"/>
        </w:rPr>
        <w:t xml:space="preserve">/company-id/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/1/employees/documents</w:t>
      </w:r>
      <w:r>
        <w:br/>
      </w:r>
      <w:r>
        <w:br/>
      </w:r>
      <w:r>
        <w:rPr>
          <w:rStyle w:val="VerbatimChar"/>
        </w:rPr>
        <w:t xml:space="preserve">/2/employees/documents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Benefits:</w:t>
      </w:r>
    </w:p>
    <w:p>
      <w:pPr>
        <w:pStyle w:val="BodyText"/>
      </w:pPr>
      <w:r>
        <w:t xml:space="preserve">Isolation</w:t>
      </w:r>
    </w:p>
    <w:p>
      <w:pPr>
        <w:pStyle w:val="BodyText"/>
      </w:pPr>
      <w:r>
        <w:t xml:space="preserve">Easier backup</w:t>
      </w:r>
    </w:p>
    <w:p>
      <w:r>
        <w:pict>
          <v:rect style="width:0;height:1.5pt" o:hralign="center" o:hrstd="t" o:hr="t"/>
        </w:pict>
      </w:r>
    </w:p>
    <w:bookmarkEnd w:id="51"/>
    <w:bookmarkStart w:id="52" w:name="tenant-cache-strategy"/>
    <w:p>
      <w:pPr>
        <w:pStyle w:val="Heading1"/>
      </w:pPr>
      <w:r>
        <w:t xml:space="preserve">22. Tenant Cache Strategy</w:t>
      </w:r>
    </w:p>
    <w:p>
      <w:pPr>
        <w:pStyle w:val="FirstParagraph"/>
      </w:pPr>
      <w:r>
        <w:t xml:space="preserve">Cache Keys:</w:t>
      </w:r>
    </w:p>
    <w:p>
      <w:pPr>
        <w:pStyle w:val="SourceCode"/>
      </w:pPr>
      <w:r>
        <w:rPr>
          <w:rStyle w:val="VerbatimChar"/>
        </w:rPr>
        <w:t xml:space="preserve">tenant:1:employees</w:t>
      </w:r>
      <w:r>
        <w:br/>
      </w:r>
      <w:r>
        <w:br/>
      </w:r>
      <w:r>
        <w:rPr>
          <w:rStyle w:val="VerbatimChar"/>
        </w:rPr>
        <w:t xml:space="preserve">tenant:1:settings</w:t>
      </w:r>
      <w:r>
        <w:br/>
      </w:r>
      <w:r>
        <w:br/>
      </w:r>
      <w:r>
        <w:rPr>
          <w:rStyle w:val="VerbatimChar"/>
        </w:rPr>
        <w:t xml:space="preserve">tenant:1:dashboard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Avoids cache collisions.</w:t>
      </w:r>
    </w:p>
    <w:p>
      <w:r>
        <w:pict>
          <v:rect style="width:0;height:1.5pt" o:hralign="center" o:hrstd="t" o:hr="t"/>
        </w:pict>
      </w:r>
    </w:p>
    <w:bookmarkEnd w:id="52"/>
    <w:bookmarkStart w:id="53" w:name="tenant-queue-strategy"/>
    <w:p>
      <w:pPr>
        <w:pStyle w:val="Heading1"/>
      </w:pPr>
      <w:r>
        <w:t xml:space="preserve">23. Tenant Queue Strategy</w:t>
      </w:r>
    </w:p>
    <w:p>
      <w:pPr>
        <w:pStyle w:val="FirstParagraph"/>
      </w:pPr>
      <w:r>
        <w:t xml:space="preserve">Jobs carry:</w:t>
      </w:r>
    </w:p>
    <w:p>
      <w:pPr>
        <w:pStyle w:val="BodyText"/>
      </w:pPr>
      <w:r>
        <w:t xml:space="preserve">company_id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GeneratePayrollJob</w:t>
      </w:r>
    </w:p>
    <w:p>
      <w:pPr>
        <w:pStyle w:val="FirstParagraph"/>
      </w:pPr>
      <w:r>
        <w:t xml:space="preserve">contains:</w:t>
      </w:r>
    </w:p>
    <w:p>
      <w:pPr>
        <w:pStyle w:val="BodyText"/>
      </w:pPr>
      <w:r>
        <w:t xml:space="preserve">company_id</w:t>
      </w:r>
    </w:p>
    <w:p>
      <w:pPr>
        <w:pStyle w:val="BodyText"/>
      </w:pPr>
      <w:r>
        <w:t xml:space="preserve">payroll_id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Worker restores context.</w:t>
      </w:r>
    </w:p>
    <w:p>
      <w:r>
        <w:pict>
          <v:rect style="width:0;height:1.5pt" o:hralign="center" o:hrstd="t" o:hr="t"/>
        </w:pict>
      </w:r>
    </w:p>
    <w:bookmarkEnd w:id="53"/>
    <w:bookmarkStart w:id="54" w:name="tenant-reporting"/>
    <w:p>
      <w:pPr>
        <w:pStyle w:val="Heading1"/>
      </w:pPr>
      <w:r>
        <w:t xml:space="preserve">24. Tenant Reporting</w:t>
      </w:r>
    </w:p>
    <w:p>
      <w:pPr>
        <w:pStyle w:val="FirstParagraph"/>
      </w:pPr>
      <w:r>
        <w:t xml:space="preserve">Reports generated per tenant.</w:t>
      </w:r>
    </w:p>
    <w:p>
      <w:pPr>
        <w:pStyle w:val="BodyText"/>
      </w:pPr>
      <w:r>
        <w:t xml:space="preserve">Cross-tenant reporting prohibited.</w:t>
      </w:r>
    </w:p>
    <w:p>
      <w:pPr>
        <w:pStyle w:val="BodyText"/>
      </w:pPr>
      <w:r>
        <w:t xml:space="preserve">Except:</w:t>
      </w:r>
    </w:p>
    <w:p>
      <w:pPr>
        <w:pStyle w:val="BodyText"/>
      </w:pPr>
      <w:r>
        <w:t xml:space="preserve">Super Admin.</w:t>
      </w:r>
    </w:p>
    <w:p>
      <w:r>
        <w:pict>
          <v:rect style="width:0;height:1.5pt" o:hralign="center" o:hrstd="t" o:hr="t"/>
        </w:pict>
      </w:r>
    </w:p>
    <w:bookmarkEnd w:id="54"/>
    <w:bookmarkStart w:id="55" w:name="tenant-analytics"/>
    <w:p>
      <w:pPr>
        <w:pStyle w:val="Heading1"/>
      </w:pPr>
      <w:r>
        <w:t xml:space="preserve">25. Tenant Analytics</w:t>
      </w:r>
    </w:p>
    <w:p>
      <w:pPr>
        <w:pStyle w:val="FirstParagraph"/>
      </w:pPr>
      <w:r>
        <w:t xml:space="preserve">Metrics isolated.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Headcount</w:t>
      </w:r>
    </w:p>
    <w:p>
      <w:pPr>
        <w:pStyle w:val="BodyText"/>
      </w:pPr>
      <w:r>
        <w:t xml:space="preserve">Payroll Cost</w:t>
      </w:r>
    </w:p>
    <w:p>
      <w:pPr>
        <w:pStyle w:val="BodyText"/>
      </w:pPr>
      <w:r>
        <w:t xml:space="preserve">Attrition</w:t>
      </w:r>
    </w:p>
    <w:p>
      <w:pPr>
        <w:pStyle w:val="BodyText"/>
      </w:pPr>
      <w:r>
        <w:t xml:space="preserve">Attendance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tenant can view another tenant’s analytics.</w:t>
      </w:r>
    </w:p>
    <w:p>
      <w:r>
        <w:pict>
          <v:rect style="width:0;height:1.5pt" o:hralign="center" o:hrstd="t" o:hr="t"/>
        </w:pict>
      </w:r>
    </w:p>
    <w:bookmarkEnd w:id="55"/>
    <w:bookmarkStart w:id="56" w:name="tenant-audit-logs"/>
    <w:p>
      <w:pPr>
        <w:pStyle w:val="Heading1"/>
      </w:pPr>
      <w:r>
        <w:t xml:space="preserve">26. Tenant Audit Logs</w:t>
      </w:r>
    </w:p>
    <w:p>
      <w:pPr>
        <w:pStyle w:val="FirstParagraph"/>
      </w:pPr>
      <w:r>
        <w:t xml:space="preserve">Audit records contain:</w:t>
      </w:r>
    </w:p>
    <w:p>
      <w:pPr>
        <w:pStyle w:val="BodyText"/>
      </w:pPr>
      <w:r>
        <w:t xml:space="preserve">company_id</w:t>
      </w:r>
    </w:p>
    <w:p>
      <w:pPr>
        <w:pStyle w:val="BodyText"/>
      </w:pPr>
      <w:r>
        <w:t xml:space="preserve">user_id</w:t>
      </w:r>
    </w:p>
    <w:p>
      <w:pPr>
        <w:pStyle w:val="BodyText"/>
      </w:pPr>
      <w:r>
        <w:t xml:space="preserve">action</w:t>
      </w:r>
    </w:p>
    <w:p>
      <w:pPr>
        <w:pStyle w:val="BodyText"/>
      </w:pPr>
      <w:r>
        <w:t xml:space="preserve">entity</w:t>
      </w:r>
    </w:p>
    <w:p>
      <w:pPr>
        <w:pStyle w:val="BodyText"/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Required for compliance.</w:t>
      </w:r>
    </w:p>
    <w:p>
      <w:r>
        <w:pict>
          <v:rect style="width:0;height:1.5pt" o:hralign="center" o:hrstd="t" o:hr="t"/>
        </w:pict>
      </w:r>
    </w:p>
    <w:bookmarkEnd w:id="56"/>
    <w:bookmarkStart w:id="57" w:name="tenant-backup-strategy"/>
    <w:p>
      <w:pPr>
        <w:pStyle w:val="Heading1"/>
      </w:pPr>
      <w:r>
        <w:t xml:space="preserve">27. Tenant Backup Strategy</w:t>
      </w:r>
    </w:p>
    <w:p>
      <w:pPr>
        <w:pStyle w:val="FirstParagraph"/>
      </w:pPr>
      <w:r>
        <w:t xml:space="preserve">Backup Types:</w:t>
      </w:r>
    </w:p>
    <w:p>
      <w:pPr>
        <w:pStyle w:val="BodyText"/>
      </w:pPr>
      <w:r>
        <w:t xml:space="preserve">Full</w:t>
      </w:r>
    </w:p>
    <w:p>
      <w:pPr>
        <w:pStyle w:val="BodyText"/>
      </w:pPr>
      <w:r>
        <w:t xml:space="preserve">Incremental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Future:</w:t>
      </w:r>
    </w:p>
    <w:p>
      <w:pPr>
        <w:pStyle w:val="BodyText"/>
      </w:pPr>
      <w:r>
        <w:t xml:space="preserve">Tenant-level restore.</w:t>
      </w:r>
    </w:p>
    <w:p>
      <w:r>
        <w:pict>
          <v:rect style="width:0;height:1.5pt" o:hralign="center" o:hrstd="t" o:hr="t"/>
        </w:pict>
      </w:r>
    </w:p>
    <w:bookmarkEnd w:id="57"/>
    <w:bookmarkStart w:id="58" w:name="tenant-data-export"/>
    <w:p>
      <w:pPr>
        <w:pStyle w:val="Heading1"/>
      </w:pPr>
      <w:r>
        <w:t xml:space="preserve">28. Tenant Data Export</w:t>
      </w:r>
    </w:p>
    <w:p>
      <w:pPr>
        <w:pStyle w:val="FirstParagraph"/>
      </w:pPr>
      <w:r>
        <w:t xml:space="preserve">Organizations may export:</w:t>
      </w:r>
    </w:p>
    <w:p>
      <w:pPr>
        <w:pStyle w:val="BodyText"/>
      </w:pPr>
      <w:r>
        <w:t xml:space="preserve">Employees</w:t>
      </w:r>
    </w:p>
    <w:p>
      <w:pPr>
        <w:pStyle w:val="BodyText"/>
      </w:pPr>
      <w:r>
        <w:t xml:space="preserve">Attendance</w:t>
      </w:r>
    </w:p>
    <w:p>
      <w:pPr>
        <w:pStyle w:val="BodyText"/>
      </w:pPr>
      <w:r>
        <w:t xml:space="preserve">Payroll</w:t>
      </w:r>
    </w:p>
    <w:p>
      <w:pPr>
        <w:pStyle w:val="BodyText"/>
      </w:pPr>
      <w:r>
        <w:t xml:space="preserve">Documents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Formats:</w:t>
      </w:r>
    </w:p>
    <w:p>
      <w:pPr>
        <w:pStyle w:val="BodyText"/>
      </w:pPr>
      <w:r>
        <w:t xml:space="preserve">CSV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58"/>
    <w:bookmarkStart w:id="59" w:name="tenant-offboarding"/>
    <w:p>
      <w:pPr>
        <w:pStyle w:val="Heading1"/>
      </w:pPr>
      <w:r>
        <w:t xml:space="preserve">29. Tenant Offboarding</w:t>
      </w:r>
    </w:p>
    <w:p>
      <w:pPr>
        <w:pStyle w:val="FirstParagraph"/>
      </w:pPr>
      <w:r>
        <w:t xml:space="preserve">Process:</w:t>
      </w:r>
    </w:p>
    <w:p>
      <w:pPr>
        <w:pStyle w:val="BodyText"/>
      </w:pPr>
      <w:r>
        <w:t xml:space="preserve">Subscription Cancelled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Export Offered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Grace Period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Deletion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Configurable.</w:t>
      </w:r>
    </w:p>
    <w:p>
      <w:r>
        <w:pict>
          <v:rect style="width:0;height:1.5pt" o:hralign="center" o:hrstd="t" o:hr="t"/>
        </w:pict>
      </w:r>
    </w:p>
    <w:bookmarkEnd w:id="59"/>
    <w:bookmarkStart w:id="60" w:name="tenant-migration-strategy"/>
    <w:p>
      <w:pPr>
        <w:pStyle w:val="Heading1"/>
      </w:pPr>
      <w:r>
        <w:t xml:space="preserve">30. Tenant Migration Strategy</w:t>
      </w:r>
    </w:p>
    <w:p>
      <w:pPr>
        <w:pStyle w:val="FirstParagraph"/>
      </w:pPr>
      <w:r>
        <w:t xml:space="preserve">Future support:</w:t>
      </w:r>
    </w:p>
    <w:p>
      <w:pPr>
        <w:pStyle w:val="BodyText"/>
      </w:pPr>
      <w:r>
        <w:t xml:space="preserve">Tenant Migration</w:t>
      </w:r>
    </w:p>
    <w:p>
      <w:pPr>
        <w:pStyle w:val="BodyText"/>
      </w:pPr>
      <w:r>
        <w:t xml:space="preserve">Shared Database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Dedicated Database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Required for enterprise customers.</w:t>
      </w:r>
    </w:p>
    <w:p>
      <w:r>
        <w:pict>
          <v:rect style="width:0;height:1.5pt" o:hralign="center" o:hrstd="t" o:hr="t"/>
        </w:pict>
      </w:r>
    </w:p>
    <w:bookmarkEnd w:id="60"/>
    <w:bookmarkStart w:id="61" w:name="enterprise-tenant-isolation"/>
    <w:p>
      <w:pPr>
        <w:pStyle w:val="Heading1"/>
      </w:pPr>
      <w:r>
        <w:t xml:space="preserve">31. Enterprise Tenant Isolation</w:t>
      </w:r>
    </w:p>
    <w:p>
      <w:pPr>
        <w:pStyle w:val="FirstParagraph"/>
      </w:pPr>
      <w:r>
        <w:t xml:space="preserve">Future Enterprise Tier:</w:t>
      </w:r>
    </w:p>
    <w:p>
      <w:pPr>
        <w:pStyle w:val="BodyText"/>
      </w:pPr>
      <w:r>
        <w:t xml:space="preserve">Dedicated Infrastructure</w:t>
      </w:r>
    </w:p>
    <w:p>
      <w:pPr>
        <w:pStyle w:val="BodyText"/>
      </w:pPr>
      <w:r>
        <w:t xml:space="preserve">Dedicated Database</w:t>
      </w:r>
    </w:p>
    <w:p>
      <w:pPr>
        <w:pStyle w:val="BodyText"/>
      </w:pPr>
      <w:r>
        <w:t xml:space="preserve">Dedicated Storage</w:t>
      </w:r>
    </w:p>
    <w:p>
      <w:pPr>
        <w:pStyle w:val="BodyText"/>
      </w:pPr>
      <w:r>
        <w:t xml:space="preserve">Dedicated Cache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highly regulated customers.</w:t>
      </w:r>
    </w:p>
    <w:p>
      <w:r>
        <w:pict>
          <v:rect style="width:0;height:1.5pt" o:hralign="center" o:hrstd="t" o:hr="t"/>
        </w:pict>
      </w:r>
    </w:p>
    <w:bookmarkEnd w:id="61"/>
    <w:bookmarkStart w:id="62" w:name="security-controls"/>
    <w:p>
      <w:pPr>
        <w:pStyle w:val="Heading1"/>
      </w:pPr>
      <w:r>
        <w:t xml:space="preserve">32. Security Controls</w:t>
      </w:r>
    </w:p>
    <w:p>
      <w:pPr>
        <w:pStyle w:val="FirstParagraph"/>
      </w:pPr>
      <w:r>
        <w:t xml:space="preserve">Tenant isolation enforced at:</w:t>
      </w:r>
    </w:p>
    <w:p>
      <w:pPr>
        <w:pStyle w:val="BodyText"/>
      </w:pPr>
      <w:r>
        <w:t xml:space="preserve">Database Layer</w:t>
      </w:r>
    </w:p>
    <w:p>
      <w:pPr>
        <w:pStyle w:val="BodyText"/>
      </w:pPr>
      <w:r>
        <w:t xml:space="preserve">Application Layer</w:t>
      </w:r>
    </w:p>
    <w:p>
      <w:pPr>
        <w:pStyle w:val="BodyText"/>
      </w:pPr>
      <w:r>
        <w:t xml:space="preserve">Authorization Layer</w:t>
      </w:r>
    </w:p>
    <w:p>
      <w:pPr>
        <w:pStyle w:val="BodyText"/>
      </w:pPr>
      <w:r>
        <w:t xml:space="preserve">API Layer</w:t>
      </w:r>
    </w:p>
    <w:p>
      <w:pPr>
        <w:pStyle w:val="BodyText"/>
      </w:pPr>
      <w:r>
        <w:t xml:space="preserve">Caching Layer</w:t>
      </w:r>
    </w:p>
    <w:p>
      <w:pPr>
        <w:pStyle w:val="BodyText"/>
      </w:pPr>
      <w:r>
        <w:t xml:space="preserve">Queue Layer</w:t>
      </w:r>
    </w:p>
    <w:p>
      <w:pPr>
        <w:pStyle w:val="BodyText"/>
      </w:pPr>
      <w:r>
        <w:t xml:space="preserve">Storage Layer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Multiple protection layers.</w:t>
      </w:r>
    </w:p>
    <w:p>
      <w:r>
        <w:pict>
          <v:rect style="width:0;height:1.5pt" o:hralign="center" o:hrstd="t" o:hr="t"/>
        </w:pict>
      </w:r>
    </w:p>
    <w:bookmarkEnd w:id="62"/>
    <w:bookmarkStart w:id="63" w:name="monitoring"/>
    <w:p>
      <w:pPr>
        <w:pStyle w:val="Heading1"/>
      </w:pPr>
      <w:r>
        <w:t xml:space="preserve">33. Monitoring</w:t>
      </w:r>
    </w:p>
    <w:p>
      <w:pPr>
        <w:pStyle w:val="FirstParagraph"/>
      </w:pPr>
      <w:r>
        <w:t xml:space="preserve">Monitor:</w:t>
      </w:r>
    </w:p>
    <w:p>
      <w:pPr>
        <w:pStyle w:val="BodyText"/>
      </w:pPr>
      <w:r>
        <w:t xml:space="preserve">Tenant Growth</w:t>
      </w:r>
    </w:p>
    <w:p>
      <w:pPr>
        <w:pStyle w:val="BodyText"/>
      </w:pPr>
      <w:r>
        <w:t xml:space="preserve">Storage Usage</w:t>
      </w:r>
    </w:p>
    <w:p>
      <w:pPr>
        <w:pStyle w:val="BodyText"/>
      </w:pPr>
      <w:r>
        <w:t xml:space="preserve">API Usage</w:t>
      </w:r>
    </w:p>
    <w:p>
      <w:pPr>
        <w:pStyle w:val="BodyText"/>
      </w:pPr>
      <w:r>
        <w:t xml:space="preserve">Payroll Volume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 tenant metrics.</w:t>
      </w:r>
    </w:p>
    <w:p>
      <w:r>
        <w:pict>
          <v:rect style="width:0;height:1.5pt" o:hralign="center" o:hrstd="t" o:hr="t"/>
        </w:pict>
      </w:r>
    </w:p>
    <w:bookmarkEnd w:id="63"/>
    <w:bookmarkStart w:id="64" w:name="billing-architecture"/>
    <w:p>
      <w:pPr>
        <w:pStyle w:val="Heading1"/>
      </w:pPr>
      <w:r>
        <w:t xml:space="preserve">34. Billing Architecture</w:t>
      </w:r>
    </w:p>
    <w:p>
      <w:pPr>
        <w:pStyle w:val="FirstParagraph"/>
      </w:pPr>
      <w:r>
        <w:t xml:space="preserve">Future:</w:t>
      </w:r>
    </w:p>
    <w:p>
      <w:pPr>
        <w:pStyle w:val="BodyText"/>
      </w:pPr>
      <w:r>
        <w:t xml:space="preserve">Subscription</w:t>
      </w:r>
    </w:p>
    <w:p>
      <w:pPr>
        <w:pStyle w:val="BodyText"/>
      </w:pPr>
      <w:r>
        <w:t xml:space="preserve">Invoices</w:t>
      </w:r>
    </w:p>
    <w:p>
      <w:pPr>
        <w:pStyle w:val="BodyText"/>
      </w:pPr>
      <w:r>
        <w:t xml:space="preserve">Usage Tracking</w:t>
      </w:r>
    </w:p>
    <w:p>
      <w:pPr>
        <w:pStyle w:val="BodyText"/>
      </w:pPr>
      <w:r>
        <w:t xml:space="preserve">Payment Processing</w:t>
      </w:r>
    </w:p>
    <w:p>
      <w:pPr>
        <w:pStyle w:val="BodyText"/>
      </w:pPr>
      <w:r>
        <w:t xml:space="preserve">Renewals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Integrated with SaaS plans.</w:t>
      </w:r>
    </w:p>
    <w:p>
      <w:r>
        <w:pict>
          <v:rect style="width:0;height:1.5pt" o:hralign="center" o:hrstd="t" o:hr="t"/>
        </w:pict>
      </w:r>
    </w:p>
    <w:bookmarkEnd w:id="64"/>
    <w:bookmarkStart w:id="65" w:name="future-enhancements"/>
    <w:p>
      <w:pPr>
        <w:pStyle w:val="Heading1"/>
      </w:pPr>
      <w:r>
        <w:t xml:space="preserve">35. Future Enhancements</w:t>
      </w:r>
    </w:p>
    <w:p>
      <w:pPr>
        <w:pStyle w:val="FirstParagraph"/>
      </w:pPr>
      <w:r>
        <w:t xml:space="preserve">Version 2:</w:t>
      </w:r>
    </w:p>
    <w:p>
      <w:pPr>
        <w:pStyle w:val="BodyText"/>
      </w:pPr>
      <w:r>
        <w:t xml:space="preserve">Custom Domains</w:t>
      </w:r>
    </w:p>
    <w:p>
      <w:pPr>
        <w:pStyle w:val="BodyText"/>
      </w:pPr>
      <w:r>
        <w:t xml:space="preserve">SSO</w:t>
      </w:r>
    </w:p>
    <w:p>
      <w:pPr>
        <w:pStyle w:val="BodyText"/>
      </w:pPr>
      <w:r>
        <w:t xml:space="preserve">Tenant Marketplace</w:t>
      </w:r>
    </w:p>
    <w:p>
      <w:pPr>
        <w:pStyle w:val="BodyText"/>
      </w:pPr>
      <w:r>
        <w:t xml:space="preserve">Workflow Builder</w:t>
      </w:r>
    </w:p>
    <w:p>
      <w:pPr>
        <w:pStyle w:val="BodyText"/>
      </w:pPr>
      <w:r>
        <w:t xml:space="preserve">Advanced Feature Flags</w:t>
      </w:r>
    </w:p>
    <w:p>
      <w:pPr>
        <w:pStyle w:val="BodyText"/>
      </w:pPr>
      <w:r>
        <w:t xml:space="preserve">Dedicated Infrastructure</w:t>
      </w:r>
    </w:p>
    <w:p>
      <w:r>
        <w:pict>
          <v:rect style="width:0;height:1.5pt" o:hralign="center" o:hrstd="t" o:hr="t"/>
        </w:pict>
      </w:r>
    </w:p>
    <w:bookmarkEnd w:id="65"/>
    <w:bookmarkStart w:id="66" w:name="architecture-decision-record"/>
    <w:p>
      <w:pPr>
        <w:pStyle w:val="Heading1"/>
      </w:pPr>
      <w:r>
        <w:t xml:space="preserve">Architecture Decision Record</w:t>
      </w:r>
    </w:p>
    <w:p>
      <w:pPr>
        <w:pStyle w:val="FirstParagraph"/>
      </w:pPr>
      <w:r>
        <w:t xml:space="preserve">ADR-004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Shared Database</w:t>
      </w:r>
    </w:p>
    <w:p>
      <w:pPr>
        <w:pStyle w:val="BodyText"/>
      </w:pPr>
      <w:r>
        <w:t xml:space="preserve">Shared Schema</w:t>
      </w:r>
    </w:p>
    <w:p>
      <w:pPr>
        <w:pStyle w:val="BodyText"/>
      </w:pPr>
      <w:r>
        <w:t xml:space="preserve">Tenant Isolation via company_id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Best balance of:</w:t>
      </w:r>
    </w:p>
    <w:p>
      <w:pPr>
        <w:pStyle w:val="Compact"/>
        <w:numPr>
          <w:ilvl w:val="0"/>
          <w:numId w:val="1006"/>
        </w:numPr>
      </w:pPr>
      <w:r>
        <w:t xml:space="preserve">Cost</w:t>
      </w:r>
    </w:p>
    <w:p>
      <w:pPr>
        <w:pStyle w:val="Compact"/>
        <w:numPr>
          <w:ilvl w:val="0"/>
          <w:numId w:val="1006"/>
        </w:numPr>
      </w:pPr>
      <w:r>
        <w:t xml:space="preserve">Performance</w:t>
      </w:r>
    </w:p>
    <w:p>
      <w:pPr>
        <w:pStyle w:val="Compact"/>
        <w:numPr>
          <w:ilvl w:val="0"/>
          <w:numId w:val="1006"/>
        </w:numPr>
      </w:pPr>
      <w:r>
        <w:t xml:space="preserve">Simplicity</w:t>
      </w:r>
    </w:p>
    <w:p>
      <w:pPr>
        <w:pStyle w:val="Compact"/>
        <w:numPr>
          <w:ilvl w:val="0"/>
          <w:numId w:val="1006"/>
        </w:numPr>
      </w:pPr>
      <w:r>
        <w:t xml:space="preserve">Scalability</w:t>
      </w:r>
    </w:p>
    <w:p>
      <w:r>
        <w:pict>
          <v:rect style="width:0;height:1.5pt" o:hralign="center" o:hrstd="t" o:hr="t"/>
        </w:pict>
      </w:r>
    </w:p>
    <w:bookmarkEnd w:id="66"/>
    <w:bookmarkStart w:id="6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PhoenixHRMS implements a secure, scalable, and cost-efficient multi-tenant SaaS architecture using a shared database and shared schema model with strict tenant isolation enforced through company_id, global scopes, authorization controls, tenant-aware caching, queues, storage, and audit logging.</w:t>
      </w:r>
    </w:p>
    <w:p>
      <w:pPr>
        <w:pStyle w:val="BodyText"/>
      </w:pPr>
      <w:r>
        <w:t xml:space="preserve">This architecture enables PhoenixHRMS to scale from a single organization to thousands of organizations while maintaining strong security, operational simplicity, and future migration flexibility.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2026-06-01T06:33:38Z</dcterms:created>
  <dcterms:modified xsi:type="dcterms:W3CDTF">2026-06-01T06:33:38Z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