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non-functional-requirements-nfr"/>
    <w:p>
      <w:pPr>
        <w:pStyle w:val="Heading1"/>
      </w:pPr>
      <w:r>
        <w:t xml:space="preserve">Non-Functional Requirements (NFR)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Non-Functional Requirements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quality attributes of PhoenixHRMS.</w:t>
      </w:r>
    </w:p>
    <w:p>
      <w:pPr>
        <w:pStyle w:val="BodyText"/>
      </w:pPr>
      <w:r>
        <w:t xml:space="preserve">Non-functional requirements define how the system performs rather than what the system does.</w:t>
      </w:r>
    </w:p>
    <w:p>
      <w:pPr>
        <w:pStyle w:val="BodyText"/>
      </w:pPr>
      <w:r>
        <w:t xml:space="preserve">These requirements govern: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Availability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pPr>
        <w:pStyle w:val="Compact"/>
        <w:numPr>
          <w:ilvl w:val="0"/>
          <w:numId w:val="1002"/>
        </w:numPr>
      </w:pPr>
      <w:r>
        <w:t xml:space="preserve">Operability</w:t>
      </w:r>
    </w:p>
    <w:p>
      <w:r>
        <w:pict>
          <v:rect style="width:0;height:1.5pt" o:hralign="center" o:hrstd="t" o:hr="t"/>
        </w:pict>
      </w:r>
    </w:p>
    <w:bookmarkEnd w:id="22"/>
    <w:bookmarkStart w:id="23" w:name="nfr-categories"/>
    <w:p>
      <w:pPr>
        <w:pStyle w:val="Heading1"/>
      </w:pPr>
      <w:r>
        <w:t xml:space="preserve">NFR Categories</w:t>
      </w:r>
    </w:p>
    <w:p>
      <w:pPr>
        <w:pStyle w:val="FirstParagraph"/>
      </w:pPr>
      <w:r>
        <w:t xml:space="preserve">NFR-001 Performance</w:t>
      </w:r>
    </w:p>
    <w:p>
      <w:pPr>
        <w:pStyle w:val="BodyText"/>
      </w:pPr>
      <w:r>
        <w:t xml:space="preserve">NFR-002 Scalability</w:t>
      </w:r>
    </w:p>
    <w:p>
      <w:pPr>
        <w:pStyle w:val="BodyText"/>
      </w:pPr>
      <w:r>
        <w:t xml:space="preserve">NFR-003 Availability</w:t>
      </w:r>
    </w:p>
    <w:p>
      <w:pPr>
        <w:pStyle w:val="BodyText"/>
      </w:pPr>
      <w:r>
        <w:t xml:space="preserve">NFR-004 Reliability</w:t>
      </w:r>
    </w:p>
    <w:p>
      <w:pPr>
        <w:pStyle w:val="BodyText"/>
      </w:pPr>
      <w:r>
        <w:t xml:space="preserve">NFR-005 Security</w:t>
      </w:r>
    </w:p>
    <w:p>
      <w:pPr>
        <w:pStyle w:val="BodyText"/>
      </w:pPr>
      <w:r>
        <w:t xml:space="preserve">NFR-006 Compliance</w:t>
      </w:r>
    </w:p>
    <w:p>
      <w:pPr>
        <w:pStyle w:val="BodyText"/>
      </w:pPr>
      <w:r>
        <w:t xml:space="preserve">NFR-007 Maintainability</w:t>
      </w:r>
    </w:p>
    <w:p>
      <w:pPr>
        <w:pStyle w:val="BodyText"/>
      </w:pPr>
      <w:r>
        <w:t xml:space="preserve">NFR-008 Observability</w:t>
      </w:r>
    </w:p>
    <w:p>
      <w:pPr>
        <w:pStyle w:val="BodyText"/>
      </w:pPr>
      <w:r>
        <w:t xml:space="preserve">NFR-009 Disaster Recovery</w:t>
      </w:r>
    </w:p>
    <w:p>
      <w:pPr>
        <w:pStyle w:val="BodyText"/>
      </w:pPr>
      <w:r>
        <w:t xml:space="preserve">NFR-010 Backup Strategy</w:t>
      </w:r>
    </w:p>
    <w:p>
      <w:pPr>
        <w:pStyle w:val="BodyText"/>
      </w:pPr>
      <w:r>
        <w:t xml:space="preserve">NFR-011 Accessibility</w:t>
      </w:r>
    </w:p>
    <w:p>
      <w:pPr>
        <w:pStyle w:val="BodyText"/>
      </w:pPr>
      <w:r>
        <w:t xml:space="preserve">NFR-012 Internationalization</w:t>
      </w:r>
    </w:p>
    <w:p>
      <w:pPr>
        <w:pStyle w:val="BodyText"/>
      </w:pPr>
      <w:r>
        <w:t xml:space="preserve">NFR-013 Multi-Tenancy</w:t>
      </w:r>
    </w:p>
    <w:p>
      <w:pPr>
        <w:pStyle w:val="BodyText"/>
      </w:pPr>
      <w:r>
        <w:t xml:space="preserve">NFR-014 API Standards</w:t>
      </w:r>
    </w:p>
    <w:p>
      <w:pPr>
        <w:pStyle w:val="BodyText"/>
      </w:pPr>
      <w:r>
        <w:t xml:space="preserve">NFR-015 Data Management</w:t>
      </w:r>
    </w:p>
    <w:p>
      <w:r>
        <w:pict>
          <v:rect style="width:0;height:1.5pt" o:hralign="center" o:hrstd="t" o:hr="t"/>
        </w:pict>
      </w:r>
    </w:p>
    <w:bookmarkEnd w:id="23"/>
    <w:bookmarkStart w:id="24" w:name="nfr-001"/>
    <w:p>
      <w:pPr>
        <w:pStyle w:val="Heading1"/>
      </w:pPr>
      <w:r>
        <w:t xml:space="preserve">NFR-001</w:t>
      </w:r>
    </w:p>
    <w:bookmarkEnd w:id="24"/>
    <w:bookmarkStart w:id="30" w:name="performance-requirements"/>
    <w:p>
      <w:pPr>
        <w:pStyle w:val="Heading1"/>
      </w:pPr>
      <w:r>
        <w:t xml:space="preserve">Performance Requirements</w:t>
      </w:r>
    </w:p>
    <w:p>
      <w:r>
        <w:pict>
          <v:rect style="width:0;height:1.5pt" o:hralign="center" o:hrstd="t" o:hr="t"/>
        </w:pict>
      </w:r>
    </w:p>
    <w:bookmarkStart w:id="25" w:name="nfr-perf-001"/>
    <w:p>
      <w:pPr>
        <w:pStyle w:val="Heading2"/>
      </w:pPr>
      <w:r>
        <w:t xml:space="preserve">NFR-PERF-001</w:t>
      </w:r>
    </w:p>
    <w:p>
      <w:pPr>
        <w:pStyle w:val="FirstParagraph"/>
      </w:pPr>
      <w:r>
        <w:t xml:space="preserve">API Response Time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95% of API requests shall complete within:</w:t>
      </w:r>
    </w:p>
    <w:p>
      <w:pPr>
        <w:pStyle w:val="BodyText"/>
      </w:pPr>
      <w:r>
        <w:t xml:space="preserve">≤ 500 milliseconds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≤ 300 milliseconds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≤ 2 seconds</w:t>
      </w:r>
    </w:p>
    <w:p>
      <w:pPr>
        <w:pStyle w:val="BodyText"/>
      </w:pPr>
      <w:r>
        <w:t xml:space="preserve">Exception:</w:t>
      </w:r>
    </w:p>
    <w:p>
      <w:pPr>
        <w:pStyle w:val="BodyText"/>
      </w:pPr>
      <w:r>
        <w:t xml:space="preserve">Report generation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nfr-perf-002"/>
    <w:p>
      <w:pPr>
        <w:pStyle w:val="Heading2"/>
      </w:pPr>
      <w:r>
        <w:t xml:space="preserve">NFR-PERF-002</w:t>
      </w:r>
    </w:p>
    <w:p>
      <w:pPr>
        <w:pStyle w:val="FirstParagraph"/>
      </w:pPr>
      <w:r>
        <w:t xml:space="preserve">Dashboard Load Time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Dashboard pages shall load within:</w:t>
      </w:r>
    </w:p>
    <w:p>
      <w:pPr>
        <w:pStyle w:val="BodyText"/>
      </w:pPr>
      <w:r>
        <w:t xml:space="preserve">≤ 3 seconds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≤ 2 seconds</w:t>
      </w:r>
    </w:p>
    <w:p>
      <w:r>
        <w:pict>
          <v:rect style="width:0;height:1.5pt" o:hralign="center" o:hrstd="t" o:hr="t"/>
        </w:pict>
      </w:r>
    </w:p>
    <w:bookmarkEnd w:id="26"/>
    <w:bookmarkStart w:id="27" w:name="nfr-perf-003"/>
    <w:p>
      <w:pPr>
        <w:pStyle w:val="Heading2"/>
      </w:pPr>
      <w:r>
        <w:t xml:space="preserve">NFR-PERF-003</w:t>
      </w:r>
    </w:p>
    <w:p>
      <w:pPr>
        <w:pStyle w:val="FirstParagraph"/>
      </w:pPr>
      <w:r>
        <w:t xml:space="preserve">Search Response Time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Employee search results shall return within:</w:t>
      </w:r>
    </w:p>
    <w:p>
      <w:pPr>
        <w:pStyle w:val="BodyText"/>
      </w:pPr>
      <w:r>
        <w:t xml:space="preserve">≤ 1 second</w:t>
      </w:r>
    </w:p>
    <w:p>
      <w:pPr>
        <w:pStyle w:val="BodyText"/>
      </w:pPr>
      <w:r>
        <w:t xml:space="preserve">Supported Dataset:</w:t>
      </w:r>
    </w:p>
    <w:p>
      <w:pPr>
        <w:pStyle w:val="BodyText"/>
      </w:pPr>
      <w:r>
        <w:t xml:space="preserve">100,000+ employees</w:t>
      </w:r>
    </w:p>
    <w:p>
      <w:r>
        <w:pict>
          <v:rect style="width:0;height:1.5pt" o:hralign="center" o:hrstd="t" o:hr="t"/>
        </w:pict>
      </w:r>
    </w:p>
    <w:bookmarkEnd w:id="27"/>
    <w:bookmarkStart w:id="28" w:name="nfr-perf-004"/>
    <w:p>
      <w:pPr>
        <w:pStyle w:val="Heading2"/>
      </w:pPr>
      <w:r>
        <w:t xml:space="preserve">NFR-PERF-004</w:t>
      </w:r>
    </w:p>
    <w:p>
      <w:pPr>
        <w:pStyle w:val="FirstParagraph"/>
      </w:pPr>
      <w:r>
        <w:t xml:space="preserve">Payroll Processing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Process payroll for:</w:t>
      </w:r>
    </w:p>
    <w:p>
      <w:pPr>
        <w:pStyle w:val="BodyText"/>
      </w:pPr>
      <w:r>
        <w:t xml:space="preserve">10,000 employees</w:t>
      </w:r>
    </w:p>
    <w:p>
      <w:pPr>
        <w:pStyle w:val="BodyText"/>
      </w:pPr>
      <w:r>
        <w:t xml:space="preserve">within:</w:t>
      </w:r>
    </w:p>
    <w:p>
      <w:pPr>
        <w:pStyle w:val="BodyText"/>
      </w:pPr>
      <w:r>
        <w:t xml:space="preserve">≤ 15 minutes</w:t>
      </w:r>
    </w:p>
    <w:p>
      <w:r>
        <w:pict>
          <v:rect style="width:0;height:1.5pt" o:hralign="center" o:hrstd="t" o:hr="t"/>
        </w:pict>
      </w:r>
    </w:p>
    <w:bookmarkEnd w:id="28"/>
    <w:bookmarkStart w:id="29" w:name="nfr-perf-005"/>
    <w:p>
      <w:pPr>
        <w:pStyle w:val="Heading2"/>
      </w:pPr>
      <w:r>
        <w:t xml:space="preserve">NFR-PERF-005</w:t>
      </w:r>
    </w:p>
    <w:p>
      <w:pPr>
        <w:pStyle w:val="FirstParagraph"/>
      </w:pPr>
      <w:r>
        <w:t xml:space="preserve">Report Generation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Standard reports generated within:</w:t>
      </w:r>
    </w:p>
    <w:p>
      <w:pPr>
        <w:pStyle w:val="BodyText"/>
      </w:pPr>
      <w:r>
        <w:t xml:space="preserve">≤ 10 seconds</w:t>
      </w:r>
    </w:p>
    <w:p>
      <w:pPr>
        <w:pStyle w:val="BodyText"/>
      </w:pPr>
      <w:r>
        <w:t xml:space="preserve">Large reports:</w:t>
      </w:r>
    </w:p>
    <w:p>
      <w:pPr>
        <w:pStyle w:val="BodyText"/>
      </w:pPr>
      <w:r>
        <w:t xml:space="preserve">≤ 60 seconds</w:t>
      </w:r>
    </w:p>
    <w:p>
      <w:pPr>
        <w:pStyle w:val="BodyText"/>
      </w:pPr>
      <w:r>
        <w:t xml:space="preserve">Background processing required.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fr-002"/>
    <w:p>
      <w:pPr>
        <w:pStyle w:val="Heading1"/>
      </w:pPr>
      <w:r>
        <w:t xml:space="preserve">NFR-002</w:t>
      </w:r>
    </w:p>
    <w:bookmarkEnd w:id="31"/>
    <w:bookmarkStart w:id="36" w:name="scalability-requirements"/>
    <w:p>
      <w:pPr>
        <w:pStyle w:val="Heading1"/>
      </w:pPr>
      <w:r>
        <w:t xml:space="preserve">Scalability Requirements</w:t>
      </w:r>
    </w:p>
    <w:p>
      <w:r>
        <w:pict>
          <v:rect style="width:0;height:1.5pt" o:hralign="center" o:hrstd="t" o:hr="t"/>
        </w:pict>
      </w:r>
    </w:p>
    <w:bookmarkStart w:id="32" w:name="nfr-scale-001"/>
    <w:p>
      <w:pPr>
        <w:pStyle w:val="Heading2"/>
      </w:pPr>
      <w:r>
        <w:t xml:space="preserve">NFR-SCALE-001</w:t>
      </w:r>
    </w:p>
    <w:p>
      <w:pPr>
        <w:pStyle w:val="FirstParagraph"/>
      </w:pPr>
      <w:r>
        <w:t xml:space="preserve">User Scalability</w:t>
      </w:r>
    </w:p>
    <w:p>
      <w:pPr>
        <w:pStyle w:val="BodyText"/>
      </w:pPr>
      <w:r>
        <w:t xml:space="preserve">System shall support:</w:t>
      </w:r>
    </w:p>
    <w:p>
      <w:pPr>
        <w:pStyle w:val="Compact"/>
        <w:numPr>
          <w:ilvl w:val="0"/>
          <w:numId w:val="1003"/>
        </w:numPr>
      </w:pPr>
      <w:r>
        <w:t xml:space="preserve">10,000+ employees</w:t>
      </w:r>
    </w:p>
    <w:p>
      <w:pPr>
        <w:pStyle w:val="Compact"/>
        <w:numPr>
          <w:ilvl w:val="0"/>
          <w:numId w:val="1003"/>
        </w:numPr>
      </w:pPr>
      <w:r>
        <w:t xml:space="preserve">1,000 concurrent users</w:t>
      </w:r>
    </w:p>
    <w:p>
      <w:pPr>
        <w:pStyle w:val="FirstParagraph"/>
      </w:pPr>
      <w:r>
        <w:t xml:space="preserve">Initial Target:</w:t>
      </w:r>
    </w:p>
    <w:p>
      <w:pPr>
        <w:pStyle w:val="Compact"/>
        <w:numPr>
          <w:ilvl w:val="0"/>
          <w:numId w:val="1004"/>
        </w:numPr>
      </w:pPr>
      <w:r>
        <w:t xml:space="preserve">5,000 employees</w:t>
      </w:r>
    </w:p>
    <w:p>
      <w:pPr>
        <w:pStyle w:val="Compact"/>
        <w:numPr>
          <w:ilvl w:val="0"/>
          <w:numId w:val="1004"/>
        </w:numPr>
      </w:pPr>
      <w:r>
        <w:t xml:space="preserve">250 concurrent users</w:t>
      </w:r>
    </w:p>
    <w:p>
      <w:r>
        <w:pict>
          <v:rect style="width:0;height:1.5pt" o:hralign="center" o:hrstd="t" o:hr="t"/>
        </w:pict>
      </w:r>
    </w:p>
    <w:bookmarkEnd w:id="32"/>
    <w:bookmarkStart w:id="33" w:name="nfr-scale-002"/>
    <w:p>
      <w:pPr>
        <w:pStyle w:val="Heading2"/>
      </w:pPr>
      <w:r>
        <w:t xml:space="preserve">NFR-SCALE-002</w:t>
      </w:r>
    </w:p>
    <w:p>
      <w:pPr>
        <w:pStyle w:val="FirstParagraph"/>
      </w:pPr>
      <w:r>
        <w:t xml:space="preserve">Tenant Scalability</w:t>
      </w:r>
    </w:p>
    <w:p>
      <w:pPr>
        <w:pStyle w:val="BodyText"/>
      </w:pPr>
      <w:r>
        <w:t xml:space="preserve">System shall support:</w:t>
      </w:r>
    </w:p>
    <w:p>
      <w:pPr>
        <w:pStyle w:val="Compact"/>
        <w:numPr>
          <w:ilvl w:val="0"/>
          <w:numId w:val="1005"/>
        </w:numPr>
      </w:pPr>
      <w:r>
        <w:t xml:space="preserve">1,000 organizations</w:t>
      </w:r>
    </w:p>
    <w:p>
      <w:pPr>
        <w:pStyle w:val="FirstParagraph"/>
      </w:pPr>
      <w:r>
        <w:t xml:space="preserve">without architectural changes.</w:t>
      </w:r>
    </w:p>
    <w:p>
      <w:r>
        <w:pict>
          <v:rect style="width:0;height:1.5pt" o:hralign="center" o:hrstd="t" o:hr="t"/>
        </w:pict>
      </w:r>
    </w:p>
    <w:bookmarkEnd w:id="33"/>
    <w:bookmarkStart w:id="34" w:name="nfr-scale-003"/>
    <w:p>
      <w:pPr>
        <w:pStyle w:val="Heading2"/>
      </w:pPr>
      <w:r>
        <w:t xml:space="preserve">NFR-SCALE-003</w:t>
      </w:r>
    </w:p>
    <w:p>
      <w:pPr>
        <w:pStyle w:val="FirstParagraph"/>
      </w:pPr>
      <w:r>
        <w:t xml:space="preserve">Horizontal Scaling</w:t>
      </w:r>
    </w:p>
    <w:p>
      <w:pPr>
        <w:pStyle w:val="BodyText"/>
      </w:pPr>
      <w:r>
        <w:t xml:space="preserve">Application shall support:</w:t>
      </w:r>
    </w:p>
    <w:p>
      <w:pPr>
        <w:pStyle w:val="Compact"/>
        <w:numPr>
          <w:ilvl w:val="0"/>
          <w:numId w:val="1006"/>
        </w:numPr>
      </w:pPr>
      <w:r>
        <w:t xml:space="preserve">Multiple web servers</w:t>
      </w:r>
    </w:p>
    <w:p>
      <w:pPr>
        <w:pStyle w:val="Compact"/>
        <w:numPr>
          <w:ilvl w:val="0"/>
          <w:numId w:val="1006"/>
        </w:numPr>
      </w:pPr>
      <w:r>
        <w:t xml:space="preserve">Multiple queue workers</w:t>
      </w:r>
    </w:p>
    <w:p>
      <w:pPr>
        <w:pStyle w:val="Compact"/>
        <w:numPr>
          <w:ilvl w:val="0"/>
          <w:numId w:val="1006"/>
        </w:numPr>
      </w:pPr>
      <w:r>
        <w:t xml:space="preserve">Multiple cache nodes</w:t>
      </w:r>
    </w:p>
    <w:p>
      <w:r>
        <w:pict>
          <v:rect style="width:0;height:1.5pt" o:hralign="center" o:hrstd="t" o:hr="t"/>
        </w:pict>
      </w:r>
    </w:p>
    <w:bookmarkEnd w:id="34"/>
    <w:bookmarkStart w:id="35" w:name="nfr-scale-004"/>
    <w:p>
      <w:pPr>
        <w:pStyle w:val="Heading2"/>
      </w:pPr>
      <w:r>
        <w:t xml:space="preserve">NFR-SCALE-004</w:t>
      </w:r>
    </w:p>
    <w:p>
      <w:pPr>
        <w:pStyle w:val="FirstParagraph"/>
      </w:pPr>
      <w:r>
        <w:t xml:space="preserve">Database Growth</w:t>
      </w:r>
    </w:p>
    <w:p>
      <w:pPr>
        <w:pStyle w:val="BodyText"/>
      </w:pPr>
      <w:r>
        <w:t xml:space="preserve">System shall support:</w:t>
      </w:r>
    </w:p>
    <w:p>
      <w:pPr>
        <w:pStyle w:val="Compact"/>
        <w:numPr>
          <w:ilvl w:val="0"/>
          <w:numId w:val="1007"/>
        </w:numPr>
      </w:pPr>
      <w:r>
        <w:t xml:space="preserve">100 million attendance records</w:t>
      </w:r>
    </w:p>
    <w:p>
      <w:pPr>
        <w:pStyle w:val="Compact"/>
        <w:numPr>
          <w:ilvl w:val="0"/>
          <w:numId w:val="1007"/>
        </w:numPr>
      </w:pPr>
      <w:r>
        <w:t xml:space="preserve">10 million audit records</w:t>
      </w:r>
    </w:p>
    <w:p>
      <w:pPr>
        <w:pStyle w:val="FirstParagraph"/>
      </w:pPr>
      <w:r>
        <w:t xml:space="preserve">without degradation.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fr-003"/>
    <w:p>
      <w:pPr>
        <w:pStyle w:val="Heading1"/>
      </w:pPr>
      <w:r>
        <w:t xml:space="preserve">NFR-003</w:t>
      </w:r>
    </w:p>
    <w:bookmarkEnd w:id="37"/>
    <w:bookmarkStart w:id="41" w:name="availability-requirements"/>
    <w:p>
      <w:pPr>
        <w:pStyle w:val="Heading1"/>
      </w:pPr>
      <w:r>
        <w:t xml:space="preserve">Availability Requirements</w:t>
      </w:r>
    </w:p>
    <w:p>
      <w:r>
        <w:pict>
          <v:rect style="width:0;height:1.5pt" o:hralign="center" o:hrstd="t" o:hr="t"/>
        </w:pict>
      </w:r>
    </w:p>
    <w:bookmarkStart w:id="38" w:name="nfr-avl-001"/>
    <w:p>
      <w:pPr>
        <w:pStyle w:val="Heading2"/>
      </w:pPr>
      <w:r>
        <w:t xml:space="preserve">NFR-AVL-001</w:t>
      </w:r>
    </w:p>
    <w:p>
      <w:pPr>
        <w:pStyle w:val="FirstParagraph"/>
      </w:pPr>
      <w:r>
        <w:t xml:space="preserve">System Uptime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99.9%</w:t>
      </w:r>
    </w:p>
    <w:p>
      <w:pPr>
        <w:pStyle w:val="BodyText"/>
      </w:pPr>
      <w:r>
        <w:t xml:space="preserve">Monthly uptime.</w:t>
      </w:r>
    </w:p>
    <w:p>
      <w:pPr>
        <w:pStyle w:val="BodyText"/>
      </w:pPr>
      <w:r>
        <w:t xml:space="preserve">Maximum downtime:</w:t>
      </w:r>
    </w:p>
    <w:p>
      <w:pPr>
        <w:pStyle w:val="BodyText"/>
      </w:pPr>
      <w:r>
        <w:t xml:space="preserve">43.8 minutes per month.</w:t>
      </w:r>
    </w:p>
    <w:p>
      <w:r>
        <w:pict>
          <v:rect style="width:0;height:1.5pt" o:hralign="center" o:hrstd="t" o:hr="t"/>
        </w:pict>
      </w:r>
    </w:p>
    <w:bookmarkEnd w:id="38"/>
    <w:bookmarkStart w:id="39" w:name="nfr-avl-002"/>
    <w:p>
      <w:pPr>
        <w:pStyle w:val="Heading2"/>
      </w:pPr>
      <w:r>
        <w:t xml:space="preserve">NFR-AVL-002</w:t>
      </w:r>
    </w:p>
    <w:p>
      <w:pPr>
        <w:pStyle w:val="FirstParagraph"/>
      </w:pPr>
      <w:r>
        <w:t xml:space="preserve">Maintenance Windows</w:t>
      </w:r>
    </w:p>
    <w:p>
      <w:pPr>
        <w:pStyle w:val="BodyText"/>
      </w:pPr>
      <w:r>
        <w:t xml:space="preserve">Planned maintenance must occur:</w:t>
      </w:r>
    </w:p>
    <w:p>
      <w:pPr>
        <w:pStyle w:val="BodyText"/>
      </w:pPr>
      <w:r>
        <w:t xml:space="preserve">Outside business hours.</w:t>
      </w:r>
    </w:p>
    <w:p>
      <w:pPr>
        <w:pStyle w:val="BodyText"/>
      </w:pPr>
      <w:r>
        <w:t xml:space="preserve">Notifications required.</w:t>
      </w:r>
    </w:p>
    <w:p>
      <w:r>
        <w:pict>
          <v:rect style="width:0;height:1.5pt" o:hralign="center" o:hrstd="t" o:hr="t"/>
        </w:pict>
      </w:r>
    </w:p>
    <w:bookmarkEnd w:id="39"/>
    <w:bookmarkStart w:id="40" w:name="nfr-avl-003"/>
    <w:p>
      <w:pPr>
        <w:pStyle w:val="Heading2"/>
      </w:pPr>
      <w:r>
        <w:t xml:space="preserve">NFR-AVL-003</w:t>
      </w:r>
    </w:p>
    <w:p>
      <w:pPr>
        <w:pStyle w:val="FirstParagraph"/>
      </w:pPr>
      <w:r>
        <w:t xml:space="preserve">High Availability</w:t>
      </w:r>
    </w:p>
    <w:p>
      <w:pPr>
        <w:pStyle w:val="BodyText"/>
      </w:pPr>
      <w:r>
        <w:t xml:space="preserve">Production environment shall support:</w:t>
      </w:r>
    </w:p>
    <w:p>
      <w:pPr>
        <w:pStyle w:val="Compact"/>
        <w:numPr>
          <w:ilvl w:val="0"/>
          <w:numId w:val="1008"/>
        </w:numPr>
      </w:pPr>
      <w:r>
        <w:t xml:space="preserve">Redundant application servers</w:t>
      </w:r>
    </w:p>
    <w:p>
      <w:pPr>
        <w:pStyle w:val="Compact"/>
        <w:numPr>
          <w:ilvl w:val="0"/>
          <w:numId w:val="1008"/>
        </w:numPr>
      </w:pPr>
      <w:r>
        <w:t xml:space="preserve">Redundant database replicas</w:t>
      </w:r>
    </w:p>
    <w:p>
      <w:pPr>
        <w:pStyle w:val="Compact"/>
        <w:numPr>
          <w:ilvl w:val="0"/>
          <w:numId w:val="1008"/>
        </w:numPr>
      </w:pPr>
      <w:r>
        <w:t xml:space="preserve">Redundant cache nodes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fr-004"/>
    <w:p>
      <w:pPr>
        <w:pStyle w:val="Heading1"/>
      </w:pPr>
      <w:r>
        <w:t xml:space="preserve">NFR-004</w:t>
      </w:r>
    </w:p>
    <w:bookmarkEnd w:id="42"/>
    <w:bookmarkStart w:id="46" w:name="reliability-requirements"/>
    <w:p>
      <w:pPr>
        <w:pStyle w:val="Heading1"/>
      </w:pPr>
      <w:r>
        <w:t xml:space="preserve">Reliability Requirements</w:t>
      </w:r>
    </w:p>
    <w:p>
      <w:r>
        <w:pict>
          <v:rect style="width:0;height:1.5pt" o:hralign="center" o:hrstd="t" o:hr="t"/>
        </w:pict>
      </w:r>
    </w:p>
    <w:bookmarkStart w:id="43" w:name="nfr-rel-001"/>
    <w:p>
      <w:pPr>
        <w:pStyle w:val="Heading2"/>
      </w:pPr>
      <w:r>
        <w:t xml:space="preserve">NFR-REL-001</w:t>
      </w:r>
    </w:p>
    <w:p>
      <w:pPr>
        <w:pStyle w:val="FirstParagraph"/>
      </w:pPr>
      <w:r>
        <w:t xml:space="preserve">Data Integrity</w:t>
      </w:r>
    </w:p>
    <w:p>
      <w:pPr>
        <w:pStyle w:val="BodyText"/>
      </w:pPr>
      <w:r>
        <w:t xml:space="preserve">Employee records must never be corrupted.</w:t>
      </w:r>
    </w:p>
    <w:p>
      <w:pPr>
        <w:pStyle w:val="BodyText"/>
      </w:pPr>
      <w:r>
        <w:t xml:space="preserve">Transactions shall be ACID compliant.</w:t>
      </w:r>
    </w:p>
    <w:p>
      <w:r>
        <w:pict>
          <v:rect style="width:0;height:1.5pt" o:hralign="center" o:hrstd="t" o:hr="t"/>
        </w:pict>
      </w:r>
    </w:p>
    <w:bookmarkEnd w:id="43"/>
    <w:bookmarkStart w:id="44" w:name="nfr-rel-002"/>
    <w:p>
      <w:pPr>
        <w:pStyle w:val="Heading2"/>
      </w:pPr>
      <w:r>
        <w:t xml:space="preserve">NFR-REL-002</w:t>
      </w:r>
    </w:p>
    <w:p>
      <w:pPr>
        <w:pStyle w:val="FirstParagraph"/>
      </w:pPr>
      <w:r>
        <w:t xml:space="preserve">Payroll Reliability</w:t>
      </w:r>
    </w:p>
    <w:p>
      <w:pPr>
        <w:pStyle w:val="BodyText"/>
      </w:pPr>
      <w:r>
        <w:t xml:space="preserve">Payroll calculations must be deterministic.</w:t>
      </w:r>
    </w:p>
    <w:p>
      <w:pPr>
        <w:pStyle w:val="BodyText"/>
      </w:pPr>
      <w:r>
        <w:t xml:space="preserve">Same inputs must always generate same outputs.</w:t>
      </w:r>
    </w:p>
    <w:p>
      <w:r>
        <w:pict>
          <v:rect style="width:0;height:1.5pt" o:hralign="center" o:hrstd="t" o:hr="t"/>
        </w:pict>
      </w:r>
    </w:p>
    <w:bookmarkEnd w:id="44"/>
    <w:bookmarkStart w:id="45" w:name="nfr-rel-003"/>
    <w:p>
      <w:pPr>
        <w:pStyle w:val="Heading2"/>
      </w:pPr>
      <w:r>
        <w:t xml:space="preserve">NFR-REL-003</w:t>
      </w:r>
    </w:p>
    <w:p>
      <w:pPr>
        <w:pStyle w:val="FirstParagraph"/>
      </w:pPr>
      <w:r>
        <w:t xml:space="preserve">Queue Reliability</w:t>
      </w:r>
    </w:p>
    <w:p>
      <w:pPr>
        <w:pStyle w:val="BodyText"/>
      </w:pPr>
      <w:r>
        <w:t xml:space="preserve">Failed jobs must:</w:t>
      </w:r>
    </w:p>
    <w:p>
      <w:pPr>
        <w:pStyle w:val="Compact"/>
        <w:numPr>
          <w:ilvl w:val="0"/>
          <w:numId w:val="1009"/>
        </w:numPr>
      </w:pPr>
      <w:r>
        <w:t xml:space="preserve">Retry automatically</w:t>
      </w:r>
    </w:p>
    <w:p>
      <w:pPr>
        <w:pStyle w:val="Compact"/>
        <w:numPr>
          <w:ilvl w:val="0"/>
          <w:numId w:val="1009"/>
        </w:numPr>
      </w:pPr>
      <w:r>
        <w:t xml:space="preserve">Generate alerts</w:t>
      </w:r>
    </w:p>
    <w:p>
      <w:pPr>
        <w:pStyle w:val="Compact"/>
        <w:numPr>
          <w:ilvl w:val="0"/>
          <w:numId w:val="1009"/>
        </w:numPr>
      </w:pPr>
      <w:r>
        <w:t xml:space="preserve">Preserve payloads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fr-005"/>
    <w:p>
      <w:pPr>
        <w:pStyle w:val="Heading1"/>
      </w:pPr>
      <w:r>
        <w:t xml:space="preserve">NFR-005</w:t>
      </w:r>
    </w:p>
    <w:bookmarkEnd w:id="47"/>
    <w:bookmarkStart w:id="57" w:name="security-requirements"/>
    <w:p>
      <w:pPr>
        <w:pStyle w:val="Heading1"/>
      </w:pPr>
      <w:r>
        <w:t xml:space="preserve">Security Requirements</w:t>
      </w:r>
    </w:p>
    <w:p>
      <w:r>
        <w:pict>
          <v:rect style="width:0;height:1.5pt" o:hralign="center" o:hrstd="t" o:hr="t"/>
        </w:pict>
      </w:r>
    </w:p>
    <w:bookmarkStart w:id="48" w:name="nfr-sec-001"/>
    <w:p>
      <w:pPr>
        <w:pStyle w:val="Heading2"/>
      </w:pPr>
      <w:r>
        <w:t xml:space="preserve">NFR-SEC-001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Supported Methods:</w:t>
      </w:r>
    </w:p>
    <w:p>
      <w:pPr>
        <w:pStyle w:val="Compact"/>
        <w:numPr>
          <w:ilvl w:val="0"/>
          <w:numId w:val="1010"/>
        </w:numPr>
      </w:pPr>
      <w:r>
        <w:t xml:space="preserve">Username/Password</w:t>
      </w:r>
    </w:p>
    <w:p>
      <w:pPr>
        <w:pStyle w:val="Compact"/>
        <w:numPr>
          <w:ilvl w:val="0"/>
          <w:numId w:val="1010"/>
        </w:numPr>
      </w:pPr>
      <w:r>
        <w:t xml:space="preserve">MFA</w:t>
      </w:r>
    </w:p>
    <w:p>
      <w:pPr>
        <w:pStyle w:val="Compact"/>
        <w:numPr>
          <w:ilvl w:val="0"/>
          <w:numId w:val="1010"/>
        </w:numPr>
      </w:pPr>
      <w:r>
        <w:t xml:space="preserve">SSO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1"/>
        </w:numPr>
      </w:pPr>
      <w:r>
        <w:t xml:space="preserve">SAML</w:t>
      </w:r>
    </w:p>
    <w:p>
      <w:pPr>
        <w:pStyle w:val="Compact"/>
        <w:numPr>
          <w:ilvl w:val="0"/>
          <w:numId w:val="1011"/>
        </w:numPr>
      </w:pPr>
      <w:r>
        <w:t xml:space="preserve">Azure AD</w:t>
      </w:r>
    </w:p>
    <w:p>
      <w:pPr>
        <w:pStyle w:val="Compact"/>
        <w:numPr>
          <w:ilvl w:val="0"/>
          <w:numId w:val="1011"/>
        </w:numPr>
      </w:pPr>
      <w:r>
        <w:t xml:space="preserve">Google Workspace</w:t>
      </w:r>
    </w:p>
    <w:p>
      <w:r>
        <w:pict>
          <v:rect style="width:0;height:1.5pt" o:hralign="center" o:hrstd="t" o:hr="t"/>
        </w:pict>
      </w:r>
    </w:p>
    <w:bookmarkEnd w:id="48"/>
    <w:bookmarkStart w:id="49" w:name="nfr-sec-002"/>
    <w:p>
      <w:pPr>
        <w:pStyle w:val="Heading2"/>
      </w:pPr>
      <w:r>
        <w:t xml:space="preserve">NFR-SEC-002</w:t>
      </w:r>
    </w:p>
    <w:p>
      <w:pPr>
        <w:pStyle w:val="FirstParagraph"/>
      </w:pPr>
      <w:r>
        <w:t xml:space="preserve">Password Policy</w:t>
      </w:r>
    </w:p>
    <w:p>
      <w:pPr>
        <w:pStyle w:val="BodyText"/>
      </w:pPr>
      <w:r>
        <w:t xml:space="preserve">Minimum:</w:t>
      </w:r>
    </w:p>
    <w:p>
      <w:pPr>
        <w:pStyle w:val="Compact"/>
        <w:numPr>
          <w:ilvl w:val="0"/>
          <w:numId w:val="1012"/>
        </w:numPr>
      </w:pPr>
      <w:r>
        <w:t xml:space="preserve">12 characters</w:t>
      </w:r>
    </w:p>
    <w:p>
      <w:pPr>
        <w:pStyle w:val="Compact"/>
        <w:numPr>
          <w:ilvl w:val="0"/>
          <w:numId w:val="1012"/>
        </w:numPr>
      </w:pPr>
      <w:r>
        <w:t xml:space="preserve">Uppercase</w:t>
      </w:r>
    </w:p>
    <w:p>
      <w:pPr>
        <w:pStyle w:val="Compact"/>
        <w:numPr>
          <w:ilvl w:val="0"/>
          <w:numId w:val="1012"/>
        </w:numPr>
      </w:pPr>
      <w:r>
        <w:t xml:space="preserve">Lowercase</w:t>
      </w:r>
    </w:p>
    <w:p>
      <w:pPr>
        <w:pStyle w:val="Compact"/>
        <w:numPr>
          <w:ilvl w:val="0"/>
          <w:numId w:val="1012"/>
        </w:numPr>
      </w:pPr>
      <w:r>
        <w:t xml:space="preserve">Number</w:t>
      </w:r>
    </w:p>
    <w:p>
      <w:pPr>
        <w:pStyle w:val="Compact"/>
        <w:numPr>
          <w:ilvl w:val="0"/>
          <w:numId w:val="1012"/>
        </w:numPr>
      </w:pPr>
      <w:r>
        <w:t xml:space="preserve">Special character</w:t>
      </w:r>
    </w:p>
    <w:p>
      <w:r>
        <w:pict>
          <v:rect style="width:0;height:1.5pt" o:hralign="center" o:hrstd="t" o:hr="t"/>
        </w:pict>
      </w:r>
    </w:p>
    <w:bookmarkEnd w:id="49"/>
    <w:bookmarkStart w:id="50" w:name="nfr-sec-003"/>
    <w:p>
      <w:pPr>
        <w:pStyle w:val="Heading2"/>
      </w:pPr>
      <w:r>
        <w:t xml:space="preserve">NFR-SEC-003</w:t>
      </w:r>
    </w:p>
    <w:p>
      <w:pPr>
        <w:pStyle w:val="FirstParagraph"/>
      </w:pPr>
      <w:r>
        <w:t xml:space="preserve">Encryption In Transit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TLS 1.3</w:t>
      </w:r>
    </w:p>
    <w:p>
      <w:pPr>
        <w:pStyle w:val="BodyText"/>
      </w:pPr>
      <w:r>
        <w:t xml:space="preserve">Minimum:</w:t>
      </w:r>
    </w:p>
    <w:p>
      <w:pPr>
        <w:pStyle w:val="BodyText"/>
      </w:pPr>
      <w:r>
        <w:t xml:space="preserve">TLS 1.2</w:t>
      </w:r>
    </w:p>
    <w:p>
      <w:r>
        <w:pict>
          <v:rect style="width:0;height:1.5pt" o:hralign="center" o:hrstd="t" o:hr="t"/>
        </w:pict>
      </w:r>
    </w:p>
    <w:bookmarkEnd w:id="50"/>
    <w:bookmarkStart w:id="51" w:name="nfr-sec-004"/>
    <w:p>
      <w:pPr>
        <w:pStyle w:val="Heading2"/>
      </w:pPr>
      <w:r>
        <w:t xml:space="preserve">NFR-SEC-004</w:t>
      </w:r>
    </w:p>
    <w:p>
      <w:pPr>
        <w:pStyle w:val="FirstParagraph"/>
      </w:pPr>
      <w:r>
        <w:t xml:space="preserve">Encryption At Rest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AES-256</w:t>
      </w:r>
    </w:p>
    <w:p>
      <w:pPr>
        <w:pStyle w:val="BodyText"/>
      </w:pPr>
      <w:r>
        <w:t xml:space="preserve">Applicable To:</w:t>
      </w:r>
    </w:p>
    <w:p>
      <w:pPr>
        <w:pStyle w:val="Compact"/>
        <w:numPr>
          <w:ilvl w:val="0"/>
          <w:numId w:val="1013"/>
        </w:numPr>
      </w:pPr>
      <w:r>
        <w:t xml:space="preserve">Database backups</w:t>
      </w:r>
    </w:p>
    <w:p>
      <w:pPr>
        <w:pStyle w:val="Compact"/>
        <w:numPr>
          <w:ilvl w:val="0"/>
          <w:numId w:val="1013"/>
        </w:numPr>
      </w:pPr>
      <w:r>
        <w:t xml:space="preserve">Employee documents</w:t>
      </w:r>
    </w:p>
    <w:p>
      <w:pPr>
        <w:pStyle w:val="Compact"/>
        <w:numPr>
          <w:ilvl w:val="0"/>
          <w:numId w:val="1013"/>
        </w:numPr>
      </w:pPr>
      <w:r>
        <w:t xml:space="preserve">Payroll records</w:t>
      </w:r>
    </w:p>
    <w:p>
      <w:r>
        <w:pict>
          <v:rect style="width:0;height:1.5pt" o:hralign="center" o:hrstd="t" o:hr="t"/>
        </w:pict>
      </w:r>
    </w:p>
    <w:bookmarkEnd w:id="51"/>
    <w:bookmarkStart w:id="52" w:name="nfr-sec-005"/>
    <w:p>
      <w:pPr>
        <w:pStyle w:val="Heading2"/>
      </w:pPr>
      <w:r>
        <w:t xml:space="preserve">NFR-SEC-005</w:t>
      </w:r>
    </w:p>
    <w:p>
      <w:pPr>
        <w:pStyle w:val="FirstParagraph"/>
      </w:pPr>
      <w:r>
        <w:t xml:space="preserve">Secrets Management</w:t>
      </w:r>
    </w:p>
    <w:p>
      <w:pPr>
        <w:pStyle w:val="BodyText"/>
      </w:pPr>
      <w:r>
        <w:t xml:space="preserve">Secrets must never be stored:</w:t>
      </w:r>
    </w:p>
    <w:p>
      <w:pPr>
        <w:pStyle w:val="Compact"/>
        <w:numPr>
          <w:ilvl w:val="0"/>
          <w:numId w:val="1014"/>
        </w:numPr>
      </w:pPr>
      <w:r>
        <w:t xml:space="preserve">Source code</w:t>
      </w:r>
    </w:p>
    <w:p>
      <w:pPr>
        <w:pStyle w:val="Compact"/>
        <w:numPr>
          <w:ilvl w:val="0"/>
          <w:numId w:val="1014"/>
        </w:numPr>
      </w:pPr>
      <w:r>
        <w:t xml:space="preserve">Repositories</w:t>
      </w:r>
    </w:p>
    <w:p>
      <w:pPr>
        <w:pStyle w:val="Compact"/>
        <w:numPr>
          <w:ilvl w:val="0"/>
          <w:numId w:val="1014"/>
        </w:numPr>
      </w:pPr>
      <w:r>
        <w:t xml:space="preserve">Client-side code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5"/>
        </w:numPr>
      </w:pPr>
      <w:r>
        <w:t xml:space="preserve">AWS Secrets Manager</w:t>
      </w:r>
    </w:p>
    <w:p>
      <w:pPr>
        <w:pStyle w:val="Compact"/>
        <w:numPr>
          <w:ilvl w:val="0"/>
          <w:numId w:val="1015"/>
        </w:numPr>
      </w:pPr>
      <w:r>
        <w:t xml:space="preserve">Vault</w:t>
      </w:r>
    </w:p>
    <w:p>
      <w:r>
        <w:pict>
          <v:rect style="width:0;height:1.5pt" o:hralign="center" o:hrstd="t" o:hr="t"/>
        </w:pict>
      </w:r>
    </w:p>
    <w:bookmarkEnd w:id="52"/>
    <w:bookmarkStart w:id="53" w:name="nfr-sec-006"/>
    <w:p>
      <w:pPr>
        <w:pStyle w:val="Heading2"/>
      </w:pPr>
      <w:r>
        <w:t xml:space="preserve">NFR-SEC-006</w:t>
      </w:r>
    </w:p>
    <w:p>
      <w:pPr>
        <w:pStyle w:val="FirstParagraph"/>
      </w:pPr>
      <w:r>
        <w:t xml:space="preserve">RBAC Enforcement</w:t>
      </w:r>
    </w:p>
    <w:p>
      <w:pPr>
        <w:pStyle w:val="BodyText"/>
      </w:pPr>
      <w:r>
        <w:t xml:space="preserve">Every API endpoint must enforce authorization.</w:t>
      </w:r>
    </w:p>
    <w:p>
      <w:pPr>
        <w:pStyle w:val="BodyText"/>
      </w:pPr>
      <w:r>
        <w:t xml:space="preserve">Default Policy:</w:t>
      </w:r>
    </w:p>
    <w:p>
      <w:pPr>
        <w:pStyle w:val="BodyText"/>
      </w:pPr>
      <w:r>
        <w:t xml:space="preserve">Deny Access</w:t>
      </w:r>
    </w:p>
    <w:p>
      <w:r>
        <w:pict>
          <v:rect style="width:0;height:1.5pt" o:hralign="center" o:hrstd="t" o:hr="t"/>
        </w:pict>
      </w:r>
    </w:p>
    <w:bookmarkEnd w:id="53"/>
    <w:bookmarkStart w:id="54" w:name="nfr-sec-007"/>
    <w:p>
      <w:pPr>
        <w:pStyle w:val="Heading2"/>
      </w:pPr>
      <w:r>
        <w:t xml:space="preserve">NFR-SEC-007</w:t>
      </w:r>
    </w:p>
    <w:p>
      <w:pPr>
        <w:pStyle w:val="FirstParagraph"/>
      </w:pPr>
      <w:r>
        <w:t xml:space="preserve">Audit Logging</w:t>
      </w:r>
    </w:p>
    <w:p>
      <w:pPr>
        <w:pStyle w:val="BodyText"/>
      </w:pPr>
      <w:r>
        <w:t xml:space="preserve">All critical actions must be logged.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Payroll changes</w:t>
      </w:r>
    </w:p>
    <w:p>
      <w:pPr>
        <w:pStyle w:val="Compact"/>
        <w:numPr>
          <w:ilvl w:val="0"/>
          <w:numId w:val="1016"/>
        </w:numPr>
      </w:pPr>
      <w:r>
        <w:t xml:space="preserve">Role changes</w:t>
      </w:r>
    </w:p>
    <w:p>
      <w:pPr>
        <w:pStyle w:val="Compact"/>
        <w:numPr>
          <w:ilvl w:val="0"/>
          <w:numId w:val="1016"/>
        </w:numPr>
      </w:pPr>
      <w:r>
        <w:t xml:space="preserve">Leave approvals</w:t>
      </w:r>
    </w:p>
    <w:p>
      <w:r>
        <w:pict>
          <v:rect style="width:0;height:1.5pt" o:hralign="center" o:hrstd="t" o:hr="t"/>
        </w:pict>
      </w:r>
    </w:p>
    <w:bookmarkEnd w:id="54"/>
    <w:bookmarkStart w:id="55" w:name="nfr-sec-008"/>
    <w:p>
      <w:pPr>
        <w:pStyle w:val="Heading2"/>
      </w:pPr>
      <w:r>
        <w:t xml:space="preserve">NFR-SEC-008</w:t>
      </w:r>
    </w:p>
    <w:p>
      <w:pPr>
        <w:pStyle w:val="FirstParagraph"/>
      </w:pPr>
      <w:r>
        <w:t xml:space="preserve">Session Management</w:t>
      </w:r>
    </w:p>
    <w:p>
      <w:pPr>
        <w:pStyle w:val="BodyText"/>
      </w:pPr>
      <w:r>
        <w:t xml:space="preserve">Session Timeout:</w:t>
      </w:r>
    </w:p>
    <w:p>
      <w:pPr>
        <w:pStyle w:val="BodyText"/>
      </w:pPr>
      <w:r>
        <w:t xml:space="preserve">30 minutes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55"/>
    <w:bookmarkStart w:id="56" w:name="nfr-sec-009"/>
    <w:p>
      <w:pPr>
        <w:pStyle w:val="Heading2"/>
      </w:pPr>
      <w:r>
        <w:t xml:space="preserve">NFR-SEC-009</w:t>
      </w:r>
    </w:p>
    <w:p>
      <w:pPr>
        <w:pStyle w:val="FirstParagraph"/>
      </w:pPr>
      <w:r>
        <w:t xml:space="preserve">Rate Limiting</w:t>
      </w:r>
    </w:p>
    <w:p>
      <w:pPr>
        <w:pStyle w:val="BodyText"/>
      </w:pPr>
      <w:r>
        <w:t xml:space="preserve">Authentication APIs:</w:t>
      </w:r>
    </w:p>
    <w:p>
      <w:pPr>
        <w:pStyle w:val="BodyText"/>
      </w:pPr>
      <w:r>
        <w:t xml:space="preserve">10 requests per minute</w:t>
      </w:r>
    </w:p>
    <w:p>
      <w:pPr>
        <w:pStyle w:val="BodyText"/>
      </w:pPr>
      <w:r>
        <w:t xml:space="preserve">Public APIs:</w:t>
      </w:r>
    </w:p>
    <w:p>
      <w:pPr>
        <w:pStyle w:val="BodyText"/>
      </w:pPr>
      <w:r>
        <w:t xml:space="preserve">100 requests per minute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nfr-006"/>
    <w:p>
      <w:pPr>
        <w:pStyle w:val="Heading1"/>
      </w:pPr>
      <w:r>
        <w:t xml:space="preserve">NFR-006</w:t>
      </w:r>
    </w:p>
    <w:bookmarkEnd w:id="58"/>
    <w:bookmarkStart w:id="61" w:name="compliance-requirements"/>
    <w:p>
      <w:pPr>
        <w:pStyle w:val="Heading1"/>
      </w:pPr>
      <w:r>
        <w:t xml:space="preserve">Compliance Requirements</w:t>
      </w:r>
    </w:p>
    <w:p>
      <w:r>
        <w:pict>
          <v:rect style="width:0;height:1.5pt" o:hralign="center" o:hrstd="t" o:hr="t"/>
        </w:pict>
      </w:r>
    </w:p>
    <w:bookmarkStart w:id="59" w:name="supported-standards"/>
    <w:p>
      <w:pPr>
        <w:pStyle w:val="Heading2"/>
      </w:pPr>
      <w:r>
        <w:t xml:space="preserve">Supported Standards</w:t>
      </w:r>
    </w:p>
    <w:p>
      <w:pPr>
        <w:pStyle w:val="Compact"/>
        <w:numPr>
          <w:ilvl w:val="0"/>
          <w:numId w:val="1017"/>
        </w:numPr>
      </w:pPr>
      <w:r>
        <w:t xml:space="preserve">GDPR</w:t>
      </w:r>
    </w:p>
    <w:p>
      <w:pPr>
        <w:pStyle w:val="Compact"/>
        <w:numPr>
          <w:ilvl w:val="0"/>
          <w:numId w:val="1017"/>
        </w:numPr>
      </w:pPr>
      <w:r>
        <w:t xml:space="preserve">SOC 2</w:t>
      </w:r>
    </w:p>
    <w:p>
      <w:pPr>
        <w:pStyle w:val="Compact"/>
        <w:numPr>
          <w:ilvl w:val="0"/>
          <w:numId w:val="1017"/>
        </w:numPr>
      </w:pPr>
      <w:r>
        <w:t xml:space="preserve">ISO 27001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8"/>
        </w:numPr>
      </w:pPr>
      <w:r>
        <w:t xml:space="preserve">HIPAA</w:t>
      </w:r>
    </w:p>
    <w:p>
      <w:pPr>
        <w:pStyle w:val="Compact"/>
        <w:numPr>
          <w:ilvl w:val="0"/>
          <w:numId w:val="1018"/>
        </w:numPr>
      </w:pPr>
      <w:r>
        <w:t xml:space="preserve">PCI DSS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59"/>
    <w:bookmarkStart w:id="60" w:name="data-retention"/>
    <w:p>
      <w:pPr>
        <w:pStyle w:val="Heading2"/>
      </w:pPr>
      <w:r>
        <w:t xml:space="preserve">Data Retention</w:t>
      </w:r>
    </w:p>
    <w:p>
      <w:pPr>
        <w:pStyle w:val="FirstParagraph"/>
      </w:pPr>
      <w:r>
        <w:t xml:space="preserve">Employee records:</w:t>
      </w:r>
    </w:p>
    <w:p>
      <w:pPr>
        <w:pStyle w:val="BodyText"/>
      </w:pPr>
      <w:r>
        <w:t xml:space="preserve">7 years minimum</w:t>
      </w:r>
    </w:p>
    <w:p>
      <w:pPr>
        <w:pStyle w:val="BodyText"/>
      </w:pPr>
      <w:r>
        <w:t xml:space="preserve">Audit logs:</w:t>
      </w:r>
    </w:p>
    <w:p>
      <w:pPr>
        <w:pStyle w:val="BodyText"/>
      </w:pPr>
      <w:r>
        <w:t xml:space="preserve">7 years minimum</w:t>
      </w:r>
    </w:p>
    <w:p>
      <w:pPr>
        <w:pStyle w:val="BodyText"/>
      </w:pPr>
      <w:r>
        <w:t xml:space="preserve">Payroll records:</w:t>
      </w:r>
    </w:p>
    <w:p>
      <w:pPr>
        <w:pStyle w:val="BodyText"/>
      </w:pPr>
      <w:r>
        <w:t xml:space="preserve">10 years minimum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nfr-007"/>
    <w:p>
      <w:pPr>
        <w:pStyle w:val="Heading1"/>
      </w:pPr>
      <w:r>
        <w:t xml:space="preserve">NFR-007</w:t>
      </w:r>
    </w:p>
    <w:bookmarkEnd w:id="62"/>
    <w:bookmarkStart w:id="67" w:name="maintainability-requirements"/>
    <w:p>
      <w:pPr>
        <w:pStyle w:val="Heading1"/>
      </w:pPr>
      <w:r>
        <w:t xml:space="preserve">Maintainability Requirements</w:t>
      </w:r>
    </w:p>
    <w:p>
      <w:r>
        <w:pict>
          <v:rect style="width:0;height:1.5pt" o:hralign="center" o:hrstd="t" o:hr="t"/>
        </w:pict>
      </w:r>
    </w:p>
    <w:bookmarkStart w:id="63" w:name="nfr-main-001"/>
    <w:p>
      <w:pPr>
        <w:pStyle w:val="Heading2"/>
      </w:pPr>
      <w:r>
        <w:t xml:space="preserve">NFR-MAIN-001</w:t>
      </w:r>
    </w:p>
    <w:p>
      <w:pPr>
        <w:pStyle w:val="FirstParagraph"/>
      </w:pPr>
      <w:r>
        <w:t xml:space="preserve">Architecture</w:t>
      </w:r>
    </w:p>
    <w:p>
      <w:pPr>
        <w:pStyle w:val="BodyText"/>
      </w:pPr>
      <w:r>
        <w:t xml:space="preserve">System shall follow:</w:t>
      </w:r>
    </w:p>
    <w:p>
      <w:pPr>
        <w:pStyle w:val="Compact"/>
        <w:numPr>
          <w:ilvl w:val="0"/>
          <w:numId w:val="1019"/>
        </w:numPr>
      </w:pPr>
      <w:r>
        <w:t xml:space="preserve">Modular Monolith Architecture</w:t>
      </w:r>
    </w:p>
    <w:p>
      <w:pPr>
        <w:pStyle w:val="FirstParagraph"/>
      </w:pPr>
      <w:r>
        <w:t xml:space="preserve">Future migration path:</w:t>
      </w:r>
    </w:p>
    <w:p>
      <w:pPr>
        <w:pStyle w:val="BodyText"/>
      </w:pPr>
      <w:r>
        <w:t xml:space="preserve">Microservices</w:t>
      </w:r>
    </w:p>
    <w:p>
      <w:r>
        <w:pict>
          <v:rect style="width:0;height:1.5pt" o:hralign="center" o:hrstd="t" o:hr="t"/>
        </w:pict>
      </w:r>
    </w:p>
    <w:bookmarkEnd w:id="63"/>
    <w:bookmarkStart w:id="64" w:name="nfr-main-002"/>
    <w:p>
      <w:pPr>
        <w:pStyle w:val="Heading2"/>
      </w:pPr>
      <w:r>
        <w:t xml:space="preserve">NFR-MAIN-002</w:t>
      </w:r>
    </w:p>
    <w:p>
      <w:pPr>
        <w:pStyle w:val="FirstParagraph"/>
      </w:pPr>
      <w:r>
        <w:t xml:space="preserve">Code Quality</w:t>
      </w:r>
    </w:p>
    <w:p>
      <w:pPr>
        <w:pStyle w:val="BodyText"/>
      </w:pPr>
      <w:r>
        <w:t xml:space="preserve">Standards:</w:t>
      </w:r>
    </w:p>
    <w:p>
      <w:pPr>
        <w:pStyle w:val="Compact"/>
        <w:numPr>
          <w:ilvl w:val="0"/>
          <w:numId w:val="1020"/>
        </w:numPr>
      </w:pPr>
      <w:r>
        <w:t xml:space="preserve">SOLID</w:t>
      </w:r>
    </w:p>
    <w:p>
      <w:pPr>
        <w:pStyle w:val="Compact"/>
        <w:numPr>
          <w:ilvl w:val="0"/>
          <w:numId w:val="1020"/>
        </w:numPr>
      </w:pPr>
      <w:r>
        <w:t xml:space="preserve">DRY</w:t>
      </w:r>
    </w:p>
    <w:p>
      <w:pPr>
        <w:pStyle w:val="Compact"/>
        <w:numPr>
          <w:ilvl w:val="0"/>
          <w:numId w:val="1020"/>
        </w:numPr>
      </w:pPr>
      <w:r>
        <w:t xml:space="preserve">KISS</w:t>
      </w:r>
    </w:p>
    <w:p>
      <w:r>
        <w:pict>
          <v:rect style="width:0;height:1.5pt" o:hralign="center" o:hrstd="t" o:hr="t"/>
        </w:pict>
      </w:r>
    </w:p>
    <w:bookmarkEnd w:id="64"/>
    <w:bookmarkStart w:id="65" w:name="nfr-main-003"/>
    <w:p>
      <w:pPr>
        <w:pStyle w:val="Heading2"/>
      </w:pPr>
      <w:r>
        <w:t xml:space="preserve">NFR-MAIN-003</w:t>
      </w:r>
    </w:p>
    <w:p>
      <w:pPr>
        <w:pStyle w:val="FirstParagraph"/>
      </w:pPr>
      <w:r>
        <w:t xml:space="preserve">Documentation</w:t>
      </w:r>
    </w:p>
    <w:p>
      <w:pPr>
        <w:pStyle w:val="BodyText"/>
      </w:pPr>
      <w:r>
        <w:t xml:space="preserve">Every service shall contain:</w:t>
      </w:r>
    </w:p>
    <w:p>
      <w:pPr>
        <w:pStyle w:val="Compact"/>
        <w:numPr>
          <w:ilvl w:val="0"/>
          <w:numId w:val="1021"/>
        </w:numPr>
      </w:pPr>
      <w:r>
        <w:t xml:space="preserve">Technical documentation</w:t>
      </w:r>
    </w:p>
    <w:p>
      <w:pPr>
        <w:pStyle w:val="Compact"/>
        <w:numPr>
          <w:ilvl w:val="0"/>
          <w:numId w:val="1021"/>
        </w:numPr>
      </w:pPr>
      <w:r>
        <w:t xml:space="preserve">API documentation</w:t>
      </w:r>
    </w:p>
    <w:p>
      <w:pPr>
        <w:pStyle w:val="Compact"/>
        <w:numPr>
          <w:ilvl w:val="0"/>
          <w:numId w:val="1021"/>
        </w:numPr>
      </w:pPr>
      <w:r>
        <w:t xml:space="preserve">Change history</w:t>
      </w:r>
    </w:p>
    <w:p>
      <w:r>
        <w:pict>
          <v:rect style="width:0;height:1.5pt" o:hralign="center" o:hrstd="t" o:hr="t"/>
        </w:pict>
      </w:r>
    </w:p>
    <w:bookmarkEnd w:id="65"/>
    <w:bookmarkStart w:id="66" w:name="nfr-main-004"/>
    <w:p>
      <w:pPr>
        <w:pStyle w:val="Heading2"/>
      </w:pPr>
      <w:r>
        <w:t xml:space="preserve">NFR-MAIN-004</w:t>
      </w:r>
    </w:p>
    <w:p>
      <w:pPr>
        <w:pStyle w:val="FirstParagraph"/>
      </w:pPr>
      <w:r>
        <w:t xml:space="preserve">Test Coverage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80% minimum</w:t>
      </w:r>
    </w:p>
    <w:p>
      <w:pPr>
        <w:pStyle w:val="BodyText"/>
      </w:pPr>
      <w:r>
        <w:t xml:space="preserve">Preferred:</w:t>
      </w:r>
    </w:p>
    <w:p>
      <w:pPr>
        <w:pStyle w:val="BodyText"/>
      </w:pPr>
      <w:r>
        <w:t xml:space="preserve">90%+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fr-008"/>
    <w:p>
      <w:pPr>
        <w:pStyle w:val="Heading1"/>
      </w:pPr>
      <w:r>
        <w:t xml:space="preserve">NFR-008</w:t>
      </w:r>
    </w:p>
    <w:bookmarkEnd w:id="68"/>
    <w:bookmarkStart w:id="73" w:name="observability-requirements"/>
    <w:p>
      <w:pPr>
        <w:pStyle w:val="Heading1"/>
      </w:pPr>
      <w:r>
        <w:t xml:space="preserve">Observability Requirements</w:t>
      </w:r>
    </w:p>
    <w:p>
      <w:r>
        <w:pict>
          <v:rect style="width:0;height:1.5pt" o:hralign="center" o:hrstd="t" o:hr="t"/>
        </w:pict>
      </w:r>
    </w:p>
    <w:bookmarkStart w:id="69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Structured JSON logs.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2"/>
        </w:numPr>
      </w:pPr>
      <w:r>
        <w:t xml:space="preserve">Timestamp</w:t>
      </w:r>
    </w:p>
    <w:p>
      <w:pPr>
        <w:pStyle w:val="Compact"/>
        <w:numPr>
          <w:ilvl w:val="0"/>
          <w:numId w:val="1022"/>
        </w:numPr>
      </w:pPr>
      <w:r>
        <w:t xml:space="preserve">User</w:t>
      </w:r>
    </w:p>
    <w:p>
      <w:pPr>
        <w:pStyle w:val="Compact"/>
        <w:numPr>
          <w:ilvl w:val="0"/>
          <w:numId w:val="1022"/>
        </w:numPr>
      </w:pPr>
      <w:r>
        <w:t xml:space="preserve">Action</w:t>
      </w:r>
    </w:p>
    <w:p>
      <w:pPr>
        <w:pStyle w:val="Compact"/>
        <w:numPr>
          <w:ilvl w:val="0"/>
          <w:numId w:val="1022"/>
        </w:numPr>
      </w:pPr>
      <w:r>
        <w:t xml:space="preserve">Correlation ID</w:t>
      </w:r>
    </w:p>
    <w:p>
      <w:r>
        <w:pict>
          <v:rect style="width:0;height:1.5pt" o:hralign="center" o:hrstd="t" o:hr="t"/>
        </w:pict>
      </w:r>
    </w:p>
    <w:bookmarkEnd w:id="69"/>
    <w:bookmarkStart w:id="70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23"/>
        </w:numPr>
      </w:pPr>
      <w:r>
        <w:t xml:space="preserve">CPU</w:t>
      </w:r>
    </w:p>
    <w:p>
      <w:pPr>
        <w:pStyle w:val="Compact"/>
        <w:numPr>
          <w:ilvl w:val="0"/>
          <w:numId w:val="1023"/>
        </w:numPr>
      </w:pPr>
      <w:r>
        <w:t xml:space="preserve">Memory</w:t>
      </w:r>
    </w:p>
    <w:p>
      <w:pPr>
        <w:pStyle w:val="Compact"/>
        <w:numPr>
          <w:ilvl w:val="0"/>
          <w:numId w:val="1023"/>
        </w:numPr>
      </w:pPr>
      <w:r>
        <w:t xml:space="preserve">Queue Length</w:t>
      </w:r>
    </w:p>
    <w:p>
      <w:pPr>
        <w:pStyle w:val="Compact"/>
        <w:numPr>
          <w:ilvl w:val="0"/>
          <w:numId w:val="1023"/>
        </w:numPr>
      </w:pPr>
      <w:r>
        <w:t xml:space="preserve">Response Times</w:t>
      </w:r>
    </w:p>
    <w:p>
      <w:r>
        <w:pict>
          <v:rect style="width:0;height:1.5pt" o:hralign="center" o:hrstd="t" o:hr="t"/>
        </w:pict>
      </w:r>
    </w:p>
    <w:bookmarkEnd w:id="70"/>
    <w:bookmarkStart w:id="71" w:name="alerting"/>
    <w:p>
      <w:pPr>
        <w:pStyle w:val="Heading2"/>
      </w:pPr>
      <w:r>
        <w:t xml:space="preserve">Alerting</w:t>
      </w:r>
    </w:p>
    <w:p>
      <w:pPr>
        <w:pStyle w:val="FirstParagraph"/>
      </w:pPr>
      <w:r>
        <w:t xml:space="preserve">Alerts required for:</w:t>
      </w:r>
    </w:p>
    <w:p>
      <w:pPr>
        <w:pStyle w:val="Compact"/>
        <w:numPr>
          <w:ilvl w:val="0"/>
          <w:numId w:val="1024"/>
        </w:numPr>
      </w:pPr>
      <w:r>
        <w:t xml:space="preserve">Failed payroll jobs</w:t>
      </w:r>
    </w:p>
    <w:p>
      <w:pPr>
        <w:pStyle w:val="Compact"/>
        <w:numPr>
          <w:ilvl w:val="0"/>
          <w:numId w:val="1024"/>
        </w:numPr>
      </w:pPr>
      <w:r>
        <w:t xml:space="preserve">High error rates</w:t>
      </w:r>
    </w:p>
    <w:p>
      <w:pPr>
        <w:pStyle w:val="Compact"/>
        <w:numPr>
          <w:ilvl w:val="0"/>
          <w:numId w:val="1024"/>
        </w:numPr>
      </w:pPr>
      <w:r>
        <w:t xml:space="preserve">Database failures</w:t>
      </w:r>
    </w:p>
    <w:p>
      <w:r>
        <w:pict>
          <v:rect style="width:0;height:1.5pt" o:hralign="center" o:hrstd="t" o:hr="t"/>
        </w:pict>
      </w:r>
    </w:p>
    <w:bookmarkEnd w:id="71"/>
    <w:bookmarkStart w:id="72" w:name="tracing"/>
    <w:p>
      <w:pPr>
        <w:pStyle w:val="Heading2"/>
      </w:pPr>
      <w:r>
        <w:t xml:space="preserve">Tracing</w:t>
      </w:r>
    </w:p>
    <w:p>
      <w:pPr>
        <w:pStyle w:val="FirstParagraph"/>
      </w:pPr>
      <w:r>
        <w:t xml:space="preserve">Distributed tracing supported.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OpenTelemetry</w:t>
      </w:r>
    </w:p>
    <w:p>
      <w:pPr>
        <w:pStyle w:val="Compact"/>
        <w:numPr>
          <w:ilvl w:val="0"/>
          <w:numId w:val="1025"/>
        </w:numPr>
      </w:pPr>
      <w:r>
        <w:t xml:space="preserve">Jaeger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nfr-009"/>
    <w:p>
      <w:pPr>
        <w:pStyle w:val="Heading1"/>
      </w:pPr>
      <w:r>
        <w:t xml:space="preserve">NFR-009</w:t>
      </w:r>
    </w:p>
    <w:bookmarkEnd w:id="74"/>
    <w:bookmarkStart w:id="78" w:name="disaster-recovery"/>
    <w:p>
      <w:pPr>
        <w:pStyle w:val="Heading1"/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Start w:id="75" w:name="recovery-time-objective-rto"/>
    <w:p>
      <w:pPr>
        <w:pStyle w:val="Heading2"/>
      </w:pPr>
      <w:r>
        <w:t xml:space="preserve">Recovery Time Objective (RTO)</w:t>
      </w:r>
    </w:p>
    <w:p>
      <w:pPr>
        <w:pStyle w:val="FirstParagraph"/>
      </w:pPr>
      <w:r>
        <w:t xml:space="preserve">Maximum:</w:t>
      </w:r>
    </w:p>
    <w:p>
      <w:pPr>
        <w:pStyle w:val="BodyText"/>
      </w:pPr>
      <w:r>
        <w:t xml:space="preserve">4 Hours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1 Hour</w:t>
      </w:r>
    </w:p>
    <w:p>
      <w:r>
        <w:pict>
          <v:rect style="width:0;height:1.5pt" o:hralign="center" o:hrstd="t" o:hr="t"/>
        </w:pict>
      </w:r>
    </w:p>
    <w:bookmarkEnd w:id="75"/>
    <w:bookmarkStart w:id="76" w:name="recovery-point-objective-rpo"/>
    <w:p>
      <w:pPr>
        <w:pStyle w:val="Heading2"/>
      </w:pPr>
      <w:r>
        <w:t xml:space="preserve">Recovery Point Objective (RPO)</w:t>
      </w:r>
    </w:p>
    <w:p>
      <w:pPr>
        <w:pStyle w:val="FirstParagraph"/>
      </w:pPr>
      <w:r>
        <w:t xml:space="preserve">Maximum: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5 Minutes</w:t>
      </w:r>
    </w:p>
    <w:p>
      <w:r>
        <w:pict>
          <v:rect style="width:0;height:1.5pt" o:hralign="center" o:hrstd="t" o:hr="t"/>
        </w:pict>
      </w:r>
    </w:p>
    <w:bookmarkEnd w:id="76"/>
    <w:bookmarkStart w:id="77" w:name="disaster-types"/>
    <w:p>
      <w:pPr>
        <w:pStyle w:val="Heading2"/>
      </w:pPr>
      <w:r>
        <w:t xml:space="preserve">Disaster Types</w:t>
      </w:r>
    </w:p>
    <w:p>
      <w:pPr>
        <w:pStyle w:val="Compact"/>
        <w:numPr>
          <w:ilvl w:val="0"/>
          <w:numId w:val="1026"/>
        </w:numPr>
      </w:pPr>
      <w:r>
        <w:t xml:space="preserve">Infrastructure failure</w:t>
      </w:r>
    </w:p>
    <w:p>
      <w:pPr>
        <w:pStyle w:val="Compact"/>
        <w:numPr>
          <w:ilvl w:val="0"/>
          <w:numId w:val="1026"/>
        </w:numPr>
      </w:pPr>
      <w:r>
        <w:t xml:space="preserve">Database corruption</w:t>
      </w:r>
    </w:p>
    <w:p>
      <w:pPr>
        <w:pStyle w:val="Compact"/>
        <w:numPr>
          <w:ilvl w:val="0"/>
          <w:numId w:val="1026"/>
        </w:numPr>
      </w:pPr>
      <w:r>
        <w:t xml:space="preserve">Security incidents</w:t>
      </w:r>
    </w:p>
    <w:p>
      <w:pPr>
        <w:pStyle w:val="Compact"/>
        <w:numPr>
          <w:ilvl w:val="0"/>
          <w:numId w:val="1026"/>
        </w:numPr>
      </w:pPr>
      <w:r>
        <w:t xml:space="preserve">Cloud outage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nfr-010"/>
    <w:p>
      <w:pPr>
        <w:pStyle w:val="Heading1"/>
      </w:pPr>
      <w:r>
        <w:t xml:space="preserve">NFR-010</w:t>
      </w:r>
    </w:p>
    <w:bookmarkEnd w:id="79"/>
    <w:bookmarkStart w:id="84" w:name="backup-strategy"/>
    <w:p>
      <w:pPr>
        <w:pStyle w:val="Heading1"/>
      </w:pPr>
      <w:r>
        <w:t xml:space="preserve">Backup Strategy</w:t>
      </w:r>
    </w:p>
    <w:p>
      <w:r>
        <w:pict>
          <v:rect style="width:0;height:1.5pt" o:hralign="center" o:hrstd="t" o:hr="t"/>
        </w:pict>
      </w:r>
    </w:p>
    <w:bookmarkStart w:id="80" w:name="database-backups"/>
    <w:p>
      <w:pPr>
        <w:pStyle w:val="Heading2"/>
      </w:pPr>
      <w:r>
        <w:t xml:space="preserve">Database Backups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Daily Full Backup</w:t>
      </w:r>
    </w:p>
    <w:p>
      <w:pPr>
        <w:pStyle w:val="BodyText"/>
      </w:pPr>
      <w:r>
        <w:t xml:space="preserve">Hourly Incremental Backup</w:t>
      </w:r>
    </w:p>
    <w:p>
      <w:r>
        <w:pict>
          <v:rect style="width:0;height:1.5pt" o:hralign="center" o:hrstd="t" o:hr="t"/>
        </w:pict>
      </w:r>
    </w:p>
    <w:bookmarkEnd w:id="80"/>
    <w:bookmarkStart w:id="81" w:name="document-backups"/>
    <w:p>
      <w:pPr>
        <w:pStyle w:val="Heading2"/>
      </w:pPr>
      <w:r>
        <w:t xml:space="preserve">Document Backups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Daily</w:t>
      </w:r>
    </w:p>
    <w:p>
      <w:pPr>
        <w:pStyle w:val="BodyText"/>
      </w:pPr>
      <w:r>
        <w:t xml:space="preserve">Retention:</w:t>
      </w:r>
    </w:p>
    <w:p>
      <w:pPr>
        <w:pStyle w:val="BodyText"/>
      </w:pPr>
      <w:r>
        <w:t xml:space="preserve">90 Days</w:t>
      </w:r>
    </w:p>
    <w:p>
      <w:r>
        <w:pict>
          <v:rect style="width:0;height:1.5pt" o:hralign="center" o:hrstd="t" o:hr="t"/>
        </w:pict>
      </w:r>
    </w:p>
    <w:bookmarkEnd w:id="81"/>
    <w:bookmarkStart w:id="82" w:name="backup-encryption"/>
    <w:p>
      <w:pPr>
        <w:pStyle w:val="Heading2"/>
      </w:pPr>
      <w:r>
        <w:t xml:space="preserve">Backup Encryption</w:t>
      </w:r>
    </w:p>
    <w:p>
      <w:pPr>
        <w:pStyle w:val="FirstParagraph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82"/>
    <w:bookmarkStart w:id="83" w:name="backup-verification"/>
    <w:p>
      <w:pPr>
        <w:pStyle w:val="Heading2"/>
      </w:pPr>
      <w:r>
        <w:t xml:space="preserve">Backup Verification</w:t>
      </w:r>
    </w:p>
    <w:p>
      <w:pPr>
        <w:pStyle w:val="FirstParagraph"/>
      </w:pPr>
      <w:r>
        <w:t xml:space="preserve">Monthly restore testing required.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nfr-011"/>
    <w:p>
      <w:pPr>
        <w:pStyle w:val="Heading1"/>
      </w:pPr>
      <w:r>
        <w:t xml:space="preserve">NFR-011</w:t>
      </w:r>
    </w:p>
    <w:bookmarkEnd w:id="85"/>
    <w:bookmarkStart w:id="90" w:name="accessibility-requirements"/>
    <w:p>
      <w:pPr>
        <w:pStyle w:val="Heading1"/>
      </w:pPr>
      <w:r>
        <w:t xml:space="preserve">Accessibility Requirements</w:t>
      </w:r>
    </w:p>
    <w:p>
      <w:r>
        <w:pict>
          <v:rect style="width:0;height:1.5pt" o:hralign="center" o:hrstd="t" o:hr="t"/>
        </w:pict>
      </w:r>
    </w:p>
    <w:bookmarkStart w:id="86" w:name="accessibility-standard"/>
    <w:p>
      <w:pPr>
        <w:pStyle w:val="Heading2"/>
      </w:pPr>
      <w:r>
        <w:t xml:space="preserve">Accessibility Standard</w:t>
      </w:r>
    </w:p>
    <w:p>
      <w:pPr>
        <w:pStyle w:val="FirstParagraph"/>
      </w:pPr>
      <w:r>
        <w:t xml:space="preserve">WCAG 2.1 AA</w:t>
      </w:r>
    </w:p>
    <w:p>
      <w:r>
        <w:pict>
          <v:rect style="width:0;height:1.5pt" o:hralign="center" o:hrstd="t" o:hr="t"/>
        </w:pict>
      </w:r>
    </w:p>
    <w:bookmarkEnd w:id="86"/>
    <w:bookmarkStart w:id="87" w:name="keyboard-navigation"/>
    <w:p>
      <w:pPr>
        <w:pStyle w:val="Heading2"/>
      </w:pPr>
      <w:r>
        <w:t xml:space="preserve">Keyboard Navigation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87"/>
    <w:bookmarkStart w:id="88" w:name="screen-reader-support"/>
    <w:p>
      <w:pPr>
        <w:pStyle w:val="Heading2"/>
      </w:pPr>
      <w:r>
        <w:t xml:space="preserve">Screen Reader Support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88"/>
    <w:bookmarkStart w:id="89" w:name="color-contrast-compliance"/>
    <w:p>
      <w:pPr>
        <w:pStyle w:val="Heading2"/>
      </w:pPr>
      <w:r>
        <w:t xml:space="preserve">Color Contrast Compliance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nfr-012"/>
    <w:p>
      <w:pPr>
        <w:pStyle w:val="Heading1"/>
      </w:pPr>
      <w:r>
        <w:t xml:space="preserve">NFR-012</w:t>
      </w:r>
    </w:p>
    <w:bookmarkEnd w:id="91"/>
    <w:bookmarkStart w:id="94" w:name="internationalization"/>
    <w:p>
      <w:pPr>
        <w:pStyle w:val="Heading1"/>
      </w:pPr>
      <w:r>
        <w:t xml:space="preserve">Internationalization</w:t>
      </w:r>
    </w:p>
    <w:p>
      <w:r>
        <w:pict>
          <v:rect style="width:0;height:1.5pt" o:hralign="center" o:hrstd="t" o:hr="t"/>
        </w:pict>
      </w:r>
    </w:p>
    <w:bookmarkStart w:id="92" w:name="supported-languages"/>
    <w:p>
      <w:pPr>
        <w:pStyle w:val="Heading2"/>
      </w:pPr>
      <w:r>
        <w:t xml:space="preserve">Supported Languages</w:t>
      </w:r>
    </w:p>
    <w:p>
      <w:pPr>
        <w:pStyle w:val="FirstParagraph"/>
      </w:pPr>
      <w:r>
        <w:t xml:space="preserve">Version 1:</w:t>
      </w:r>
    </w:p>
    <w:p>
      <w:pPr>
        <w:pStyle w:val="Compact"/>
        <w:numPr>
          <w:ilvl w:val="0"/>
          <w:numId w:val="1027"/>
        </w:numPr>
      </w:pPr>
      <w:r>
        <w:t xml:space="preserve">English</w:t>
      </w:r>
    </w:p>
    <w:p>
      <w:pPr>
        <w:pStyle w:val="FirstParagraph"/>
      </w:pPr>
      <w:r>
        <w:t xml:space="preserve">Version 2:</w:t>
      </w:r>
    </w:p>
    <w:p>
      <w:pPr>
        <w:pStyle w:val="Compact"/>
        <w:numPr>
          <w:ilvl w:val="0"/>
          <w:numId w:val="1028"/>
        </w:numPr>
      </w:pPr>
      <w:r>
        <w:t xml:space="preserve">Hindi</w:t>
      </w:r>
    </w:p>
    <w:p>
      <w:pPr>
        <w:pStyle w:val="Compact"/>
        <w:numPr>
          <w:ilvl w:val="0"/>
          <w:numId w:val="1028"/>
        </w:numPr>
      </w:pPr>
      <w:r>
        <w:t xml:space="preserve">Spanish</w:t>
      </w:r>
    </w:p>
    <w:p>
      <w:pPr>
        <w:pStyle w:val="Compact"/>
        <w:numPr>
          <w:ilvl w:val="0"/>
          <w:numId w:val="1028"/>
        </w:numPr>
      </w:pPr>
      <w:r>
        <w:t xml:space="preserve">German</w:t>
      </w:r>
    </w:p>
    <w:p>
      <w:pPr>
        <w:pStyle w:val="Compact"/>
        <w:numPr>
          <w:ilvl w:val="0"/>
          <w:numId w:val="1028"/>
        </w:numPr>
      </w:pPr>
      <w:r>
        <w:t xml:space="preserve">Korean</w:t>
      </w:r>
    </w:p>
    <w:p>
      <w:r>
        <w:pict>
          <v:rect style="width:0;height:1.5pt" o:hralign="center" o:hrstd="t" o:hr="t"/>
        </w:pict>
      </w:r>
    </w:p>
    <w:bookmarkEnd w:id="92"/>
    <w:bookmarkStart w:id="93" w:name="localization"/>
    <w:p>
      <w:pPr>
        <w:pStyle w:val="Heading2"/>
      </w:pPr>
      <w:r>
        <w:t xml:space="preserve">Localization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9"/>
        </w:numPr>
      </w:pPr>
      <w:r>
        <w:t xml:space="preserve">Time Zones</w:t>
      </w:r>
    </w:p>
    <w:p>
      <w:pPr>
        <w:pStyle w:val="Compact"/>
        <w:numPr>
          <w:ilvl w:val="0"/>
          <w:numId w:val="1029"/>
        </w:numPr>
      </w:pPr>
      <w:r>
        <w:t xml:space="preserve">Currency Formats</w:t>
      </w:r>
    </w:p>
    <w:p>
      <w:pPr>
        <w:pStyle w:val="Compact"/>
        <w:numPr>
          <w:ilvl w:val="0"/>
          <w:numId w:val="1029"/>
        </w:numPr>
      </w:pPr>
      <w:r>
        <w:t xml:space="preserve">Date Formats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nfr-013"/>
    <w:p>
      <w:pPr>
        <w:pStyle w:val="Heading1"/>
      </w:pPr>
      <w:r>
        <w:t xml:space="preserve">NFR-013</w:t>
      </w:r>
    </w:p>
    <w:bookmarkEnd w:id="95"/>
    <w:bookmarkStart w:id="99" w:name="multi-tenancy"/>
    <w:p>
      <w:pPr>
        <w:pStyle w:val="Heading1"/>
      </w:pPr>
      <w:r>
        <w:t xml:space="preserve">Multi-Tenancy</w:t>
      </w:r>
    </w:p>
    <w:p>
      <w:r>
        <w:pict>
          <v:rect style="width:0;height:1.5pt" o:hralign="center" o:hrstd="t" o:hr="t"/>
        </w:pict>
      </w:r>
    </w:p>
    <w:bookmarkStart w:id="96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Tenant data must never be accessible by another tenant.</w:t>
      </w:r>
    </w:p>
    <w:p>
      <w:r>
        <w:pict>
          <v:rect style="width:0;height:1.5pt" o:hralign="center" o:hrstd="t" o:hr="t"/>
        </w:pict>
      </w:r>
    </w:p>
    <w:bookmarkEnd w:id="96"/>
    <w:bookmarkStart w:id="97" w:name="data-partitioning"/>
    <w:p>
      <w:pPr>
        <w:pStyle w:val="Heading2"/>
      </w:pPr>
      <w:r>
        <w:t xml:space="preserve">Data Partitioning</w:t>
      </w:r>
    </w:p>
    <w:p>
      <w:pPr>
        <w:pStyle w:val="FirstParagraph"/>
      </w:pPr>
      <w:r>
        <w:t xml:space="preserve">Every business entity must contain:</w:t>
      </w:r>
    </w:p>
    <w:p>
      <w:pPr>
        <w:pStyle w:val="BodyText"/>
      </w:pPr>
      <w:r>
        <w:t xml:space="preserve">company_id</w:t>
      </w:r>
    </w:p>
    <w:p>
      <w:r>
        <w:pict>
          <v:rect style="width:0;height:1.5pt" o:hralign="center" o:hrstd="t" o:hr="t"/>
        </w:pict>
      </w:r>
    </w:p>
    <w:bookmarkEnd w:id="97"/>
    <w:bookmarkStart w:id="98" w:name="tenant-customization"/>
    <w:p>
      <w:pPr>
        <w:pStyle w:val="Heading2"/>
      </w:pPr>
      <w:r>
        <w:t xml:space="preserve">Tenant Customization</w:t>
      </w:r>
    </w:p>
    <w:p>
      <w:pPr>
        <w:pStyle w:val="FirstParagraph"/>
      </w:pPr>
      <w:r>
        <w:t xml:space="preserve">Organizations may configure:</w:t>
      </w:r>
    </w:p>
    <w:p>
      <w:pPr>
        <w:pStyle w:val="Compact"/>
        <w:numPr>
          <w:ilvl w:val="0"/>
          <w:numId w:val="1030"/>
        </w:numPr>
      </w:pPr>
      <w:r>
        <w:t xml:space="preserve">Leave policies</w:t>
      </w:r>
    </w:p>
    <w:p>
      <w:pPr>
        <w:pStyle w:val="Compact"/>
        <w:numPr>
          <w:ilvl w:val="0"/>
          <w:numId w:val="1030"/>
        </w:numPr>
      </w:pPr>
      <w:r>
        <w:t xml:space="preserve">Payroll policies</w:t>
      </w:r>
    </w:p>
    <w:p>
      <w:pPr>
        <w:pStyle w:val="Compact"/>
        <w:numPr>
          <w:ilvl w:val="0"/>
          <w:numId w:val="1030"/>
        </w:numPr>
      </w:pPr>
      <w:r>
        <w:t xml:space="preserve">Approval workflows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nfr-014"/>
    <w:p>
      <w:pPr>
        <w:pStyle w:val="Heading1"/>
      </w:pPr>
      <w:r>
        <w:t xml:space="preserve">NFR-014</w:t>
      </w:r>
    </w:p>
    <w:bookmarkEnd w:id="100"/>
    <w:bookmarkStart w:id="104" w:name="api-standards"/>
    <w:p>
      <w:pPr>
        <w:pStyle w:val="Heading1"/>
      </w:pPr>
      <w:r>
        <w:t xml:space="preserve">API Standards</w:t>
      </w:r>
    </w:p>
    <w:p>
      <w:r>
        <w:pict>
          <v:rect style="width:0;height:1.5pt" o:hralign="center" o:hrstd="t" o:hr="t"/>
        </w:pict>
      </w:r>
    </w:p>
    <w:bookmarkStart w:id="101" w:name="api-style"/>
    <w:p>
      <w:pPr>
        <w:pStyle w:val="Heading2"/>
      </w:pPr>
      <w:r>
        <w:t xml:space="preserve">API Style</w:t>
      </w:r>
    </w:p>
    <w:p>
      <w:pPr>
        <w:pStyle w:val="FirstParagraph"/>
      </w:pPr>
      <w:r>
        <w:t xml:space="preserve">REST</w:t>
      </w:r>
    </w:p>
    <w:p>
      <w:pPr>
        <w:pStyle w:val="BodyText"/>
      </w:pPr>
      <w:r>
        <w:t xml:space="preserve">Versioning:</w:t>
      </w:r>
    </w:p>
    <w:p>
      <w:pPr>
        <w:pStyle w:val="BodyText"/>
      </w:pPr>
      <w:r>
        <w:t xml:space="preserve">/api/v1</w:t>
      </w:r>
    </w:p>
    <w:p>
      <w:r>
        <w:pict>
          <v:rect style="width:0;height:1.5pt" o:hralign="center" o:hrstd="t" o:hr="t"/>
        </w:pict>
      </w:r>
    </w:p>
    <w:bookmarkEnd w:id="101"/>
    <w:bookmarkStart w:id="102" w:name="response-format"/>
    <w:p>
      <w:pPr>
        <w:pStyle w:val="Heading2"/>
      </w:pPr>
      <w:r>
        <w:t xml:space="preserve">Response Format</w:t>
      </w:r>
    </w:p>
    <w:p>
      <w:pPr>
        <w:pStyle w:val="FirstParagraph"/>
      </w:pPr>
      <w:r>
        <w:t xml:space="preserve">Standardized JSON.</w:t>
      </w:r>
    </w:p>
    <w:p>
      <w:pPr>
        <w:pStyle w:val="BodyText"/>
      </w:pPr>
      <w:r>
        <w:t xml:space="preserve">Success: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{}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Failure: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“errors”</w:t>
      </w:r>
      <w:r>
        <w:t xml:space="preserve">: []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api-documentation"/>
    <w:p>
      <w:pPr>
        <w:pStyle w:val="Heading2"/>
      </w:pPr>
      <w:r>
        <w:t xml:space="preserve">API Documentation</w:t>
      </w:r>
    </w:p>
    <w:p>
      <w:pPr>
        <w:pStyle w:val="FirstParagraph"/>
      </w:pPr>
      <w:r>
        <w:t xml:space="preserve">OpenAPI 3.1 required.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nfr-015"/>
    <w:p>
      <w:pPr>
        <w:pStyle w:val="Heading1"/>
      </w:pPr>
      <w:r>
        <w:t xml:space="preserve">NFR-015</w:t>
      </w:r>
    </w:p>
    <w:bookmarkEnd w:id="105"/>
    <w:bookmarkStart w:id="110" w:name="data-management"/>
    <w:p>
      <w:pPr>
        <w:pStyle w:val="Heading1"/>
      </w:pPr>
      <w:r>
        <w:t xml:space="preserve">Data Management</w:t>
      </w:r>
    </w:p>
    <w:p>
      <w:r>
        <w:pict>
          <v:rect style="width:0;height:1.5pt" o:hralign="center" o:hrstd="t" o:hr="t"/>
        </w:pict>
      </w:r>
    </w:p>
    <w:bookmarkStart w:id="106" w:name="soft-deletes"/>
    <w:p>
      <w:pPr>
        <w:pStyle w:val="Heading2"/>
      </w:pPr>
      <w:r>
        <w:t xml:space="preserve">Soft Deletes</w:t>
      </w:r>
    </w:p>
    <w:p>
      <w:pPr>
        <w:pStyle w:val="FirstParagraph"/>
      </w:pPr>
      <w:r>
        <w:t xml:space="preserve">Required for:</w:t>
      </w:r>
    </w:p>
    <w:p>
      <w:pPr>
        <w:pStyle w:val="Compact"/>
        <w:numPr>
          <w:ilvl w:val="0"/>
          <w:numId w:val="1031"/>
        </w:numPr>
      </w:pPr>
      <w:r>
        <w:t xml:space="preserve">Employees</w:t>
      </w:r>
    </w:p>
    <w:p>
      <w:pPr>
        <w:pStyle w:val="Compact"/>
        <w:numPr>
          <w:ilvl w:val="0"/>
          <w:numId w:val="1031"/>
        </w:numPr>
      </w:pPr>
      <w:r>
        <w:t xml:space="preserve">Departments</w:t>
      </w:r>
    </w:p>
    <w:p>
      <w:pPr>
        <w:pStyle w:val="Compact"/>
        <w:numPr>
          <w:ilvl w:val="0"/>
          <w:numId w:val="1031"/>
        </w:numPr>
      </w:pPr>
      <w:r>
        <w:t xml:space="preserve">Designations</w:t>
      </w:r>
    </w:p>
    <w:p>
      <w:r>
        <w:pict>
          <v:rect style="width:0;height:1.5pt" o:hralign="center" o:hrstd="t" o:hr="t"/>
        </w:pict>
      </w:r>
    </w:p>
    <w:bookmarkEnd w:id="106"/>
    <w:bookmarkStart w:id="107" w:name="data-archival"/>
    <w:p>
      <w:pPr>
        <w:pStyle w:val="Heading2"/>
      </w:pPr>
      <w:r>
        <w:t xml:space="preserve">Data Archival</w:t>
      </w:r>
    </w:p>
    <w:p>
      <w:pPr>
        <w:pStyle w:val="FirstParagraph"/>
      </w:pPr>
      <w:r>
        <w:t xml:space="preserve">Historical records archived automatically.</w:t>
      </w:r>
    </w:p>
    <w:p>
      <w:r>
        <w:pict>
          <v:rect style="width:0;height:1.5pt" o:hralign="center" o:hrstd="t" o:hr="t"/>
        </w:pict>
      </w:r>
    </w:p>
    <w:bookmarkEnd w:id="107"/>
    <w:bookmarkStart w:id="108" w:name="data-consistency"/>
    <w:p>
      <w:pPr>
        <w:pStyle w:val="Heading2"/>
      </w:pPr>
      <w:r>
        <w:t xml:space="preserve">Data Consistency</w:t>
      </w:r>
    </w:p>
    <w:p>
      <w:pPr>
        <w:pStyle w:val="FirstParagraph"/>
      </w:pPr>
      <w:r>
        <w:t xml:space="preserve">Strong consistency required for:</w:t>
      </w:r>
    </w:p>
    <w:p>
      <w:pPr>
        <w:pStyle w:val="Compact"/>
        <w:numPr>
          <w:ilvl w:val="0"/>
          <w:numId w:val="1032"/>
        </w:numPr>
      </w:pPr>
      <w:r>
        <w:t xml:space="preserve">Payroll</w:t>
      </w:r>
    </w:p>
    <w:p>
      <w:pPr>
        <w:pStyle w:val="Compact"/>
        <w:numPr>
          <w:ilvl w:val="0"/>
          <w:numId w:val="1032"/>
        </w:numPr>
      </w:pPr>
      <w:r>
        <w:t xml:space="preserve">Attendance</w:t>
      </w:r>
    </w:p>
    <w:p>
      <w:pPr>
        <w:pStyle w:val="Compact"/>
        <w:numPr>
          <w:ilvl w:val="0"/>
          <w:numId w:val="1032"/>
        </w:numPr>
      </w:pPr>
      <w:r>
        <w:t xml:space="preserve">Leave</w:t>
      </w:r>
    </w:p>
    <w:p>
      <w:r>
        <w:pict>
          <v:rect style="width:0;height:1.5pt" o:hralign="center" o:hrstd="t" o:hr="t"/>
        </w:pict>
      </w:r>
    </w:p>
    <w:bookmarkEnd w:id="108"/>
    <w:bookmarkStart w:id="109" w:name="data-validation"/>
    <w:p>
      <w:pPr>
        <w:pStyle w:val="Heading2"/>
      </w:pPr>
      <w:r>
        <w:t xml:space="preserve">Data Validation</w:t>
      </w:r>
    </w:p>
    <w:p>
      <w:pPr>
        <w:pStyle w:val="FirstParagraph"/>
      </w:pPr>
      <w:r>
        <w:t xml:space="preserve">Validation required at:</w:t>
      </w:r>
    </w:p>
    <w:p>
      <w:pPr>
        <w:pStyle w:val="Compact"/>
        <w:numPr>
          <w:ilvl w:val="0"/>
          <w:numId w:val="1033"/>
        </w:numPr>
      </w:pPr>
      <w:r>
        <w:t xml:space="preserve">Client Layer</w:t>
      </w:r>
    </w:p>
    <w:p>
      <w:pPr>
        <w:pStyle w:val="Compact"/>
        <w:numPr>
          <w:ilvl w:val="0"/>
          <w:numId w:val="1033"/>
        </w:numPr>
      </w:pPr>
      <w:r>
        <w:t xml:space="preserve">API Layer</w:t>
      </w:r>
    </w:p>
    <w:p>
      <w:pPr>
        <w:pStyle w:val="Compact"/>
        <w:numPr>
          <w:ilvl w:val="0"/>
          <w:numId w:val="1033"/>
        </w:numPr>
      </w:pPr>
      <w:r>
        <w:t xml:space="preserve">Database Layer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production-environment-targets"/>
    <w:p>
      <w:pPr>
        <w:pStyle w:val="Heading1"/>
      </w:pPr>
      <w:r>
        <w:t xml:space="preserve">Production Environment Targets</w:t>
      </w:r>
    </w:p>
    <w:bookmarkStart w:id="111" w:name="small-organizations"/>
    <w:p>
      <w:pPr>
        <w:pStyle w:val="Heading2"/>
      </w:pPr>
      <w:r>
        <w:t xml:space="preserve">Small Organizations</w:t>
      </w:r>
    </w:p>
    <w:p>
      <w:pPr>
        <w:pStyle w:val="FirstParagraph"/>
      </w:pPr>
      <w:r>
        <w:t xml:space="preserve">Employees:</w:t>
      </w:r>
    </w:p>
    <w:p>
      <w:pPr>
        <w:pStyle w:val="BodyText"/>
      </w:pPr>
      <w:r>
        <w:t xml:space="preserve">1 – 500</w:t>
      </w:r>
    </w:p>
    <w:p>
      <w:r>
        <w:pict>
          <v:rect style="width:0;height:1.5pt" o:hralign="center" o:hrstd="t" o:hr="t"/>
        </w:pict>
      </w:r>
    </w:p>
    <w:bookmarkEnd w:id="111"/>
    <w:bookmarkStart w:id="112" w:name="medium-organizations"/>
    <w:p>
      <w:pPr>
        <w:pStyle w:val="Heading2"/>
      </w:pPr>
      <w:r>
        <w:t xml:space="preserve">Medium Organizations</w:t>
      </w:r>
    </w:p>
    <w:p>
      <w:pPr>
        <w:pStyle w:val="FirstParagraph"/>
      </w:pPr>
      <w:r>
        <w:t xml:space="preserve">Employees:</w:t>
      </w:r>
    </w:p>
    <w:p>
      <w:pPr>
        <w:pStyle w:val="BodyText"/>
      </w:pPr>
      <w:r>
        <w:t xml:space="preserve">500 – 5,000</w:t>
      </w:r>
    </w:p>
    <w:p>
      <w:r>
        <w:pict>
          <v:rect style="width:0;height:1.5pt" o:hralign="center" o:hrstd="t" o:hr="t"/>
        </w:pict>
      </w:r>
    </w:p>
    <w:bookmarkEnd w:id="112"/>
    <w:bookmarkStart w:id="113" w:name="enterprise-organizations"/>
    <w:p>
      <w:pPr>
        <w:pStyle w:val="Heading2"/>
      </w:pPr>
      <w:r>
        <w:t xml:space="preserve">Enterprise Organizations</w:t>
      </w:r>
    </w:p>
    <w:p>
      <w:pPr>
        <w:pStyle w:val="FirstParagraph"/>
      </w:pPr>
      <w:r>
        <w:t xml:space="preserve">Employees:</w:t>
      </w:r>
    </w:p>
    <w:p>
      <w:pPr>
        <w:pStyle w:val="BodyText"/>
      </w:pPr>
      <w:r>
        <w:t xml:space="preserve">5,000 – 50,000+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PhoenixHRMS shall be considered production-ready when:</w:t>
      </w:r>
    </w:p>
    <w:p>
      <w:pPr>
        <w:pStyle w:val="Compact"/>
        <w:numPr>
          <w:ilvl w:val="0"/>
          <w:numId w:val="1034"/>
        </w:numPr>
      </w:pPr>
      <w:r>
        <w:t xml:space="preserve">Availability ≥ 99.9%</w:t>
      </w:r>
    </w:p>
    <w:p>
      <w:pPr>
        <w:pStyle w:val="Compact"/>
        <w:numPr>
          <w:ilvl w:val="0"/>
          <w:numId w:val="1034"/>
        </w:numPr>
      </w:pPr>
      <w:r>
        <w:t xml:space="preserve">Test Coverage ≥ 80%</w:t>
      </w:r>
    </w:p>
    <w:p>
      <w:pPr>
        <w:pStyle w:val="Compact"/>
        <w:numPr>
          <w:ilvl w:val="0"/>
          <w:numId w:val="1034"/>
        </w:numPr>
      </w:pPr>
      <w:r>
        <w:t xml:space="preserve">Critical Vulnerabilities = 0</w:t>
      </w:r>
    </w:p>
    <w:p>
      <w:pPr>
        <w:pStyle w:val="Compact"/>
        <w:numPr>
          <w:ilvl w:val="0"/>
          <w:numId w:val="1034"/>
        </w:numPr>
      </w:pPr>
      <w:r>
        <w:t xml:space="preserve">Payroll Accuracy ≥ 99.99%</w:t>
      </w:r>
    </w:p>
    <w:p>
      <w:pPr>
        <w:pStyle w:val="Compact"/>
        <w:numPr>
          <w:ilvl w:val="0"/>
          <w:numId w:val="1034"/>
        </w:numPr>
      </w:pPr>
      <w:r>
        <w:t xml:space="preserve">API Response ≤ 500ms</w:t>
      </w:r>
    </w:p>
    <w:p>
      <w:pPr>
        <w:pStyle w:val="Compact"/>
        <w:numPr>
          <w:ilvl w:val="0"/>
          <w:numId w:val="1034"/>
        </w:numPr>
      </w:pPr>
      <w:r>
        <w:t xml:space="preserve">RPO ≤ 15 Minutes</w:t>
      </w:r>
    </w:p>
    <w:p>
      <w:pPr>
        <w:pStyle w:val="Compact"/>
        <w:numPr>
          <w:ilvl w:val="0"/>
          <w:numId w:val="1034"/>
        </w:numPr>
      </w:pPr>
      <w:r>
        <w:t xml:space="preserve">RTO ≤ 4 Hours</w:t>
      </w:r>
    </w:p>
    <w:p>
      <w:r>
        <w:pict>
          <v:rect style="width:0;height:1.5pt" o:hralign="center" o:hrstd="t" o:hr="t"/>
        </w:pict>
      </w:r>
    </w:p>
    <w:bookmarkEnd w:id="115"/>
    <w:bookmarkStart w:id="11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document defines the operational quality standards of PhoenixHRMS.</w:t>
      </w:r>
    </w:p>
    <w:p>
      <w:pPr>
        <w:pStyle w:val="BodyText"/>
      </w:pPr>
      <w:r>
        <w:t xml:space="preserve">All architecture decisions, infrastructure design, software development, testing, deployment, monitoring, and maintenance activities must comply with these requirements.</w:t>
      </w:r>
    </w:p>
    <w:p>
      <w:pPr>
        <w:pStyle w:val="BodyText"/>
      </w:pPr>
      <w:r>
        <w:t xml:space="preserve">These requirements are mandatory for enterprise-grade production deployment and provide the foundation for scalability, reliability, security, and long-term maintainability.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2026-06-01T06:23:37Z</dcterms:created>
  <dcterms:modified xsi:type="dcterms:W3CDTF">2026-06-01T06:23:37Z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