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body>
    <w:p>
      <w:pPr>
        <w:pStyle w:val="BodyText"/>
        <w:ind w:left="0" w:firstLine="0"/>
        <w:rPr>
          <w:sz w:val="20"/>
        </w:rPr>
      </w:pPr>
      <w:r>
        <w:rPr/>
        <w:pict>
          <v:group style="position:absolute;margin-left:16.324705pt;margin-top:58.343159pt;width:141.4pt;height:159.7pt;mso-position-horizontal-relative:page;mso-position-vertical-relative:page;z-index:-15954432" id="docshapegroup1" coordorigin="326,1167" coordsize="2828,3194">
            <v:shape style="position:absolute;left:326;top:1166;width:2828;height:3194" type="#_x0000_t75" id="docshape2" alt="Logo  Description automatically generated" stroked="false">
              <v:imagedata r:id="rId5" o:title=""/>
            </v:shape>
            <v:shape style="position:absolute;left:577;top:1416;width:2016;height:2384" type="#_x0000_t75" id="docshape3" alt="Logo  Description automatically generated" stroked="false">
              <v:imagedata r:id="rId6" o:title=""/>
            </v:shape>
            <w10:wrap type="none"/>
          </v:group>
        </w:pict>
      </w:r>
    </w:p>
    <w:p>
      <w:pPr>
        <w:pStyle w:val="BodyText"/>
        <w:ind w:left="0" w:firstLine="0"/>
        <w:rPr>
          <w:sz w:val="20"/>
        </w:rPr>
      </w:pPr>
    </w:p>
    <w:p>
      <w:pPr>
        <w:pStyle w:val="BodyText"/>
        <w:spacing w:before="6"/>
        <w:ind w:left="0" w:firstLine="0"/>
        <w:rPr>
          <w:sz w:val="21"/>
        </w:rPr>
      </w:pPr>
    </w:p>
    <w:p>
      <w:pPr>
        <w:pStyle w:val="BodyText"/>
        <w:spacing w:line="244" w:lineRule="auto" w:before="89"/>
        <w:ind w:left="2987" w:right="4808" w:firstLine="542"/>
      </w:pPr>
      <w:r>
        <w:rPr>
          <w:b/>
          <w:color w:val="0066CC"/>
        </w:rPr>
        <w:t>Faculty of Nursing</w:t>
        <w:br/>
        <w:t>Medical-Surgical Nursing II Course</w:t>
        <w:br/>
        <w:t>Surgical Rotation</w:t>
        <w:br/>
        <w:t>2022/2023</w:t>
      </w:r>
    </w:p>
    <w:p>
      <w:pPr>
        <w:pStyle w:val="BodyText"/>
        <w:ind w:left="0" w:firstLine="0"/>
        <w:rPr>
          <w:sz w:val="20"/>
        </w:rPr>
      </w:pPr>
    </w:p>
    <w:p>
      <w:pPr>
        <w:pStyle w:val="BodyText"/>
        <w:ind w:left="0" w:firstLine="0"/>
        <w:rPr>
          <w:sz w:val="20"/>
        </w:rPr>
      </w:pPr>
    </w:p>
    <w:p>
      <w:pPr>
        <w:pStyle w:val="BodyText"/>
        <w:ind w:left="0" w:firstLine="0"/>
        <w:rPr>
          <w:sz w:val="20"/>
        </w:rPr>
      </w:pPr>
    </w:p>
    <w:p>
      <w:pPr>
        <w:pStyle w:val="BodyText"/>
        <w:ind w:left="0" w:firstLine="0"/>
        <w:rPr>
          <w:sz w:val="20"/>
        </w:rPr>
      </w:pPr>
    </w:p>
    <w:p>
      <w:pPr>
        <w:pStyle w:val="BodyText"/>
        <w:ind w:left="0" w:firstLine="0"/>
        <w:rPr>
          <w:sz w:val="20"/>
        </w:rPr>
      </w:pPr>
    </w:p>
    <w:p>
      <w:pPr>
        <w:pStyle w:val="BodyText"/>
        <w:ind w:left="0" w:firstLine="0"/>
        <w:rPr>
          <w:sz w:val="20"/>
        </w:rPr>
      </w:pPr>
    </w:p>
    <w:p>
      <w:pPr>
        <w:pStyle w:val="BodyText"/>
        <w:ind w:left="0" w:firstLine="0"/>
        <w:rPr>
          <w:sz w:val="20"/>
        </w:rPr>
      </w:pPr>
    </w:p>
    <w:p>
      <w:pPr>
        <w:pStyle w:val="BodyText"/>
        <w:ind w:left="0" w:firstLine="0"/>
        <w:rPr>
          <w:sz w:val="20"/>
        </w:rPr>
      </w:pPr>
    </w:p>
    <w:p>
      <w:pPr>
        <w:pStyle w:val="BodyText"/>
        <w:ind w:left="0" w:firstLine="0"/>
        <w:rPr>
          <w:sz w:val="20"/>
        </w:rPr>
      </w:pPr>
    </w:p>
    <w:p>
      <w:pPr>
        <w:pStyle w:val="BodyText"/>
        <w:ind w:left="0" w:firstLine="0"/>
        <w:rPr>
          <w:sz w:val="20"/>
        </w:rPr>
      </w:pPr>
    </w:p>
    <w:p>
      <w:pPr>
        <w:pStyle w:val="BodyText"/>
        <w:ind w:left="0" w:firstLine="0"/>
        <w:rPr>
          <w:sz w:val="20"/>
        </w:rPr>
      </w:pPr>
    </w:p>
    <w:p>
      <w:pPr>
        <w:pStyle w:val="BodyText"/>
        <w:ind w:left="0" w:firstLine="0"/>
        <w:rPr>
          <w:sz w:val="20"/>
        </w:rPr>
      </w:pPr>
    </w:p>
    <w:p>
      <w:pPr>
        <w:pStyle w:val="BodyText"/>
        <w:ind w:left="0" w:firstLine="0"/>
        <w:rPr>
          <w:sz w:val="20"/>
        </w:rPr>
      </w:pPr>
    </w:p>
    <w:p>
      <w:pPr>
        <w:pStyle w:val="BodyText"/>
        <w:ind w:left="0" w:firstLine="0"/>
        <w:rPr>
          <w:sz w:val="20"/>
        </w:rPr>
      </w:pPr>
    </w:p>
    <w:p>
      <w:pPr>
        <w:pStyle w:val="BodyText"/>
        <w:ind w:left="0" w:firstLine="0"/>
        <w:rPr>
          <w:sz w:val="20"/>
        </w:rPr>
      </w:pPr>
    </w:p>
    <w:p>
      <w:pPr>
        <w:pStyle w:val="BodyText"/>
        <w:ind w:left="0" w:firstLine="0"/>
        <w:rPr>
          <w:sz w:val="20"/>
        </w:rPr>
      </w:pPr>
    </w:p>
    <w:p>
      <w:pPr>
        <w:pStyle w:val="BodyText"/>
        <w:ind w:left="0" w:firstLine="0"/>
        <w:rPr>
          <w:sz w:val="20"/>
        </w:rPr>
      </w:pPr>
    </w:p>
    <w:p>
      <w:pPr>
        <w:pStyle w:val="BodyText"/>
        <w:ind w:left="0" w:firstLine="0"/>
        <w:rPr>
          <w:sz w:val="20"/>
        </w:rPr>
      </w:pPr>
    </w:p>
    <w:p>
      <w:pPr>
        <w:pStyle w:val="BodyText"/>
        <w:ind w:left="0" w:firstLine="0"/>
        <w:rPr>
          <w:sz w:val="20"/>
        </w:rPr>
      </w:pPr>
    </w:p>
    <w:p>
      <w:pPr>
        <w:pStyle w:val="BodyText"/>
        <w:ind w:left="0" w:firstLine="0"/>
        <w:rPr>
          <w:sz w:val="20"/>
        </w:rPr>
      </w:pPr>
    </w:p>
    <w:p>
      <w:pPr>
        <w:pStyle w:val="Title"/>
      </w:pPr>
      <w:r>
        <w:rPr/>
        <w:t>Anorectal</w:t>
      </w:r>
      <w:r>
        <w:rPr>
          <w:spacing w:val="-1"/>
        </w:rPr>
        <w:t> </w:t>
      </w:r>
      <w:r>
        <w:rPr/>
        <w:t>Disorders</w:t>
      </w:r>
    </w:p>
    <w:p>
      <w:pPr>
        <w:pStyle w:val="BodyText"/>
        <w:spacing w:before="2"/>
        <w:ind w:left="0" w:firstLine="0"/>
        <w:rPr>
          <w:b/>
          <w:sz w:val="112"/>
        </w:rPr>
      </w:pPr>
    </w:p>
    <w:p>
      <w:pPr>
        <w:spacing w:before="1"/>
        <w:ind w:left="118" w:right="0" w:firstLine="0"/>
        <w:jc w:val="left"/>
        <w:rPr>
          <w:b/>
          <w:i/>
          <w:sz w:val="48"/>
        </w:rPr>
      </w:pPr>
      <w:r>
        <w:rPr>
          <w:b/>
          <w:i/>
          <w:sz w:val="48"/>
        </w:rPr>
        <w:t>Prepared</w:t>
      </w:r>
      <w:r>
        <w:rPr>
          <w:b/>
          <w:i/>
          <w:spacing w:val="-1"/>
          <w:sz w:val="48"/>
        </w:rPr>
        <w:t> </w:t>
      </w:r>
      <w:r>
        <w:rPr>
          <w:b/>
          <w:i/>
          <w:sz w:val="48"/>
        </w:rPr>
        <w:t>by:</w:t>
      </w:r>
    </w:p>
    <w:p>
      <w:pPr>
        <w:spacing w:before="320"/>
        <w:ind w:left="1662" w:right="5088" w:firstLine="0"/>
        <w:jc w:val="left"/>
        <w:rPr>
          <w:i/>
          <w:sz w:val="44"/>
        </w:rPr>
      </w:pPr>
      <w:r>
        <w:rPr>
          <w:b/>
          <w:color w:val="0066CC"/>
        </w:rPr>
        <w:t>Dr. Asmaa Abdel Hafez</w:t>
        <w:br/>
        <w:t>Dr. Yasser Mahmoud</w:t>
      </w:r>
    </w:p>
    <w:p>
      <w:pPr>
        <w:pStyle w:val="BodyText"/>
      </w:pPr>
      <w:r>
        <w:rPr>
          <w:b/>
          <w:color w:val="0066CC"/>
        </w:rPr>
        <w:t>Revision note: Original wording was retained where accurate. Revised, expanded, or newly added content in this edition is shown in bold blue text for peer-review visibility.</w:t>
      </w:r>
    </w:p>
    <w:p>
      <w:pPr>
        <w:pStyle w:val="BodyText"/>
        <w:ind w:left="0" w:firstLine="0"/>
        <w:rPr>
          <w:i/>
          <w:sz w:val="20"/>
        </w:rPr>
      </w:pPr>
    </w:p>
    <w:p>
      <w:pPr>
        <w:pStyle w:val="BodyText"/>
        <w:ind w:left="0" w:firstLine="0"/>
        <w:rPr>
          <w:i/>
          <w:sz w:val="20"/>
        </w:rPr>
      </w:pPr>
    </w:p>
    <w:p>
      <w:pPr>
        <w:pStyle w:val="BodyText"/>
        <w:ind w:left="0" w:firstLine="0"/>
        <w:rPr>
          <w:i/>
          <w:sz w:val="20"/>
        </w:rPr>
      </w:pPr>
    </w:p>
    <w:p>
      <w:pPr>
        <w:pStyle w:val="BodyText"/>
        <w:ind w:left="0" w:firstLine="0"/>
        <w:rPr>
          <w:i/>
          <w:sz w:val="20"/>
        </w:rPr>
      </w:pPr>
    </w:p>
    <w:p>
      <w:pPr>
        <w:pStyle w:val="BodyText"/>
        <w:ind w:left="0" w:firstLine="0"/>
        <w:rPr>
          <w:i/>
          <w:sz w:val="20"/>
        </w:rPr>
      </w:pPr>
    </w:p>
    <w:p>
      <w:pPr>
        <w:pStyle w:val="BodyText"/>
        <w:ind w:left="0" w:firstLine="0"/>
        <w:rPr>
          <w:i/>
          <w:sz w:val="20"/>
        </w:rPr>
      </w:pPr>
    </w:p>
    <w:p>
      <w:pPr>
        <w:pStyle w:val="BodyText"/>
        <w:ind w:left="0" w:firstLine="0"/>
        <w:rPr>
          <w:i/>
          <w:sz w:val="20"/>
        </w:rPr>
      </w:pPr>
    </w:p>
    <w:p>
      <w:pPr>
        <w:pStyle w:val="BodyText"/>
        <w:ind w:left="0" w:firstLine="0"/>
        <w:rPr>
          <w:i/>
          <w:sz w:val="20"/>
        </w:rPr>
      </w:pPr>
    </w:p>
    <w:p>
      <w:pPr>
        <w:pStyle w:val="BodyText"/>
        <w:ind w:left="0" w:firstLine="0"/>
        <w:rPr>
          <w:i/>
          <w:sz w:val="20"/>
        </w:rPr>
      </w:pPr>
    </w:p>
    <w:p>
      <w:pPr>
        <w:pStyle w:val="BodyText"/>
        <w:ind w:left="0" w:firstLine="0"/>
        <w:rPr>
          <w:i/>
          <w:sz w:val="20"/>
        </w:rPr>
      </w:pPr>
    </w:p>
    <w:p>
      <w:pPr>
        <w:pStyle w:val="BodyText"/>
        <w:ind w:left="0" w:firstLine="0"/>
        <w:rPr>
          <w:i/>
          <w:sz w:val="20"/>
        </w:rPr>
      </w:pPr>
    </w:p>
    <w:p>
      <w:pPr>
        <w:pStyle w:val="BodyText"/>
        <w:spacing w:before="8"/>
        <w:ind w:left="0" w:firstLine="0"/>
        <w:rPr>
          <w:i/>
          <w:sz w:val="29"/>
        </w:rPr>
      </w:pPr>
    </w:p>
    <w:p>
      <w:pPr>
        <w:spacing w:before="56"/>
        <w:ind w:left="0" w:right="1052" w:firstLine="0"/>
        <w:jc w:val="right"/>
        <w:rPr>
          <w:rFonts w:ascii="Calibri"/>
          <w:sz w:val="22"/>
        </w:rPr>
      </w:pPr>
      <w:r>
        <w:rPr>
          <w:rFonts w:ascii="Calibri"/>
          <w:w w:val="100"/>
          <w:sz w:val="22"/>
        </w:rPr>
        <w:t>1</w:t>
      </w:r>
    </w:p>
    <w:p>
      <w:pPr>
        <w:spacing w:after="0"/>
        <w:jc w:val="right"/>
        <w:rPr>
          <w:rFonts w:ascii="Calibri"/>
          <w:sz w:val="22"/>
        </w:rPr>
        <w:sectPr>
          <w:type w:val="continuous"/>
          <w:pgSz w:w="12240" w:h="15840"/>
          <w:pgMar w:top="1160" w:bottom="0" w:left="940" w:right="360"/>
        </w:sectPr>
      </w:pPr>
    </w:p>
    <w:p>
      <w:pPr>
        <w:pStyle w:val="ListParagraph"/>
        <w:numPr>
          <w:ilvl w:val="0"/>
          <w:numId w:val="1"/>
        </w:numPr>
        <w:tabs>
          <w:tab w:pos="479" w:val="left" w:leader="none"/>
        </w:tabs>
        <w:spacing w:line="240" w:lineRule="auto" w:before="59" w:after="0"/>
        <w:ind w:left="478" w:right="0" w:hanging="361"/>
        <w:jc w:val="left"/>
        <w:rPr>
          <w:b/>
          <w:i/>
          <w:sz w:val="40"/>
        </w:rPr>
      </w:pPr>
      <w:r>
        <w:rPr>
          <w:b/>
          <w:color w:val="0066CC"/>
        </w:rPr>
        <w:t>Outline:</w:t>
      </w:r>
    </w:p>
    <w:p>
      <w:pPr>
        <w:pStyle w:val="BodyText"/>
        <w:ind w:left="0" w:firstLine="0"/>
        <w:rPr>
          <w:b/>
          <w:i/>
          <w:sz w:val="20"/>
        </w:rPr>
      </w:pPr>
    </w:p>
    <w:p>
      <w:pPr>
        <w:pStyle w:val="BodyText"/>
        <w:ind w:left="0" w:firstLine="0"/>
        <w:rPr>
          <w:b/>
          <w:i/>
          <w:sz w:val="20"/>
        </w:rPr>
      </w:pPr>
    </w:p>
    <w:p>
      <w:pPr>
        <w:pStyle w:val="ListParagraph"/>
        <w:numPr>
          <w:ilvl w:val="0"/>
          <w:numId w:val="2"/>
        </w:numPr>
        <w:tabs>
          <w:tab w:pos="479" w:val="left" w:leader="none"/>
        </w:tabs>
        <w:spacing w:line="240" w:lineRule="auto" w:before="253" w:after="0"/>
        <w:ind w:left="478" w:right="0" w:hanging="361"/>
        <w:jc w:val="left"/>
        <w:rPr>
          <w:rFonts w:ascii="Wingdings" w:hAnsi="Wingdings"/>
          <w:sz w:val="28"/>
        </w:rPr>
      </w:pPr>
      <w:r>
        <w:rPr>
          <w:b/>
          <w:color w:val="0066CC"/>
        </w:rPr>
        <w:t>Introduction</w:t>
      </w:r>
    </w:p>
    <w:p>
      <w:pPr>
        <w:pStyle w:val="ListParagraph"/>
        <w:numPr>
          <w:ilvl w:val="0"/>
          <w:numId w:val="2"/>
        </w:numPr>
        <w:tabs>
          <w:tab w:pos="479" w:val="left" w:leader="none"/>
        </w:tabs>
        <w:spacing w:line="240" w:lineRule="auto" w:before="161" w:after="0"/>
        <w:ind w:left="478" w:right="0" w:hanging="361"/>
        <w:jc w:val="left"/>
        <w:rPr>
          <w:rFonts w:ascii="Wingdings" w:hAnsi="Wingdings"/>
          <w:sz w:val="28"/>
        </w:rPr>
      </w:pPr>
      <w:r>
        <w:rPr>
          <w:b/>
          <w:color w:val="0066CC"/>
        </w:rPr>
        <w:t>Applied anatomy and physiology of the anal canal</w:t>
      </w:r>
    </w:p>
    <w:p>
      <w:pPr>
        <w:pStyle w:val="ListParagraph"/>
        <w:numPr>
          <w:ilvl w:val="0"/>
          <w:numId w:val="2"/>
        </w:numPr>
        <w:tabs>
          <w:tab w:pos="479" w:val="left" w:leader="none"/>
        </w:tabs>
        <w:spacing w:line="240" w:lineRule="auto" w:before="160" w:after="0"/>
        <w:ind w:left="478" w:right="0" w:hanging="361"/>
        <w:jc w:val="left"/>
        <w:rPr>
          <w:rFonts w:ascii="Wingdings" w:hAnsi="Wingdings"/>
          <w:sz w:val="28"/>
        </w:rPr>
      </w:pPr>
      <w:r>
        <w:rPr>
          <w:b/>
          <w:color w:val="0066CC"/>
        </w:rPr>
        <w:t>Epidemiology and common risk factors</w:t>
      </w:r>
    </w:p>
    <w:p>
      <w:pPr>
        <w:pStyle w:val="ListParagraph"/>
        <w:numPr>
          <w:ilvl w:val="0"/>
          <w:numId w:val="2"/>
        </w:numPr>
        <w:tabs>
          <w:tab w:pos="479" w:val="left" w:leader="none"/>
        </w:tabs>
        <w:spacing w:line="240" w:lineRule="auto" w:before="161" w:after="0"/>
        <w:ind w:left="478" w:right="0" w:hanging="361"/>
        <w:jc w:val="left"/>
        <w:rPr>
          <w:rFonts w:ascii="Wingdings" w:hAnsi="Wingdings"/>
          <w:sz w:val="28"/>
        </w:rPr>
      </w:pPr>
      <w:r>
        <w:rPr>
          <w:b/>
          <w:color w:val="0066CC"/>
        </w:rPr>
        <w:t>Major anorectal disorders:</w:t>
      </w:r>
    </w:p>
    <w:p>
      <w:pPr>
        <w:pStyle w:val="ListParagraph"/>
        <w:numPr>
          <w:ilvl w:val="1"/>
          <w:numId w:val="2"/>
        </w:numPr>
        <w:tabs>
          <w:tab w:pos="1473" w:val="left" w:leader="none"/>
        </w:tabs>
        <w:spacing w:line="240" w:lineRule="auto" w:before="160" w:after="0"/>
        <w:ind w:left="1472" w:right="0" w:hanging="361"/>
        <w:jc w:val="left"/>
        <w:rPr>
          <w:sz w:val="28"/>
        </w:rPr>
      </w:pPr>
      <w:r>
        <w:rPr>
          <w:b/>
          <w:color w:val="0066CC"/>
        </w:rPr>
        <w:t>Anorectal abscess</w:t>
      </w:r>
    </w:p>
    <w:p>
      <w:pPr>
        <w:pStyle w:val="ListParagraph"/>
        <w:numPr>
          <w:ilvl w:val="1"/>
          <w:numId w:val="2"/>
        </w:numPr>
        <w:tabs>
          <w:tab w:pos="1473" w:val="left" w:leader="none"/>
        </w:tabs>
        <w:spacing w:line="240" w:lineRule="auto" w:before="140" w:after="0"/>
        <w:ind w:left="1472" w:right="0" w:hanging="361"/>
        <w:jc w:val="left"/>
        <w:rPr>
          <w:sz w:val="28"/>
        </w:rPr>
      </w:pPr>
      <w:r>
        <w:rPr>
          <w:b/>
          <w:color w:val="0066CC"/>
        </w:rPr>
        <w:t>Anal fistula</w:t>
      </w:r>
    </w:p>
    <w:p>
      <w:pPr>
        <w:pStyle w:val="ListParagraph"/>
        <w:numPr>
          <w:ilvl w:val="1"/>
          <w:numId w:val="2"/>
        </w:numPr>
        <w:tabs>
          <w:tab w:pos="1473" w:val="left" w:leader="none"/>
        </w:tabs>
        <w:spacing w:line="240" w:lineRule="auto" w:before="137" w:after="0"/>
        <w:ind w:left="1472" w:right="0" w:hanging="361"/>
        <w:jc w:val="left"/>
        <w:rPr>
          <w:sz w:val="28"/>
        </w:rPr>
      </w:pPr>
      <w:r>
        <w:rPr>
          <w:b/>
          <w:color w:val="0066CC"/>
        </w:rPr>
        <w:t>Anal fissure</w:t>
      </w:r>
    </w:p>
    <w:p>
      <w:pPr>
        <w:pStyle w:val="ListParagraph"/>
        <w:numPr>
          <w:ilvl w:val="1"/>
          <w:numId w:val="2"/>
        </w:numPr>
        <w:tabs>
          <w:tab w:pos="1473" w:val="left" w:leader="none"/>
        </w:tabs>
        <w:spacing w:line="240" w:lineRule="auto" w:before="137" w:after="0"/>
        <w:ind w:left="1472" w:right="0" w:hanging="361"/>
        <w:jc w:val="left"/>
        <w:rPr>
          <w:sz w:val="28"/>
        </w:rPr>
      </w:pPr>
      <w:r>
        <w:rPr>
          <w:b/>
          <w:color w:val="0066CC"/>
        </w:rPr>
        <w:t>Hemorrhoids</w:t>
      </w:r>
    </w:p>
    <w:p>
      <w:pPr>
        <w:pStyle w:val="ListParagraph"/>
        <w:numPr>
          <w:ilvl w:val="0"/>
          <w:numId w:val="2"/>
        </w:numPr>
        <w:tabs>
          <w:tab w:pos="479" w:val="left" w:leader="none"/>
        </w:tabs>
        <w:spacing w:line="240" w:lineRule="auto" w:before="137" w:after="0"/>
        <w:ind w:left="478" w:right="0" w:hanging="361"/>
        <w:jc w:val="left"/>
        <w:rPr>
          <w:rFonts w:ascii="Wingdings" w:hAnsi="Wingdings"/>
          <w:sz w:val="28"/>
        </w:rPr>
      </w:pPr>
      <w:r>
        <w:rPr>
          <w:b/>
          <w:color w:val="0066CC"/>
        </w:rPr>
        <w:t>Pathophysiology and classification</w:t>
      </w:r>
    </w:p>
    <w:p>
      <w:pPr>
        <w:pStyle w:val="ListParagraph"/>
        <w:numPr>
          <w:ilvl w:val="0"/>
          <w:numId w:val="2"/>
        </w:numPr>
        <w:tabs>
          <w:tab w:pos="479" w:val="left" w:leader="none"/>
        </w:tabs>
        <w:spacing w:line="240" w:lineRule="auto" w:before="163" w:after="0"/>
        <w:ind w:left="478" w:right="0" w:hanging="361"/>
        <w:jc w:val="left"/>
        <w:rPr>
          <w:rFonts w:ascii="Wingdings" w:hAnsi="Wingdings"/>
          <w:sz w:val="28"/>
        </w:rPr>
      </w:pPr>
      <w:r>
        <w:rPr>
          <w:b/>
          <w:color w:val="0066CC"/>
        </w:rPr>
        <w:t>Clinical manifestations and assessment</w:t>
      </w:r>
    </w:p>
    <w:p>
      <w:pPr>
        <w:pStyle w:val="ListParagraph"/>
        <w:numPr>
          <w:ilvl w:val="0"/>
          <w:numId w:val="2"/>
        </w:numPr>
        <w:tabs>
          <w:tab w:pos="479" w:val="left" w:leader="none"/>
        </w:tabs>
        <w:spacing w:line="240" w:lineRule="auto" w:before="160" w:after="0"/>
        <w:ind w:left="478" w:right="0" w:hanging="361"/>
        <w:jc w:val="left"/>
        <w:rPr>
          <w:rFonts w:ascii="Wingdings" w:hAnsi="Wingdings"/>
          <w:sz w:val="28"/>
        </w:rPr>
      </w:pPr>
      <w:r>
        <w:rPr>
          <w:b/>
          <w:color w:val="0066CC"/>
        </w:rPr>
        <w:t>Potential complications</w:t>
      </w:r>
    </w:p>
    <w:p>
      <w:pPr>
        <w:pStyle w:val="ListParagraph"/>
        <w:numPr>
          <w:ilvl w:val="0"/>
          <w:numId w:val="2"/>
        </w:numPr>
        <w:tabs>
          <w:tab w:pos="479" w:val="left" w:leader="none"/>
        </w:tabs>
        <w:spacing w:line="240" w:lineRule="auto" w:before="160" w:after="0"/>
        <w:ind w:left="478" w:right="0" w:hanging="361"/>
        <w:jc w:val="left"/>
        <w:rPr>
          <w:rFonts w:ascii="Wingdings" w:hAnsi="Wingdings"/>
          <w:sz w:val="28"/>
        </w:rPr>
      </w:pPr>
      <w:r>
        <w:rPr>
          <w:b/>
          <w:color w:val="0066CC"/>
        </w:rPr>
        <w:t>Conservative, office-based, and surgical management</w:t>
      </w:r>
    </w:p>
    <w:p>
      <w:pPr>
        <w:pStyle w:val="ListParagraph"/>
        <w:numPr>
          <w:ilvl w:val="0"/>
          <w:numId w:val="2"/>
        </w:numPr>
        <w:tabs>
          <w:tab w:pos="479" w:val="left" w:leader="none"/>
        </w:tabs>
        <w:spacing w:line="240" w:lineRule="auto" w:before="161" w:after="0"/>
        <w:ind w:left="478" w:right="0" w:hanging="361"/>
        <w:jc w:val="left"/>
        <w:rPr>
          <w:rFonts w:ascii="Wingdings" w:hAnsi="Wingdings"/>
          <w:sz w:val="28"/>
        </w:rPr>
      </w:pPr>
      <w:r>
        <w:rPr>
          <w:b/>
          <w:color w:val="0066CC"/>
        </w:rPr>
        <w:t>Nursing care across the continuum of care</w:t>
      </w:r>
    </w:p>
    <w:p>
      <w:pPr>
        <w:pStyle w:val="ListParagraph"/>
        <w:numPr>
          <w:ilvl w:val="0"/>
          <w:numId w:val="2"/>
        </w:numPr>
        <w:tabs>
          <w:tab w:pos="479" w:val="left" w:leader="none"/>
        </w:tabs>
        <w:spacing w:line="240" w:lineRule="auto" w:before="163" w:after="0"/>
        <w:ind w:left="478" w:right="0" w:hanging="361"/>
        <w:jc w:val="left"/>
        <w:rPr>
          <w:rFonts w:ascii="Wingdings" w:hAnsi="Wingdings"/>
          <w:sz w:val="28"/>
        </w:rPr>
      </w:pPr>
      <w:r>
        <w:rPr>
          <w:b/>
          <w:color w:val="0066CC"/>
        </w:rPr>
        <w:t>Patient and family health education</w:t>
      </w:r>
    </w:p>
    <w:p>
      <w:pPr>
        <w:pStyle w:val="ListParagraph"/>
        <w:numPr>
          <w:ilvl w:val="0"/>
          <w:numId w:val="2"/>
        </w:numPr>
        <w:tabs>
          <w:tab w:pos="479" w:val="left" w:leader="none"/>
        </w:tabs>
        <w:spacing w:line="240" w:lineRule="auto" w:before="160" w:after="0"/>
        <w:ind w:left="478" w:right="0" w:hanging="361"/>
        <w:jc w:val="left"/>
        <w:rPr>
          <w:rFonts w:ascii="Wingdings" w:hAnsi="Wingdings"/>
          <w:sz w:val="28"/>
        </w:rPr>
      </w:pPr>
      <w:r>
        <w:rPr>
          <w:b/>
          <w:color w:val="0066CC"/>
        </w:rPr>
        <w:t>Common nursing diagnoses and goals of care</w:t>
      </w:r>
    </w:p>
    <w:p>
      <w:pPr>
        <w:spacing w:after="0" w:line="240" w:lineRule="auto"/>
        <w:jc w:val="left"/>
        <w:rPr>
          <w:rFonts w:ascii="Wingdings" w:hAnsi="Wingdings"/>
          <w:sz w:val="28"/>
        </w:rPr>
        <w:sectPr>
          <w:footerReference w:type="default" r:id="rId8"/>
          <w:pgSz w:w="12240" w:h="15840"/>
          <w:pgMar w:footer="854" w:header="0" w:top="1360" w:bottom="1040" w:left="940" w:right="360"/>
          <w:pgNumType w:start="2"/>
        </w:sectPr>
      </w:pPr>
    </w:p>
    <w:p>
      <w:pPr>
        <w:pStyle w:val="Heading1"/>
        <w:numPr>
          <w:ilvl w:val="0"/>
          <w:numId w:val="2"/>
        </w:numPr>
        <w:tabs>
          <w:tab w:pos="479" w:val="left" w:leader="none"/>
        </w:tabs>
        <w:spacing w:line="240" w:lineRule="auto" w:before="77" w:after="0"/>
        <w:ind w:left="478" w:right="0" w:hanging="361"/>
        <w:jc w:val="both"/>
        <w:rPr>
          <w:rFonts w:ascii="Wingdings" w:hAnsi="Wingdings"/>
          <w:b w:val="0"/>
          <w:i w:val="0"/>
          <w:u w:val="none"/>
        </w:rPr>
      </w:pPr>
      <w:r>
        <w:rPr>
          <w:b/>
          <w:color w:val="0066CC"/>
        </w:rPr>
        <w:t>Introduction</w:t>
      </w:r>
    </w:p>
    <w:p>
      <w:pPr>
        <w:pStyle w:val="BodyText"/>
        <w:spacing w:line="360" w:lineRule="auto" w:before="186"/>
        <w:ind w:left="478" w:right="1054" w:firstLine="719"/>
        <w:jc w:val="both"/>
      </w:pPr>
      <w:r>
        <w:rPr>
          <w:b/>
          <w:color w:val="0066CC"/>
        </w:rPr>
        <w:t>Anorectal disorders are common conditions affecting the anal canal, perianal tissues, and distal rectum. Patients commonly present with pain, bleeding, swelling, discharge, pruritus, prolapse, or altered bowel habits. Because these symptoms may also occur in colorectal malignancy, inflammatory bowel disease, or infection, careful assessment is essential.</w:t>
      </w:r>
    </w:p>
    <w:p>
      <w:pPr>
        <w:pStyle w:val="BodyText"/>
        <w:spacing w:line="360" w:lineRule="auto"/>
        <w:ind w:left="478" w:right="1056" w:firstLine="719"/>
        <w:jc w:val="both"/>
      </w:pPr>
      <w:r>
        <w:rPr>
          <w:b/>
          <w:color w:val="0066CC"/>
        </w:rPr>
        <w:t>Hemorrhoids, anal fissures, anorectal abscesses, and anal fistulas are among the most frequent disorders encountered in medical-surgical practice. For nurses, early recognition of red-flag symptoms, pain control, bowel regulation, hygiene education, and postoperative monitoring are central responsibilities.</w:t>
      </w:r>
    </w:p>
    <w:p>
      <w:pPr>
        <w:pStyle w:val="BodyText"/>
        <w:spacing w:before="11"/>
        <w:ind w:left="0" w:firstLine="0"/>
        <w:rPr>
          <w:sz w:val="41"/>
        </w:rPr>
      </w:pPr>
    </w:p>
    <w:p>
      <w:pPr>
        <w:pStyle w:val="Heading1"/>
        <w:numPr>
          <w:ilvl w:val="0"/>
          <w:numId w:val="2"/>
        </w:numPr>
        <w:tabs>
          <w:tab w:pos="479" w:val="left" w:leader="none"/>
        </w:tabs>
        <w:spacing w:line="240" w:lineRule="auto" w:before="0" w:after="0"/>
        <w:ind w:left="478" w:right="0" w:hanging="361"/>
        <w:jc w:val="both"/>
        <w:rPr>
          <w:rFonts w:ascii="Wingdings" w:hAnsi="Wingdings"/>
          <w:b w:val="0"/>
          <w:i w:val="0"/>
          <w:u w:val="none"/>
        </w:rPr>
      </w:pPr>
      <w:r>
        <w:rPr>
          <w:b/>
          <w:color w:val="0066CC"/>
        </w:rPr>
        <w:t>Anatomy and physiology of the anal canal</w:t>
      </w:r>
    </w:p>
    <w:p>
      <w:pPr>
        <w:pStyle w:val="ListParagraph"/>
        <w:numPr>
          <w:ilvl w:val="0"/>
          <w:numId w:val="3"/>
        </w:numPr>
        <w:tabs>
          <w:tab w:pos="1199" w:val="left" w:leader="none"/>
        </w:tabs>
        <w:spacing w:line="360" w:lineRule="auto" w:before="186" w:after="0"/>
        <w:ind w:left="1198" w:right="1057" w:hanging="360"/>
        <w:jc w:val="both"/>
        <w:rPr>
          <w:sz w:val="28"/>
        </w:rPr>
      </w:pPr>
      <w:r>
        <w:rPr>
          <w:b/>
          <w:color w:val="0066CC"/>
        </w:rPr>
        <w:t>The anal canal is the terminal 3 to 4 cm of the gastrointestinal tract, extending from the anorectal junction to the anal verge. The dentate line is an important landmark because it separates different epithelium, blood supply, lymphatic drainage, and sensory innervation.</w:t>
      </w:r>
    </w:p>
    <w:p>
      <w:pPr>
        <w:pStyle w:val="ListParagraph"/>
        <w:numPr>
          <w:ilvl w:val="0"/>
          <w:numId w:val="3"/>
        </w:numPr>
        <w:tabs>
          <w:tab w:pos="1199" w:val="left" w:leader="none"/>
        </w:tabs>
        <w:spacing w:line="362" w:lineRule="auto" w:before="0" w:after="0"/>
        <w:ind w:left="1198" w:right="1065" w:hanging="360"/>
        <w:jc w:val="both"/>
        <w:rPr>
          <w:sz w:val="28"/>
        </w:rPr>
      </w:pPr>
      <w:r>
        <w:rPr>
          <w:b/>
          <w:color w:val="0066CC"/>
        </w:rPr>
        <w:t>Continence depends on coordinated function of the internal anal sphincter, external anal sphincter, puborectalis muscle, vascular cushions, rectal compliance, and intact neurologic control.</w:t>
      </w:r>
    </w:p>
    <w:p>
      <w:pPr>
        <w:pStyle w:val="ListParagraph"/>
        <w:numPr>
          <w:ilvl w:val="0"/>
          <w:numId w:val="3"/>
        </w:numPr>
        <w:tabs>
          <w:tab w:pos="1199" w:val="left" w:leader="none"/>
        </w:tabs>
        <w:spacing w:line="360" w:lineRule="auto" w:before="0" w:after="0"/>
        <w:ind w:left="1198" w:right="1065" w:hanging="360"/>
        <w:jc w:val="both"/>
        <w:rPr>
          <w:sz w:val="28"/>
        </w:rPr>
      </w:pPr>
      <w:r>
        <w:rPr>
          <w:b/>
          <w:color w:val="0066CC"/>
        </w:rPr>
        <w:t>Arterial supply is derived mainly from the superior, middle, and inferior rectal arteries. Venous drainage occurs through the superior rectal vein to the portal system and through the middle and inferior rectal veins to the systemic circulation.</w:t>
      </w:r>
    </w:p>
    <w:p>
      <w:pPr>
        <w:pStyle w:val="ListParagraph"/>
        <w:numPr>
          <w:ilvl w:val="0"/>
          <w:numId w:val="3"/>
        </w:numPr>
        <w:tabs>
          <w:tab w:pos="1199" w:val="left" w:leader="none"/>
        </w:tabs>
        <w:spacing w:line="321" w:lineRule="exact" w:before="0" w:after="0"/>
        <w:ind w:left="1198" w:right="0" w:hanging="361"/>
        <w:jc w:val="both"/>
        <w:rPr>
          <w:sz w:val="28"/>
        </w:rPr>
      </w:pPr>
      <w:r>
        <w:rPr>
          <w:b/>
          <w:color w:val="0066CC"/>
        </w:rPr>
        <w:t>Above the dentate line, sensation is visceral and relatively insensitive to pain. Below the dentate line, somatic innervation from the inferior rectal branches of the pudendal nerve makes the area highly sensitive to pain, touch, and temperature.</w:t>
      </w:r>
    </w:p>
    <w:p>
      <w:pPr>
        <w:pStyle w:val="ListParagraph"/>
        <w:numPr>
          <w:ilvl w:val="0"/>
          <w:numId w:val="3"/>
        </w:numPr>
        <w:tabs>
          <w:tab w:pos="1199" w:val="left" w:leader="none"/>
        </w:tabs>
        <w:spacing w:line="240" w:lineRule="auto" w:before="156" w:after="0"/>
        <w:ind w:left="1198" w:right="0" w:hanging="361"/>
        <w:jc w:val="both"/>
        <w:rPr>
          <w:b/>
          <w:i/>
          <w:sz w:val="28"/>
        </w:rPr>
      </w:pPr>
      <w:r>
        <w:rPr>
          <w:b/>
          <w:color w:val="0066CC"/>
        </w:rPr>
        <w:t>Anal sphincters:</w:t>
      </w:r>
    </w:p>
    <w:p>
      <w:pPr>
        <w:pStyle w:val="ListParagraph"/>
        <w:numPr>
          <w:ilvl w:val="0"/>
          <w:numId w:val="4"/>
        </w:numPr>
        <w:tabs>
          <w:tab w:pos="1199" w:val="left" w:leader="none"/>
        </w:tabs>
        <w:spacing w:line="360" w:lineRule="auto" w:before="160" w:after="0"/>
        <w:ind w:left="1198" w:right="1062" w:hanging="360"/>
        <w:jc w:val="both"/>
        <w:rPr>
          <w:sz w:val="28"/>
        </w:rPr>
      </w:pPr>
      <w:r>
        <w:rPr>
          <w:b/>
          <w:color w:val="0066CC"/>
        </w:rPr>
        <w:t>Internal anal sphincter: a continuation of the circular smooth muscle of the rectum; it is involuntary and provides most resting anal tone.</w:t>
      </w:r>
    </w:p>
    <w:p>
      <w:pPr>
        <w:spacing w:after="0" w:line="360" w:lineRule="auto"/>
        <w:jc w:val="both"/>
        <w:rPr>
          <w:sz w:val="28"/>
        </w:rPr>
        <w:sectPr>
          <w:pgSz w:w="12240" w:h="15840"/>
          <w:pgMar w:header="0" w:footer="854" w:top="1340" w:bottom="1040" w:left="940" w:right="360"/>
        </w:sectPr>
      </w:pPr>
    </w:p>
    <w:p>
      <w:pPr>
        <w:pStyle w:val="BodyText"/>
        <w:spacing w:line="360" w:lineRule="auto" w:before="59"/>
        <w:ind w:right="1055" w:firstLine="0"/>
      </w:pPr>
      <w:r>
        <w:rPr>
          <w:b/>
          <w:color w:val="0066CC"/>
        </w:rPr>
        <w:t>Spasm or hypertonicity of the internal sphincter contributes to pain and impaired healing in many chronic anal fissures. The longitudinal muscle layer lies between the sphincters and contributes to support of the anal canal.</w:t>
      </w:r>
    </w:p>
    <w:p>
      <w:pPr>
        <w:pStyle w:val="ListParagraph"/>
        <w:numPr>
          <w:ilvl w:val="0"/>
          <w:numId w:val="4"/>
        </w:numPr>
        <w:tabs>
          <w:tab w:pos="1199" w:val="left" w:leader="none"/>
        </w:tabs>
        <w:spacing w:line="362" w:lineRule="auto" w:before="0" w:after="7"/>
        <w:ind w:left="1198" w:right="1064" w:hanging="360"/>
        <w:jc w:val="left"/>
        <w:rPr>
          <w:sz w:val="28"/>
        </w:rPr>
      </w:pPr>
      <w:r>
        <w:rPr>
          <w:b/>
          <w:color w:val="0066CC"/>
        </w:rPr>
        <w:t>External anal sphincter: a striated voluntary muscle under somatic control; together with the puborectalis muscle, it helps maintain continence during increased intra-abdominal pressure.</w:t>
      </w:r>
    </w:p>
    <w:p>
      <w:pPr>
        <w:pStyle w:val="BodyText"/>
        <w:ind w:left="934" w:firstLine="0"/>
        <w:rPr>
          <w:sz w:val="20"/>
        </w:rPr>
      </w:pPr>
      <w:r>
        <w:rPr>
          <w:sz w:val="20"/>
        </w:rPr>
        <w:pict>
          <v:group style="width:425.2pt;height:185.45pt;mso-position-horizontal-relative:char;mso-position-vertical-relative:line" id="docshapegroup6" coordorigin="0,0" coordsize="8504,3709">
            <v:shape style="position:absolute;left:208;top:14;width:8280;height:3679" type="#_x0000_t75" id="docshape7" alt="If You Have Anal Cancer" stroked="false">
              <v:imagedata r:id="rId10" o:title=""/>
            </v:shape>
            <v:rect style="position:absolute;left:7;top:7;width:8489;height:3694" id="docshape8" filled="false" stroked="true" strokeweight=".75pt" strokecolor="#000000">
              <v:stroke dashstyle="solid"/>
            </v:rect>
          </v:group>
        </w:pict>
      </w:r>
      <w:r>
        <w:rPr>
          <w:sz w:val="20"/>
        </w:rPr>
      </w:r>
    </w:p>
    <w:p>
      <w:pPr>
        <w:pStyle w:val="BodyText"/>
        <w:ind w:left="0" w:firstLine="0"/>
        <w:rPr>
          <w:sz w:val="30"/>
        </w:rPr>
      </w:pPr>
    </w:p>
    <w:p>
      <w:pPr>
        <w:pStyle w:val="BodyText"/>
        <w:spacing w:before="7"/>
        <w:ind w:left="0" w:firstLine="0"/>
        <w:rPr>
          <w:sz w:val="25"/>
        </w:rPr>
      </w:pPr>
    </w:p>
    <w:p>
      <w:pPr>
        <w:pStyle w:val="Heading1"/>
        <w:numPr>
          <w:ilvl w:val="0"/>
          <w:numId w:val="2"/>
        </w:numPr>
        <w:tabs>
          <w:tab w:pos="479" w:val="left" w:leader="none"/>
        </w:tabs>
        <w:spacing w:line="240" w:lineRule="auto" w:before="1" w:after="0"/>
        <w:ind w:left="478" w:right="0" w:hanging="361"/>
        <w:jc w:val="left"/>
        <w:rPr>
          <w:rFonts w:ascii="Wingdings" w:hAnsi="Wingdings"/>
          <w:b w:val="0"/>
          <w:i w:val="0"/>
          <w:u w:val="none"/>
        </w:rPr>
      </w:pPr>
      <w:r>
        <w:rPr>
          <w:b/>
          <w:color w:val="0066CC"/>
        </w:rPr>
        <w:t>Common anorectal disorders</w:t>
      </w:r>
    </w:p>
    <w:p>
      <w:pPr>
        <w:pStyle w:val="ListParagraph"/>
        <w:numPr>
          <w:ilvl w:val="0"/>
          <w:numId w:val="5"/>
        </w:numPr>
        <w:tabs>
          <w:tab w:pos="1199" w:val="left" w:leader="none"/>
        </w:tabs>
        <w:spacing w:line="240" w:lineRule="auto" w:before="185" w:after="0"/>
        <w:ind w:left="1198" w:right="0" w:hanging="361"/>
        <w:jc w:val="left"/>
        <w:rPr>
          <w:b/>
          <w:sz w:val="28"/>
        </w:rPr>
      </w:pPr>
      <w:r>
        <w:rPr>
          <w:b/>
          <w:color w:val="0066CC"/>
        </w:rPr>
        <w:t>Anorectal abscess</w:t>
      </w:r>
    </w:p>
    <w:p>
      <w:pPr>
        <w:pStyle w:val="ListParagraph"/>
        <w:numPr>
          <w:ilvl w:val="0"/>
          <w:numId w:val="5"/>
        </w:numPr>
        <w:tabs>
          <w:tab w:pos="1199" w:val="left" w:leader="none"/>
        </w:tabs>
        <w:spacing w:line="240" w:lineRule="auto" w:before="161" w:after="0"/>
        <w:ind w:left="1198" w:right="0" w:hanging="361"/>
        <w:jc w:val="left"/>
        <w:rPr>
          <w:b/>
          <w:sz w:val="28"/>
        </w:rPr>
      </w:pPr>
      <w:r>
        <w:rPr>
          <w:b/>
          <w:color w:val="0066CC"/>
        </w:rPr>
        <w:t>Anal fistula</w:t>
      </w:r>
    </w:p>
    <w:p>
      <w:pPr>
        <w:pStyle w:val="ListParagraph"/>
        <w:numPr>
          <w:ilvl w:val="0"/>
          <w:numId w:val="5"/>
        </w:numPr>
        <w:tabs>
          <w:tab w:pos="1199" w:val="left" w:leader="none"/>
        </w:tabs>
        <w:spacing w:line="240" w:lineRule="auto" w:before="160" w:after="0"/>
        <w:ind w:left="1198" w:right="0" w:hanging="361"/>
        <w:jc w:val="left"/>
        <w:rPr>
          <w:b/>
          <w:sz w:val="28"/>
        </w:rPr>
      </w:pPr>
      <w:r>
        <w:rPr>
          <w:b/>
          <w:color w:val="0066CC"/>
        </w:rPr>
        <w:t>Anal fissure</w:t>
      </w:r>
    </w:p>
    <w:p>
      <w:pPr>
        <w:pStyle w:val="ListParagraph"/>
        <w:numPr>
          <w:ilvl w:val="0"/>
          <w:numId w:val="5"/>
        </w:numPr>
        <w:tabs>
          <w:tab w:pos="1199" w:val="left" w:leader="none"/>
        </w:tabs>
        <w:spacing w:line="240" w:lineRule="auto" w:before="161" w:after="0"/>
        <w:ind w:left="1198" w:right="0" w:hanging="361"/>
        <w:jc w:val="left"/>
        <w:rPr>
          <w:b/>
          <w:sz w:val="28"/>
        </w:rPr>
      </w:pPr>
      <w:r>
        <w:rPr>
          <w:b/>
          <w:color w:val="0066CC"/>
        </w:rPr>
        <w:t>Hemorrhoids</w:t>
      </w:r>
    </w:p>
    <w:p>
      <w:pPr>
        <w:pStyle w:val="BodyText"/>
        <w:ind w:left="0" w:firstLine="0"/>
        <w:rPr>
          <w:b/>
          <w:sz w:val="30"/>
        </w:rPr>
      </w:pPr>
    </w:p>
    <w:p>
      <w:pPr>
        <w:pStyle w:val="BodyText"/>
        <w:spacing w:before="11"/>
        <w:ind w:left="0" w:firstLine="0"/>
        <w:rPr>
          <w:b/>
          <w:sz w:val="25"/>
        </w:rPr>
      </w:pPr>
    </w:p>
    <w:p>
      <w:pPr>
        <w:pStyle w:val="Heading1"/>
        <w:numPr>
          <w:ilvl w:val="0"/>
          <w:numId w:val="6"/>
        </w:numPr>
        <w:tabs>
          <w:tab w:pos="1199" w:val="left" w:leader="none"/>
        </w:tabs>
        <w:spacing w:line="240" w:lineRule="auto" w:before="0" w:after="0"/>
        <w:ind w:left="1198" w:right="0" w:hanging="361"/>
        <w:jc w:val="left"/>
        <w:rPr>
          <w:i/>
          <w:u w:val="none"/>
        </w:rPr>
      </w:pPr>
      <w:r>
        <w:rPr>
          <w:b/>
          <w:color w:val="0066CC"/>
        </w:rPr>
        <w:t>Anorectal abscess</w:t>
      </w:r>
    </w:p>
    <w:p>
      <w:pPr>
        <w:pStyle w:val="BodyText"/>
        <w:spacing w:line="360" w:lineRule="auto" w:before="185"/>
        <w:ind w:left="478" w:right="1055" w:firstLine="0"/>
      </w:pPr>
      <w:r>
        <w:rPr>
          <w:b/>
          <w:color w:val="0066CC"/>
        </w:rPr>
        <w:t>An anorectal abscess is a localized collection of pus arising most often from infection of the anal glands (cryptoglandular infection). It is usually acute, painful, and may be superficial or deep.</w:t>
      </w:r>
    </w:p>
    <w:p>
      <w:pPr>
        <w:spacing w:after="0" w:line="360" w:lineRule="auto"/>
        <w:sectPr>
          <w:pgSz w:w="12240" w:h="15840"/>
          <w:pgMar w:header="0" w:footer="854" w:top="1360" w:bottom="1040" w:left="940" w:right="360"/>
        </w:sectPr>
      </w:pPr>
    </w:p>
    <w:p>
      <w:pPr>
        <w:pStyle w:val="BodyText"/>
        <w:ind w:left="2149" w:firstLine="0"/>
        <w:rPr>
          <w:sz w:val="20"/>
        </w:rPr>
      </w:pPr>
      <w:r>
        <w:rPr>
          <w:sz w:val="20"/>
        </w:rPr>
        <w:pict>
          <v:group style="width:302.850pt;height:197.65pt;mso-position-horizontal-relative:char;mso-position-vertical-relative:line" id="docshapegroup9" coordorigin="0,0" coordsize="6057,3953" alt="Anal Fistula Treatment in Dubai | Hemorrhoids Surgery in Dubai Symptoms,  Causes, Diagnosis">
            <v:shape style="position:absolute;left:15;top:15;width:6027;height:3864" type="#_x0000_t75" id="docshape10" alt="Anal Fistula Treatment in Dubai | Hemorrhoids Surgery in Dubai Symptoms,  Causes, Diagnosis" stroked="false">
              <v:imagedata r:id="rId11" o:title=""/>
            </v:shape>
            <v:rect style="position:absolute;left:7;top:7;width:6042;height:3938" id="docshape11" filled="false" stroked="true" strokeweight=".75pt" strokecolor="#000000">
              <v:stroke dashstyle="solid"/>
            </v:rect>
          </v:group>
        </w:pict>
      </w:r>
      <w:r>
        <w:rPr>
          <w:sz w:val="20"/>
        </w:rPr>
      </w:r>
    </w:p>
    <w:p>
      <w:pPr>
        <w:pStyle w:val="Heading3"/>
        <w:spacing w:before="149"/>
        <w:jc w:val="both"/>
        <w:rPr>
          <w:i/>
          <w:u w:val="none"/>
        </w:rPr>
      </w:pPr>
      <w:r>
        <w:rPr>
          <w:b/>
          <w:color w:val="0066CC"/>
        </w:rPr>
        <w:t>Pathophysiology</w:t>
      </w:r>
    </w:p>
    <w:p>
      <w:pPr>
        <w:pStyle w:val="BodyText"/>
        <w:spacing w:line="360" w:lineRule="auto" w:before="163"/>
        <w:ind w:left="478" w:right="1068" w:firstLine="719"/>
        <w:jc w:val="both"/>
      </w:pPr>
      <w:r>
        <w:rPr>
          <w:b/>
          <w:color w:val="0066CC"/>
        </w:rPr>
        <w:t>Most anorectal abscesses begin when an anal gland becomes obstructed and infected within the intersphincteric space.</w:t>
      </w:r>
    </w:p>
    <w:p>
      <w:pPr>
        <w:pStyle w:val="BodyText"/>
        <w:spacing w:line="320" w:lineRule="exact"/>
        <w:ind w:firstLine="0"/>
        <w:jc w:val="both"/>
      </w:pPr>
      <w:r>
        <w:rPr>
          <w:b/>
          <w:color w:val="0066CC"/>
        </w:rPr>
        <w:t>The infection may track into the perianal, ischiorectal, intersphincteric, or supralevator spaces, depending on the path of least resistance.</w:t>
      </w:r>
    </w:p>
    <w:p>
      <w:pPr>
        <w:pStyle w:val="BodyText"/>
        <w:spacing w:before="163"/>
        <w:ind w:left="478" w:firstLine="0"/>
        <w:jc w:val="both"/>
      </w:pPr>
      <w:r>
        <w:rPr>
          <w:b/>
          <w:color w:val="0066CC"/>
        </w:rPr>
        <w:t>Mixed aerobic and anaerobic intestinal flora are commonly involved; culture is usually reserved for atypical, recurrent, or immunocompromised cases.</w:t>
      </w:r>
    </w:p>
    <w:p>
      <w:pPr>
        <w:pStyle w:val="BodyText"/>
        <w:spacing w:line="360" w:lineRule="auto" w:before="160"/>
        <w:ind w:left="478" w:right="1063" w:firstLine="0"/>
        <w:jc w:val="both"/>
      </w:pPr>
      <w:r>
        <w:rPr>
          <w:b/>
          <w:color w:val="0066CC"/>
        </w:rPr>
        <w:t>If the abscess drains spontaneously or is incompletely treated, a persistent epithelialized tract may develop and later present as an anal fistula.</w:t>
      </w:r>
    </w:p>
    <w:p>
      <w:pPr>
        <w:pStyle w:val="BodyText"/>
        <w:ind w:left="751" w:firstLine="0"/>
        <w:rPr>
          <w:sz w:val="20"/>
        </w:rPr>
      </w:pPr>
      <w:r>
        <w:rPr>
          <w:sz w:val="20"/>
        </w:rPr>
        <w:drawing>
          <wp:inline distT="0" distB="0" distL="0" distR="0">
            <wp:extent cx="5604082" cy="2371725"/>
            <wp:effectExtent l="0" t="0" r="0" b="0"/>
            <wp:docPr id="3" name="image6.jpeg"/>
            <wp:cNvGraphicFramePr>
              <a:graphicFrameLocks noChangeAspect="1"/>
            </wp:cNvGraphicFramePr>
            <a:graphic>
              <a:graphicData uri="http://schemas.openxmlformats.org/drawingml/2006/picture">
                <pic:pic>
                  <pic:nvPicPr>
                    <pic:cNvPr id="4" name="image6.jpeg"/>
                    <pic:cNvPicPr/>
                  </pic:nvPicPr>
                  <pic:blipFill>
                    <a:blip r:embed="rId12" cstate="print"/>
                    <a:stretch>
                      <a:fillRect/>
                    </a:stretch>
                  </pic:blipFill>
                  <pic:spPr>
                    <a:xfrm>
                      <a:off x="0" y="0"/>
                      <a:ext cx="5604082" cy="2371725"/>
                    </a:xfrm>
                    <a:prstGeom prst="rect">
                      <a:avLst/>
                    </a:prstGeom>
                  </pic:spPr>
                </pic:pic>
              </a:graphicData>
            </a:graphic>
          </wp:inline>
        </w:drawing>
      </w:r>
      <w:r>
        <w:rPr>
          <w:sz w:val="20"/>
        </w:rPr>
      </w:r>
    </w:p>
    <w:p>
      <w:pPr>
        <w:spacing w:after="0"/>
        <w:rPr>
          <w:sz w:val="20"/>
        </w:rPr>
        <w:sectPr>
          <w:pgSz w:w="12240" w:h="15840"/>
          <w:pgMar w:header="0" w:footer="854" w:top="1440" w:bottom="1040" w:left="940" w:right="360"/>
        </w:sectPr>
      </w:pPr>
    </w:p>
    <w:p>
      <w:pPr>
        <w:pStyle w:val="Heading3"/>
        <w:rPr>
          <w:i/>
          <w:u w:val="none"/>
        </w:rPr>
      </w:pPr>
      <w:r>
        <w:rPr>
          <w:b/>
          <w:color w:val="0066CC"/>
        </w:rPr>
        <w:t>Risk factors</w:t>
      </w:r>
    </w:p>
    <w:p>
      <w:pPr>
        <w:pStyle w:val="BodyText"/>
        <w:spacing w:line="360" w:lineRule="auto" w:before="160"/>
        <w:ind w:left="478" w:right="1055" w:firstLine="0"/>
      </w:pPr>
      <w:r>
        <w:rPr>
          <w:b/>
          <w:color w:val="0066CC"/>
        </w:rPr>
        <w:t>Important risk factors include Crohn's disease, diabetes mellitus, immunosuppression, local trauma, prior anorectal infection, tuberculosis or other atypical infection, and conditions associated with poor wound healing.</w:t>
      </w:r>
    </w:p>
    <w:p>
      <w:pPr>
        <w:pStyle w:val="Heading3"/>
        <w:spacing w:before="1"/>
        <w:rPr>
          <w:i/>
          <w:u w:val="none"/>
        </w:rPr>
      </w:pPr>
      <w:r>
        <w:rPr>
          <w:b/>
          <w:color w:val="0066CC"/>
        </w:rPr>
        <w:t>Clinical features</w:t>
      </w:r>
    </w:p>
    <w:p>
      <w:pPr>
        <w:pStyle w:val="ListParagraph"/>
        <w:numPr>
          <w:ilvl w:val="0"/>
          <w:numId w:val="7"/>
        </w:numPr>
        <w:tabs>
          <w:tab w:pos="1199" w:val="left" w:leader="none"/>
        </w:tabs>
        <w:spacing w:line="240" w:lineRule="auto" w:before="161" w:after="0"/>
        <w:ind w:left="1198" w:right="0" w:hanging="361"/>
        <w:jc w:val="left"/>
        <w:rPr>
          <w:sz w:val="28"/>
        </w:rPr>
      </w:pPr>
      <w:r>
        <w:rPr>
          <w:b/>
          <w:color w:val="0066CC"/>
        </w:rPr>
        <w:t>Severe, constant throbbing anal or perianal pain that worsens with sitting, walking, coughing, or defecation.</w:t>
      </w:r>
    </w:p>
    <w:p>
      <w:pPr>
        <w:pStyle w:val="ListParagraph"/>
        <w:numPr>
          <w:ilvl w:val="0"/>
          <w:numId w:val="7"/>
        </w:numPr>
        <w:tabs>
          <w:tab w:pos="1199" w:val="left" w:leader="none"/>
        </w:tabs>
        <w:spacing w:line="240" w:lineRule="auto" w:before="137" w:after="0"/>
        <w:ind w:left="1198" w:right="0" w:hanging="361"/>
        <w:jc w:val="left"/>
        <w:rPr>
          <w:sz w:val="28"/>
        </w:rPr>
      </w:pPr>
      <w:r>
        <w:rPr>
          <w:b/>
          <w:color w:val="0066CC"/>
        </w:rPr>
        <w:t>Localized erythema, swelling, tenderness, warmth, or a fluctuant mass; deep abscesses may have less obvious external findings.</w:t>
      </w:r>
    </w:p>
    <w:p>
      <w:pPr>
        <w:pStyle w:val="ListParagraph"/>
        <w:numPr>
          <w:ilvl w:val="0"/>
          <w:numId w:val="7"/>
        </w:numPr>
        <w:tabs>
          <w:tab w:pos="1199" w:val="left" w:leader="none"/>
        </w:tabs>
        <w:spacing w:line="240" w:lineRule="auto" w:before="137" w:after="0"/>
        <w:ind w:left="1198" w:right="0" w:hanging="361"/>
        <w:jc w:val="left"/>
        <w:rPr>
          <w:sz w:val="28"/>
        </w:rPr>
      </w:pPr>
      <w:r>
        <w:rPr>
          <w:b/>
          <w:color w:val="0066CC"/>
        </w:rPr>
        <w:t>Purulent drainage or perianal soilage if spontaneous rupture occurs.</w:t>
      </w:r>
    </w:p>
    <w:p>
      <w:pPr>
        <w:pStyle w:val="ListParagraph"/>
        <w:numPr>
          <w:ilvl w:val="0"/>
          <w:numId w:val="7"/>
        </w:numPr>
        <w:tabs>
          <w:tab w:pos="1199" w:val="left" w:leader="none"/>
        </w:tabs>
        <w:spacing w:line="336" w:lineRule="auto" w:before="137" w:after="0"/>
        <w:ind w:left="1198" w:right="1061" w:hanging="360"/>
        <w:jc w:val="left"/>
        <w:rPr>
          <w:sz w:val="28"/>
        </w:rPr>
      </w:pPr>
      <w:r>
        <w:rPr>
          <w:b/>
          <w:color w:val="0066CC"/>
        </w:rPr>
        <w:t>Fever, malaise, tachycardia, or sepsis may occur, especially in deep, delayed, or immunocompromised presentations.</w:t>
      </w:r>
    </w:p>
    <w:p>
      <w:pPr>
        <w:pStyle w:val="Heading3"/>
        <w:spacing w:before="42"/>
        <w:ind w:left="838"/>
        <w:rPr>
          <w:i/>
          <w:u w:val="none"/>
        </w:rPr>
      </w:pPr>
      <w:r>
        <w:rPr>
          <w:b/>
          <w:color w:val="0066CC"/>
        </w:rPr>
        <w:t>Complications</w:t>
      </w:r>
    </w:p>
    <w:p>
      <w:pPr>
        <w:pStyle w:val="ListParagraph"/>
        <w:numPr>
          <w:ilvl w:val="1"/>
          <w:numId w:val="6"/>
        </w:numPr>
        <w:tabs>
          <w:tab w:pos="1559" w:val="left" w:leader="none"/>
        </w:tabs>
        <w:spacing w:line="240" w:lineRule="auto" w:before="161" w:after="0"/>
        <w:ind w:left="1558" w:right="0" w:hanging="361"/>
        <w:jc w:val="left"/>
        <w:rPr>
          <w:color w:val="1F2023"/>
          <w:sz w:val="28"/>
        </w:rPr>
      </w:pPr>
      <w:r>
        <w:rPr>
          <w:b/>
          <w:color w:val="0066CC"/>
        </w:rPr>
        <w:t>Fistula-in-ano.</w:t>
      </w:r>
    </w:p>
    <w:p>
      <w:pPr>
        <w:pStyle w:val="ListParagraph"/>
        <w:numPr>
          <w:ilvl w:val="1"/>
          <w:numId w:val="6"/>
        </w:numPr>
        <w:tabs>
          <w:tab w:pos="1559" w:val="left" w:leader="none"/>
        </w:tabs>
        <w:spacing w:line="240" w:lineRule="auto" w:before="47" w:after="0"/>
        <w:ind w:left="1558" w:right="0" w:hanging="361"/>
        <w:jc w:val="left"/>
        <w:rPr>
          <w:color w:val="1F2023"/>
          <w:sz w:val="28"/>
        </w:rPr>
      </w:pPr>
      <w:r>
        <w:rPr>
          <w:b/>
          <w:color w:val="0066CC"/>
        </w:rPr>
        <w:t>Local extension with recurrent or persistent sepsis.</w:t>
      </w:r>
    </w:p>
    <w:p>
      <w:pPr>
        <w:pStyle w:val="ListParagraph"/>
        <w:numPr>
          <w:ilvl w:val="1"/>
          <w:numId w:val="6"/>
        </w:numPr>
        <w:tabs>
          <w:tab w:pos="1559" w:val="left" w:leader="none"/>
        </w:tabs>
        <w:spacing w:line="240" w:lineRule="auto" w:before="50" w:after="0"/>
        <w:ind w:left="1558" w:right="0" w:hanging="361"/>
        <w:jc w:val="left"/>
        <w:rPr>
          <w:color w:val="1F2023"/>
          <w:sz w:val="28"/>
        </w:rPr>
      </w:pPr>
      <w:r>
        <w:rPr>
          <w:b/>
          <w:color w:val="0066CC"/>
        </w:rPr>
        <w:t>Rarely, necrotizing soft-tissue infection or systemic sepsis.</w:t>
      </w:r>
    </w:p>
    <w:p>
      <w:pPr>
        <w:pStyle w:val="ListParagraph"/>
        <w:numPr>
          <w:ilvl w:val="1"/>
          <w:numId w:val="6"/>
        </w:numPr>
        <w:tabs>
          <w:tab w:pos="1559" w:val="left" w:leader="none"/>
        </w:tabs>
        <w:spacing w:line="240" w:lineRule="auto" w:before="48" w:after="0"/>
        <w:ind w:left="1558" w:right="0" w:hanging="361"/>
        <w:jc w:val="left"/>
        <w:rPr>
          <w:sz w:val="28"/>
        </w:rPr>
      </w:pPr>
      <w:r>
        <w:rPr>
          <w:b/>
          <w:color w:val="0066CC"/>
        </w:rPr>
        <w:t>Delayed healing, especially in patients with diabetes, Crohn's disease, or immunosuppression.</w:t>
      </w:r>
    </w:p>
    <w:p>
      <w:pPr>
        <w:pStyle w:val="Heading3"/>
        <w:spacing w:before="48"/>
        <w:rPr>
          <w:i/>
          <w:u w:val="none"/>
        </w:rPr>
      </w:pPr>
      <w:r>
        <w:rPr>
          <w:b/>
          <w:color w:val="0066CC"/>
        </w:rPr>
        <w:t>Management</w:t>
      </w:r>
    </w:p>
    <w:p>
      <w:pPr>
        <w:pStyle w:val="ListParagraph"/>
        <w:numPr>
          <w:ilvl w:val="0"/>
          <w:numId w:val="8"/>
        </w:numPr>
        <w:tabs>
          <w:tab w:pos="1199" w:val="left" w:leader="none"/>
        </w:tabs>
        <w:spacing w:line="240" w:lineRule="auto" w:before="162" w:after="0"/>
        <w:ind w:left="1198" w:right="0" w:hanging="361"/>
        <w:jc w:val="both"/>
        <w:rPr>
          <w:b/>
          <w:sz w:val="28"/>
        </w:rPr>
      </w:pPr>
      <w:r>
        <w:rPr>
          <w:b/>
          <w:color w:val="0066CC"/>
        </w:rPr>
        <w:t>Diagnosis is based primarily on history and anorectal examination; digital rectal examination may be limited by pain, and imaging is reserved for deep, recurrent, or complex disease.</w:t>
      </w:r>
    </w:p>
    <w:p>
      <w:pPr>
        <w:pStyle w:val="ListParagraph"/>
        <w:numPr>
          <w:ilvl w:val="0"/>
          <w:numId w:val="8"/>
        </w:numPr>
        <w:tabs>
          <w:tab w:pos="1199" w:val="left" w:leader="none"/>
        </w:tabs>
        <w:spacing w:line="360" w:lineRule="auto" w:before="161" w:after="0"/>
        <w:ind w:left="1198" w:right="1054" w:hanging="360"/>
        <w:jc w:val="both"/>
        <w:rPr>
          <w:b/>
          <w:sz w:val="28"/>
        </w:rPr>
      </w:pPr>
      <w:r>
        <w:rPr>
          <w:b/>
          <w:color w:val="0066CC"/>
        </w:rPr>
        <w:t>Prompt incision and drainage is the definitive treatment. Antibiotics are not required routinely after uncomplicated drainage but are indicated when cellulitis, systemic infection, immunosuppression, valvular heart disease, or extensive tissue involvement is present.</w:t>
      </w:r>
    </w:p>
    <w:p>
      <w:pPr>
        <w:pStyle w:val="ListParagraph"/>
        <w:numPr>
          <w:ilvl w:val="0"/>
          <w:numId w:val="8"/>
        </w:numPr>
        <w:tabs>
          <w:tab w:pos="1199" w:val="left" w:leader="none"/>
        </w:tabs>
        <w:spacing w:line="360" w:lineRule="auto" w:before="0" w:after="0"/>
        <w:ind w:left="1198" w:right="1052" w:hanging="360"/>
        <w:jc w:val="both"/>
        <w:rPr>
          <w:sz w:val="28"/>
        </w:rPr>
      </w:pPr>
      <w:r>
        <w:rPr>
          <w:b/>
          <w:color w:val="0066CC"/>
        </w:rPr>
        <w:t>Drainage may be performed under local anesthesia for a superficial abscess, whereas deep or complex abscesses usually require examination under anesthesia in the operating room.</w:t>
      </w:r>
    </w:p>
    <w:p>
      <w:pPr>
        <w:pStyle w:val="ListParagraph"/>
        <w:numPr>
          <w:ilvl w:val="0"/>
          <w:numId w:val="8"/>
        </w:numPr>
        <w:tabs>
          <w:tab w:pos="1199" w:val="left" w:leader="none"/>
        </w:tabs>
        <w:spacing w:line="360" w:lineRule="auto" w:before="0" w:after="0"/>
        <w:ind w:left="1198" w:right="1063" w:hanging="360"/>
        <w:jc w:val="both"/>
        <w:rPr>
          <w:sz w:val="28"/>
        </w:rPr>
      </w:pPr>
      <w:r>
        <w:rPr>
          <w:b/>
          <w:color w:val="0066CC"/>
        </w:rPr>
        <w:t>Patients need follow-up because a fistula may already be present or may develop during healing.</w:t>
      </w:r>
    </w:p>
    <w:p>
      <w:pPr>
        <w:pStyle w:val="Heading3"/>
        <w:spacing w:line="321" w:lineRule="exact" w:before="0"/>
        <w:jc w:val="both"/>
        <w:rPr>
          <w:i/>
          <w:u w:val="none"/>
        </w:rPr>
      </w:pPr>
      <w:r>
        <w:rPr>
          <w:b/>
          <w:color w:val="0066CC"/>
        </w:rPr>
        <w:t>Nursing care</w:t>
      </w:r>
    </w:p>
    <w:p>
      <w:pPr>
        <w:pStyle w:val="ListParagraph"/>
        <w:numPr>
          <w:ilvl w:val="0"/>
          <w:numId w:val="7"/>
        </w:numPr>
        <w:tabs>
          <w:tab w:pos="1199" w:val="left" w:leader="none"/>
        </w:tabs>
        <w:spacing w:line="240" w:lineRule="auto" w:before="163" w:after="0"/>
        <w:ind w:left="1198" w:right="0" w:hanging="361"/>
        <w:jc w:val="left"/>
        <w:rPr>
          <w:sz w:val="28"/>
        </w:rPr>
      </w:pPr>
      <w:r>
        <w:rPr>
          <w:b/>
          <w:color w:val="0066CC"/>
        </w:rPr>
        <w:t>Assess pain, temperature, wound drainage, and surrounding skin; report increasing pain, fever, foul odor, or new bleeding promptly.</w:t>
      </w:r>
    </w:p>
    <w:p>
      <w:pPr>
        <w:pStyle w:val="ListParagraph"/>
        <w:numPr>
          <w:ilvl w:val="0"/>
          <w:numId w:val="7"/>
        </w:numPr>
        <w:tabs>
          <w:tab w:pos="1199" w:val="left" w:leader="none"/>
        </w:tabs>
        <w:spacing w:line="240" w:lineRule="auto" w:before="137" w:after="0"/>
        <w:ind w:left="1198" w:right="0" w:hanging="361"/>
        <w:jc w:val="left"/>
        <w:rPr>
          <w:sz w:val="28"/>
        </w:rPr>
      </w:pPr>
      <w:r>
        <w:rPr>
          <w:b/>
          <w:color w:val="0066CC"/>
        </w:rPr>
        <w:t>Provide prescribed analgesia, encourage warm sitz baths after the acute drainage period, and support gentle cleansing and careful drying of the perianal area.</w:t>
      </w:r>
    </w:p>
    <w:p>
      <w:pPr>
        <w:pStyle w:val="ListParagraph"/>
        <w:numPr>
          <w:ilvl w:val="0"/>
          <w:numId w:val="7"/>
        </w:numPr>
        <w:tabs>
          <w:tab w:pos="1199" w:val="left" w:leader="none"/>
        </w:tabs>
        <w:spacing w:line="240" w:lineRule="auto" w:before="137" w:after="0"/>
        <w:ind w:left="1198" w:right="0" w:hanging="361"/>
        <w:jc w:val="left"/>
        <w:rPr>
          <w:sz w:val="28"/>
        </w:rPr>
      </w:pPr>
      <w:r>
        <w:rPr>
          <w:b/>
          <w:color w:val="0066CC"/>
        </w:rPr>
        <w:t>Promote soft stools with adequate fluids, fiber, and stool softeners as prescribed, and reinforce the importance of follow-up for recurrent drainage or fistula formation.</w:t>
      </w:r>
    </w:p>
    <w:p>
      <w:pPr>
        <w:spacing w:after="0" w:line="240" w:lineRule="auto"/>
        <w:jc w:val="left"/>
        <w:rPr>
          <w:sz w:val="28"/>
        </w:rPr>
        <w:sectPr>
          <w:pgSz w:w="12240" w:h="15840"/>
          <w:pgMar w:header="0" w:footer="854" w:top="1360" w:bottom="1040" w:left="940" w:right="360"/>
        </w:sectPr>
      </w:pPr>
    </w:p>
    <w:p>
      <w:pPr>
        <w:pStyle w:val="Heading1"/>
        <w:spacing w:before="57"/>
        <w:ind w:firstLine="0"/>
        <w:rPr>
          <w:i/>
          <w:u w:val="none"/>
        </w:rPr>
      </w:pPr>
      <w:r>
        <w:rPr>
          <w:b/>
          <w:color w:val="0066CC"/>
        </w:rPr>
        <w:t>Anal fistula</w:t>
      </w:r>
    </w:p>
    <w:p>
      <w:pPr>
        <w:pStyle w:val="BodyText"/>
        <w:spacing w:line="360" w:lineRule="auto" w:before="186"/>
        <w:ind w:left="478" w:right="1055" w:firstLine="0"/>
      </w:pPr>
      <w:r>
        <w:rPr>
          <w:b/>
          <w:color w:val="0066CC"/>
        </w:rPr>
        <w:t>An anal fistula is an abnormal tract connecting the anal canal or rectum to the perianal skin. Most arise after a cryptoglandular abscess, although Crohn's disease, trauma, malignancy, radiation, and obstetric or surgical injury are also possible causes.</w:t>
      </w:r>
    </w:p>
    <w:p>
      <w:pPr>
        <w:pStyle w:val="Heading3"/>
        <w:spacing w:before="189"/>
        <w:rPr>
          <w:i/>
          <w:u w:val="none"/>
        </w:rPr>
      </w:pPr>
      <w:r>
        <w:rPr>
          <w:b/>
          <w:color w:val="0066CC"/>
        </w:rPr>
        <w:t>Risk factors</w:t>
      </w:r>
    </w:p>
    <w:p>
      <w:pPr>
        <w:pStyle w:val="ListParagraph"/>
        <w:numPr>
          <w:ilvl w:val="0"/>
          <w:numId w:val="9"/>
        </w:numPr>
        <w:tabs>
          <w:tab w:pos="1198" w:val="left" w:leader="none"/>
          <w:tab w:pos="1199" w:val="left" w:leader="none"/>
        </w:tabs>
        <w:spacing w:line="240" w:lineRule="auto" w:before="162" w:after="0"/>
        <w:ind w:left="1198" w:right="0" w:hanging="361"/>
        <w:jc w:val="left"/>
        <w:rPr>
          <w:sz w:val="28"/>
        </w:rPr>
      </w:pPr>
      <w:r>
        <w:rPr>
          <w:b/>
          <w:color w:val="0066CC"/>
        </w:rPr>
        <w:t>Previous anorectal abscess.</w:t>
      </w:r>
    </w:p>
    <w:p>
      <w:pPr>
        <w:pStyle w:val="ListParagraph"/>
        <w:numPr>
          <w:ilvl w:val="0"/>
          <w:numId w:val="9"/>
        </w:numPr>
        <w:tabs>
          <w:tab w:pos="1198" w:val="left" w:leader="none"/>
          <w:tab w:pos="1199" w:val="left" w:leader="none"/>
        </w:tabs>
        <w:spacing w:line="240" w:lineRule="auto" w:before="153" w:after="0"/>
        <w:ind w:left="1198" w:right="0" w:hanging="361"/>
        <w:jc w:val="left"/>
        <w:rPr>
          <w:sz w:val="28"/>
        </w:rPr>
      </w:pPr>
      <w:r>
        <w:rPr>
          <w:b/>
          <w:color w:val="0066CC"/>
        </w:rPr>
        <w:t>Crohn's disease or chronic anorectal inflammation.</w:t>
      </w:r>
    </w:p>
    <w:p>
      <w:pPr>
        <w:pStyle w:val="ListParagraph"/>
        <w:numPr>
          <w:ilvl w:val="0"/>
          <w:numId w:val="9"/>
        </w:numPr>
        <w:tabs>
          <w:tab w:pos="1198" w:val="left" w:leader="none"/>
          <w:tab w:pos="1199" w:val="left" w:leader="none"/>
        </w:tabs>
        <w:spacing w:line="240" w:lineRule="auto" w:before="153" w:after="0"/>
        <w:ind w:left="1198" w:right="0" w:hanging="361"/>
        <w:jc w:val="left"/>
        <w:rPr>
          <w:sz w:val="28"/>
        </w:rPr>
      </w:pPr>
      <w:r>
        <w:rPr>
          <w:b/>
          <w:color w:val="0066CC"/>
        </w:rPr>
        <w:t>Trauma, surgery, radiation, or obstetric injury.</w:t>
      </w:r>
    </w:p>
    <w:p>
      <w:pPr>
        <w:pStyle w:val="ListParagraph"/>
        <w:numPr>
          <w:ilvl w:val="0"/>
          <w:numId w:val="9"/>
        </w:numPr>
        <w:tabs>
          <w:tab w:pos="1198" w:val="left" w:leader="none"/>
          <w:tab w:pos="1199" w:val="left" w:leader="none"/>
        </w:tabs>
        <w:spacing w:line="240" w:lineRule="auto" w:before="150" w:after="0"/>
        <w:ind w:left="1198" w:right="0" w:hanging="361"/>
        <w:jc w:val="left"/>
        <w:rPr>
          <w:sz w:val="28"/>
        </w:rPr>
      </w:pPr>
      <w:r>
        <w:rPr>
          <w:b/>
          <w:color w:val="0066CC"/>
        </w:rPr>
        <w:t>Tuberculosis, malignancy, or other less common secondary causes.</w:t>
      </w:r>
    </w:p>
    <w:p>
      <w:pPr>
        <w:pStyle w:val="Heading3"/>
        <w:spacing w:before="152"/>
        <w:rPr>
          <w:i w:val="0"/>
          <w:u w:val="none"/>
        </w:rPr>
      </w:pPr>
      <w:r>
        <w:rPr>
          <w:b/>
          <w:color w:val="0066CC"/>
        </w:rPr>
        <w:t>Clinical features</w:t>
      </w:r>
    </w:p>
    <w:p>
      <w:pPr>
        <w:pStyle w:val="ListParagraph"/>
        <w:numPr>
          <w:ilvl w:val="0"/>
          <w:numId w:val="10"/>
        </w:numPr>
        <w:tabs>
          <w:tab w:pos="1199" w:val="left" w:leader="none"/>
        </w:tabs>
        <w:spacing w:line="355" w:lineRule="auto" w:before="162" w:after="0"/>
        <w:ind w:left="1198" w:right="1061" w:hanging="360"/>
        <w:jc w:val="both"/>
        <w:rPr>
          <w:rFonts w:ascii="Symbol" w:hAnsi="Symbol"/>
          <w:sz w:val="28"/>
        </w:rPr>
      </w:pPr>
      <w:r>
        <w:rPr>
          <w:b/>
          <w:color w:val="0066CC"/>
        </w:rPr>
        <w:t>Persistent or intermittent purulent drainage, perianal irritation, recurrent swelling or pain, and a visible external opening; some patients report passage of flatus or stool through an abnormal tract in complex fistulas.</w:t>
      </w:r>
    </w:p>
    <w:p>
      <w:pPr>
        <w:pStyle w:val="Heading3"/>
        <w:spacing w:before="9"/>
        <w:ind w:left="838"/>
        <w:rPr>
          <w:i/>
          <w:u w:val="none"/>
        </w:rPr>
      </w:pPr>
      <w:r>
        <w:rPr>
          <w:b/>
          <w:color w:val="0066CC"/>
        </w:rPr>
        <w:t>Complications</w:t>
      </w:r>
    </w:p>
    <w:p>
      <w:pPr>
        <w:pStyle w:val="ListParagraph"/>
        <w:numPr>
          <w:ilvl w:val="0"/>
          <w:numId w:val="10"/>
        </w:numPr>
        <w:tabs>
          <w:tab w:pos="1198" w:val="left" w:leader="none"/>
          <w:tab w:pos="1199" w:val="left" w:leader="none"/>
        </w:tabs>
        <w:spacing w:line="240" w:lineRule="auto" w:before="162" w:after="0"/>
        <w:ind w:left="1198" w:right="0" w:hanging="361"/>
        <w:jc w:val="left"/>
        <w:rPr>
          <w:rFonts w:ascii="Symbol" w:hAnsi="Symbol"/>
          <w:color w:val="333333"/>
          <w:sz w:val="28"/>
        </w:rPr>
      </w:pPr>
      <w:r>
        <w:rPr>
          <w:b/>
          <w:color w:val="0066CC"/>
        </w:rPr>
        <w:t>Recurrent infection or abscess formation.</w:t>
      </w:r>
    </w:p>
    <w:p>
      <w:pPr>
        <w:pStyle w:val="ListParagraph"/>
        <w:numPr>
          <w:ilvl w:val="0"/>
          <w:numId w:val="10"/>
        </w:numPr>
        <w:tabs>
          <w:tab w:pos="1198" w:val="left" w:leader="none"/>
          <w:tab w:pos="1199" w:val="left" w:leader="none"/>
        </w:tabs>
        <w:spacing w:line="240" w:lineRule="auto" w:before="159" w:after="0"/>
        <w:ind w:left="1198" w:right="0" w:hanging="361"/>
        <w:jc w:val="left"/>
        <w:rPr>
          <w:rFonts w:ascii="Symbol" w:hAnsi="Symbol"/>
          <w:color w:val="333333"/>
          <w:sz w:val="28"/>
        </w:rPr>
      </w:pPr>
      <w:r>
        <w:rPr>
          <w:b/>
          <w:color w:val="0066CC"/>
        </w:rPr>
        <w:t>Impaired continence when the sphincter complex is involved or repeatedly injured.</w:t>
      </w:r>
    </w:p>
    <w:p>
      <w:pPr>
        <w:pStyle w:val="ListParagraph"/>
        <w:numPr>
          <w:ilvl w:val="0"/>
          <w:numId w:val="10"/>
        </w:numPr>
        <w:tabs>
          <w:tab w:pos="1198" w:val="left" w:leader="none"/>
          <w:tab w:pos="1199" w:val="left" w:leader="none"/>
        </w:tabs>
        <w:spacing w:line="240" w:lineRule="auto" w:before="161" w:after="0"/>
        <w:ind w:left="1198" w:right="0" w:hanging="361"/>
        <w:jc w:val="left"/>
        <w:rPr>
          <w:rFonts w:ascii="Symbol" w:hAnsi="Symbol"/>
          <w:color w:val="333333"/>
          <w:sz w:val="28"/>
        </w:rPr>
      </w:pPr>
      <w:r>
        <w:rPr>
          <w:b/>
          <w:color w:val="0066CC"/>
        </w:rPr>
        <w:t>Recurrence after treatment, especially in complex fistulas or Crohn's disease.</w:t>
      </w:r>
    </w:p>
    <w:p>
      <w:pPr>
        <w:pStyle w:val="Heading3"/>
        <w:spacing w:before="160"/>
        <w:rPr>
          <w:i/>
          <w:u w:val="none"/>
        </w:rPr>
      </w:pPr>
      <w:r>
        <w:rPr>
          <w:b/>
          <w:color w:val="0066CC"/>
        </w:rPr>
        <w:t>Management</w:t>
      </w:r>
    </w:p>
    <w:p>
      <w:pPr>
        <w:pStyle w:val="ListParagraph"/>
        <w:numPr>
          <w:ilvl w:val="0"/>
          <w:numId w:val="11"/>
        </w:numPr>
        <w:tabs>
          <w:tab w:pos="1199" w:val="left" w:leader="none"/>
        </w:tabs>
        <w:spacing w:line="240" w:lineRule="auto" w:before="160" w:after="0"/>
        <w:ind w:left="1198" w:right="0" w:hanging="361"/>
        <w:jc w:val="left"/>
        <w:rPr>
          <w:sz w:val="28"/>
        </w:rPr>
      </w:pPr>
      <w:r>
        <w:rPr>
          <w:b/>
          <w:color w:val="0066CC"/>
        </w:rPr>
        <w:t>Assessment includes inspection, gentle digital rectal examination when tolerated, anoscopy, and imaging such as MRI or endoanal ultrasonography for complex or recurrent fistulas.</w:t>
      </w:r>
    </w:p>
    <w:p>
      <w:pPr>
        <w:spacing w:after="0" w:line="240" w:lineRule="auto"/>
        <w:jc w:val="left"/>
        <w:rPr>
          <w:sz w:val="28"/>
        </w:rPr>
        <w:sectPr>
          <w:pgSz w:w="12240" w:h="15840"/>
          <w:pgMar w:header="0" w:footer="854" w:top="1360" w:bottom="1040" w:left="940" w:right="360"/>
        </w:sectPr>
      </w:pPr>
    </w:p>
    <w:p>
      <w:pPr>
        <w:pStyle w:val="ListParagraph"/>
        <w:numPr>
          <w:ilvl w:val="0"/>
          <w:numId w:val="11"/>
        </w:numPr>
        <w:tabs>
          <w:tab w:pos="1199" w:val="left" w:leader="none"/>
        </w:tabs>
        <w:spacing w:line="360" w:lineRule="auto" w:before="79" w:after="0"/>
        <w:ind w:left="1198" w:right="1051" w:hanging="360"/>
        <w:jc w:val="both"/>
        <w:rPr>
          <w:sz w:val="28"/>
        </w:rPr>
      </w:pPr>
      <w:r>
        <w:rPr>
          <w:b/>
          <w:color w:val="0066CC"/>
        </w:rPr>
        <w:t>Medical therapy alone does not usually cure a cryptoglandular fistula; antibiotics may be used temporarily for associated infection, and biologic therapy may be needed for Crohn's-related fistulas.</w:t>
      </w:r>
    </w:p>
    <w:p>
      <w:pPr>
        <w:pStyle w:val="ListParagraph"/>
        <w:numPr>
          <w:ilvl w:val="0"/>
          <w:numId w:val="11"/>
        </w:numPr>
        <w:tabs>
          <w:tab w:pos="1199" w:val="left" w:leader="none"/>
        </w:tabs>
        <w:spacing w:line="360" w:lineRule="auto" w:before="0" w:after="0"/>
        <w:ind w:left="1198" w:right="1056" w:hanging="360"/>
        <w:jc w:val="both"/>
        <w:rPr>
          <w:sz w:val="28"/>
        </w:rPr>
      </w:pPr>
      <w:r>
        <w:rPr>
          <w:b/>
          <w:color w:val="0066CC"/>
        </w:rPr>
        <w:t>Surgical options are selected according to fistula anatomy and continence risk and may include fistulotomy, seton placement, advancement flap, or ligation of the intersphincteric fistula tract (LIFT).</w:t>
      </w:r>
    </w:p>
    <w:p>
      <w:pPr>
        <w:pStyle w:val="Heading3"/>
        <w:spacing w:before="0"/>
        <w:jc w:val="both"/>
        <w:rPr>
          <w:i/>
          <w:u w:val="none"/>
        </w:rPr>
      </w:pPr>
      <w:r>
        <w:rPr>
          <w:b/>
          <w:color w:val="0066CC"/>
        </w:rPr>
        <w:t>Nursing care</w:t>
      </w:r>
    </w:p>
    <w:p>
      <w:pPr>
        <w:pStyle w:val="ListParagraph"/>
        <w:numPr>
          <w:ilvl w:val="0"/>
          <w:numId w:val="12"/>
        </w:numPr>
        <w:tabs>
          <w:tab w:pos="1199" w:val="left" w:leader="none"/>
        </w:tabs>
        <w:spacing w:line="240" w:lineRule="auto" w:before="160" w:after="0"/>
        <w:ind w:left="1198" w:right="0" w:hanging="361"/>
        <w:jc w:val="both"/>
        <w:rPr>
          <w:sz w:val="28"/>
        </w:rPr>
      </w:pPr>
      <w:r>
        <w:rPr>
          <w:b/>
          <w:color w:val="0066CC"/>
        </w:rPr>
        <w:t>Observe the amount, color, odor, and frequency of drainage and assess the surrounding skin for maceration.</w:t>
      </w:r>
    </w:p>
    <w:p>
      <w:pPr>
        <w:pStyle w:val="ListParagraph"/>
        <w:numPr>
          <w:ilvl w:val="0"/>
          <w:numId w:val="12"/>
        </w:numPr>
        <w:tabs>
          <w:tab w:pos="1199" w:val="left" w:leader="none"/>
        </w:tabs>
        <w:spacing w:line="240" w:lineRule="auto" w:before="160" w:after="0"/>
        <w:ind w:left="1198" w:right="0" w:hanging="361"/>
        <w:jc w:val="both"/>
        <w:rPr>
          <w:sz w:val="28"/>
        </w:rPr>
      </w:pPr>
      <w:r>
        <w:rPr>
          <w:b/>
          <w:color w:val="0066CC"/>
        </w:rPr>
        <w:t>Teach meticulous perianal hygiene, regular dressing changes if prescribed, and the use of absorbent pads when needed.</w:t>
      </w:r>
    </w:p>
    <w:p>
      <w:pPr>
        <w:pStyle w:val="ListParagraph"/>
        <w:numPr>
          <w:ilvl w:val="0"/>
          <w:numId w:val="12"/>
        </w:numPr>
        <w:tabs>
          <w:tab w:pos="1199" w:val="left" w:leader="none"/>
        </w:tabs>
        <w:spacing w:line="240" w:lineRule="auto" w:before="164" w:after="0"/>
        <w:ind w:left="1198" w:right="0" w:hanging="361"/>
        <w:jc w:val="left"/>
        <w:rPr>
          <w:sz w:val="28"/>
        </w:rPr>
      </w:pPr>
      <w:r>
        <w:rPr>
          <w:b/>
          <w:color w:val="0066CC"/>
        </w:rPr>
        <w:t>Encourage loose, breathable clothing and careful drying of the area after bathing.</w:t>
      </w:r>
    </w:p>
    <w:p>
      <w:pPr>
        <w:pStyle w:val="ListParagraph"/>
        <w:numPr>
          <w:ilvl w:val="0"/>
          <w:numId w:val="12"/>
        </w:numPr>
        <w:tabs>
          <w:tab w:pos="1199" w:val="left" w:leader="none"/>
        </w:tabs>
        <w:spacing w:line="240" w:lineRule="auto" w:before="160" w:after="0"/>
        <w:ind w:left="1198" w:right="0" w:hanging="361"/>
        <w:jc w:val="left"/>
        <w:rPr>
          <w:sz w:val="28"/>
        </w:rPr>
      </w:pPr>
      <w:r>
        <w:rPr>
          <w:b/>
          <w:color w:val="0066CC"/>
        </w:rPr>
        <w:t>Warm sitz baths may reduce discomfort and improve local cleanliness.</w:t>
      </w:r>
    </w:p>
    <w:p>
      <w:pPr>
        <w:pStyle w:val="ListParagraph"/>
        <w:numPr>
          <w:ilvl w:val="0"/>
          <w:numId w:val="12"/>
        </w:numPr>
        <w:tabs>
          <w:tab w:pos="1199" w:val="left" w:leader="none"/>
        </w:tabs>
        <w:spacing w:line="240" w:lineRule="auto" w:before="160" w:after="0"/>
        <w:ind w:left="1198" w:right="0" w:hanging="361"/>
        <w:jc w:val="left"/>
        <w:rPr>
          <w:sz w:val="28"/>
        </w:rPr>
      </w:pPr>
      <w:r>
        <w:rPr>
          <w:b/>
          <w:color w:val="0066CC"/>
        </w:rPr>
        <w:t>If packing or a drain is used, follow the surgical order exactly and teach the patient not to remove devices unless instructed.</w:t>
      </w:r>
    </w:p>
    <w:p>
      <w:pPr>
        <w:pStyle w:val="ListParagraph"/>
        <w:numPr>
          <w:ilvl w:val="0"/>
          <w:numId w:val="12"/>
        </w:numPr>
        <w:tabs>
          <w:tab w:pos="1199" w:val="left" w:leader="none"/>
        </w:tabs>
        <w:spacing w:line="240" w:lineRule="auto" w:before="161" w:after="0"/>
        <w:ind w:left="1198" w:right="0" w:hanging="361"/>
        <w:jc w:val="left"/>
        <w:rPr>
          <w:sz w:val="28"/>
        </w:rPr>
      </w:pPr>
      <w:r>
        <w:rPr>
          <w:b/>
          <w:color w:val="0066CC"/>
        </w:rPr>
        <w:t>Reduce straining by promoting regular bowel habits and treating constipation early.</w:t>
      </w:r>
    </w:p>
    <w:p>
      <w:pPr>
        <w:pStyle w:val="ListParagraph"/>
        <w:numPr>
          <w:ilvl w:val="0"/>
          <w:numId w:val="12"/>
        </w:numPr>
        <w:tabs>
          <w:tab w:pos="1199" w:val="left" w:leader="none"/>
        </w:tabs>
        <w:spacing w:line="240" w:lineRule="auto" w:before="163" w:after="0"/>
        <w:ind w:left="1198" w:right="0" w:hanging="361"/>
        <w:jc w:val="left"/>
        <w:rPr>
          <w:sz w:val="28"/>
        </w:rPr>
      </w:pPr>
      <w:r>
        <w:rPr>
          <w:b/>
          <w:color w:val="0066CC"/>
        </w:rPr>
        <w:t>Encourage adequate fluid intake and a fiber-rich diet unless contraindicated.</w:t>
      </w:r>
    </w:p>
    <w:p>
      <w:pPr>
        <w:pStyle w:val="ListParagraph"/>
        <w:numPr>
          <w:ilvl w:val="0"/>
          <w:numId w:val="12"/>
        </w:numPr>
        <w:tabs>
          <w:tab w:pos="1199" w:val="left" w:leader="none"/>
        </w:tabs>
        <w:spacing w:line="240" w:lineRule="auto" w:before="160" w:after="0"/>
        <w:ind w:left="1198" w:right="0" w:hanging="361"/>
        <w:jc w:val="left"/>
        <w:rPr>
          <w:sz w:val="28"/>
        </w:rPr>
      </w:pPr>
      <w:r>
        <w:rPr>
          <w:b/>
          <w:color w:val="0066CC"/>
        </w:rPr>
        <w:t>Explain the importance of follow-up because delayed healing or recurrent drainage may indicate persistent fistula activity.</w:t>
      </w:r>
    </w:p>
    <w:p>
      <w:pPr>
        <w:pStyle w:val="BodyText"/>
        <w:ind w:left="0" w:firstLine="0"/>
        <w:rPr>
          <w:sz w:val="30"/>
        </w:rPr>
      </w:pPr>
    </w:p>
    <w:p>
      <w:pPr>
        <w:pStyle w:val="BodyText"/>
        <w:spacing w:before="9"/>
        <w:ind w:left="0" w:firstLine="0"/>
        <w:rPr>
          <w:sz w:val="25"/>
        </w:rPr>
      </w:pPr>
    </w:p>
    <w:p>
      <w:pPr>
        <w:pStyle w:val="Heading1"/>
        <w:numPr>
          <w:ilvl w:val="0"/>
          <w:numId w:val="6"/>
        </w:numPr>
        <w:tabs>
          <w:tab w:pos="1199" w:val="left" w:leader="none"/>
        </w:tabs>
        <w:spacing w:line="240" w:lineRule="auto" w:before="1" w:after="0"/>
        <w:ind w:left="1198" w:right="0" w:hanging="361"/>
        <w:jc w:val="left"/>
        <w:rPr>
          <w:i/>
          <w:u w:val="none"/>
        </w:rPr>
      </w:pPr>
      <w:r>
        <w:rPr>
          <w:b/>
          <w:color w:val="0066CC"/>
        </w:rPr>
        <w:t>Anal fissure</w:t>
      </w:r>
    </w:p>
    <w:p>
      <w:pPr>
        <w:pStyle w:val="BodyText"/>
        <w:spacing w:line="362" w:lineRule="auto" w:before="185"/>
        <w:ind w:left="478" w:right="1055" w:firstLine="0"/>
      </w:pPr>
      <w:r>
        <w:rPr>
          <w:b/>
          <w:color w:val="0066CC"/>
        </w:rPr>
        <w:t>An anal fissure is a linear tear in the anoderm, usually distal to the dentate line. Most fissures occur in the posterior midline; lateral or multiple fissures warrant evaluation for secondary causes such as Crohn's disease, tuberculosis, HIV infection, trauma, or malignancy.</w:t>
      </w:r>
    </w:p>
    <w:p>
      <w:pPr>
        <w:pStyle w:val="BodyText"/>
        <w:spacing w:line="360" w:lineRule="auto" w:after="8"/>
        <w:ind w:left="478" w:right="6787" w:firstLine="0"/>
      </w:pPr>
      <w:r>
        <w:rPr>
          <w:b/>
          <w:color w:val="0066CC"/>
        </w:rPr>
        <w:t>Acute fissures are generally present for less than 6 weeks. Chronic fissures persist beyond 6 weeks and may be associated with a sentinel skin tag, hypertrophied anal papilla, or exposed internal sphincter fibers.</w:t>
      </w:r>
    </w:p>
    <w:p>
      <w:pPr>
        <w:pStyle w:val="BodyText"/>
        <w:ind w:left="1639" w:firstLine="0"/>
        <w:rPr>
          <w:sz w:val="20"/>
        </w:rPr>
      </w:pPr>
      <w:r>
        <w:rPr>
          <w:sz w:val="20"/>
        </w:rPr>
        <w:pict>
          <v:group style="width:354.7pt;height:126pt;mso-position-horizontal-relative:char;mso-position-vertical-relative:line" id="docshapegroup15" coordorigin="0,0" coordsize="7094,2520" alt="Flight collide comment anal fissure stool No way Management Road making  process">
            <v:shape style="position:absolute;left:15;top:14;width:7023;height:2473" type="#_x0000_t75" id="docshape16" alt="Flight collide comment anal fissure stool No way Management Road making  process" stroked="false">
              <v:imagedata r:id="rId16" o:title=""/>
            </v:shape>
            <v:rect style="position:absolute;left:7;top:7;width:7079;height:2505" id="docshape17" filled="false" stroked="true" strokeweight=".75pt" strokecolor="#000000">
              <v:stroke dashstyle="solid"/>
            </v:rect>
          </v:group>
        </w:pict>
      </w:r>
      <w:r>
        <w:rPr>
          <w:sz w:val="20"/>
        </w:rPr>
      </w:r>
    </w:p>
    <w:p>
      <w:pPr>
        <w:spacing w:after="0"/>
        <w:rPr>
          <w:sz w:val="20"/>
        </w:rPr>
        <w:sectPr>
          <w:pgSz w:w="12240" w:h="15840"/>
          <w:pgMar w:header="0" w:footer="854" w:top="1340" w:bottom="1040" w:left="940" w:right="360"/>
        </w:sectPr>
      </w:pPr>
    </w:p>
    <w:p>
      <w:pPr>
        <w:pStyle w:val="Heading3"/>
        <w:rPr>
          <w:i/>
          <w:u w:val="none"/>
        </w:rPr>
      </w:pPr>
      <w:r>
        <w:rPr>
          <w:b/>
          <w:color w:val="0066CC"/>
        </w:rPr>
        <w:t>Risk factors</w:t>
      </w:r>
    </w:p>
    <w:p>
      <w:pPr>
        <w:pStyle w:val="ListParagraph"/>
        <w:numPr>
          <w:ilvl w:val="0"/>
          <w:numId w:val="7"/>
        </w:numPr>
        <w:tabs>
          <w:tab w:pos="1199" w:val="left" w:leader="none"/>
        </w:tabs>
        <w:spacing w:line="240" w:lineRule="auto" w:before="160" w:after="0"/>
        <w:ind w:left="1198" w:right="0" w:hanging="361"/>
        <w:jc w:val="left"/>
        <w:rPr>
          <w:sz w:val="28"/>
        </w:rPr>
      </w:pPr>
      <w:r>
        <w:rPr>
          <w:b/>
          <w:color w:val="0066CC"/>
        </w:rPr>
        <w:t>Passage of hard stool or chronic constipation.</w:t>
      </w:r>
    </w:p>
    <w:p>
      <w:pPr>
        <w:pStyle w:val="ListParagraph"/>
        <w:numPr>
          <w:ilvl w:val="0"/>
          <w:numId w:val="7"/>
        </w:numPr>
        <w:tabs>
          <w:tab w:pos="1199" w:val="left" w:leader="none"/>
        </w:tabs>
        <w:spacing w:line="240" w:lineRule="auto" w:before="137" w:after="0"/>
        <w:ind w:left="1198" w:right="0" w:hanging="361"/>
        <w:jc w:val="left"/>
        <w:rPr>
          <w:sz w:val="28"/>
        </w:rPr>
      </w:pPr>
      <w:r>
        <w:rPr>
          <w:b/>
          <w:color w:val="0066CC"/>
        </w:rPr>
        <w:t>Repeated diarrhea or local irritation.</w:t>
      </w:r>
    </w:p>
    <w:p>
      <w:pPr>
        <w:pStyle w:val="ListParagraph"/>
        <w:numPr>
          <w:ilvl w:val="0"/>
          <w:numId w:val="7"/>
        </w:numPr>
        <w:tabs>
          <w:tab w:pos="1199" w:val="left" w:leader="none"/>
        </w:tabs>
        <w:spacing w:line="240" w:lineRule="auto" w:before="139" w:after="0"/>
        <w:ind w:left="1198" w:right="0" w:hanging="361"/>
        <w:jc w:val="left"/>
        <w:rPr>
          <w:sz w:val="28"/>
        </w:rPr>
      </w:pPr>
      <w:r>
        <w:rPr>
          <w:b/>
          <w:color w:val="0066CC"/>
        </w:rPr>
        <w:t>Inflammatory bowel disease or other secondary anorectal disease.</w:t>
      </w:r>
    </w:p>
    <w:p>
      <w:pPr>
        <w:pStyle w:val="ListParagraph"/>
        <w:numPr>
          <w:ilvl w:val="0"/>
          <w:numId w:val="7"/>
        </w:numPr>
        <w:tabs>
          <w:tab w:pos="1199" w:val="left" w:leader="none"/>
        </w:tabs>
        <w:spacing w:line="240" w:lineRule="auto" w:before="137" w:after="0"/>
        <w:ind w:left="1198" w:right="0" w:hanging="361"/>
        <w:jc w:val="left"/>
        <w:rPr>
          <w:sz w:val="28"/>
        </w:rPr>
      </w:pPr>
      <w:r>
        <w:rPr>
          <w:b/>
          <w:color w:val="0066CC"/>
        </w:rPr>
        <w:t>Childbirth or traumatic anal instrumentation.</w:t>
      </w:r>
    </w:p>
    <w:p>
      <w:pPr>
        <w:pStyle w:val="ListParagraph"/>
        <w:numPr>
          <w:ilvl w:val="0"/>
          <w:numId w:val="7"/>
        </w:numPr>
        <w:tabs>
          <w:tab w:pos="1199" w:val="left" w:leader="none"/>
        </w:tabs>
        <w:spacing w:line="240" w:lineRule="auto" w:before="137" w:after="0"/>
        <w:ind w:left="1198" w:right="0" w:hanging="361"/>
        <w:jc w:val="left"/>
        <w:rPr>
          <w:sz w:val="28"/>
        </w:rPr>
      </w:pPr>
      <w:r>
        <w:rPr>
          <w:b/>
          <w:color w:val="0066CC"/>
        </w:rPr>
        <w:t>Dehydration, low-fiber diet, or prolonged straining.</w:t>
      </w:r>
    </w:p>
    <w:p>
      <w:pPr>
        <w:pStyle w:val="ListParagraph"/>
        <w:numPr>
          <w:ilvl w:val="0"/>
          <w:numId w:val="7"/>
        </w:numPr>
        <w:tabs>
          <w:tab w:pos="1199" w:val="left" w:leader="none"/>
        </w:tabs>
        <w:spacing w:line="348" w:lineRule="auto" w:before="137" w:after="0"/>
        <w:ind w:left="1198" w:right="1063" w:hanging="360"/>
        <w:jc w:val="both"/>
        <w:rPr>
          <w:sz w:val="28"/>
        </w:rPr>
      </w:pPr>
      <w:r>
        <w:rPr>
          <w:b/>
          <w:color w:val="0066CC"/>
        </w:rPr>
        <w:t>Persistent internal sphincter spasm, which reduces local blood flow and delays healing.</w:t>
      </w:r>
    </w:p>
    <w:p>
      <w:pPr>
        <w:pStyle w:val="Heading3"/>
        <w:spacing w:before="26"/>
        <w:jc w:val="both"/>
        <w:rPr>
          <w:i/>
          <w:u w:val="none"/>
        </w:rPr>
      </w:pPr>
      <w:r>
        <w:rPr>
          <w:b/>
          <w:color w:val="0066CC"/>
        </w:rPr>
        <w:t>Clinical features</w:t>
      </w:r>
    </w:p>
    <w:p>
      <w:pPr>
        <w:pStyle w:val="ListParagraph"/>
        <w:numPr>
          <w:ilvl w:val="0"/>
          <w:numId w:val="8"/>
        </w:numPr>
        <w:tabs>
          <w:tab w:pos="1199" w:val="left" w:leader="none"/>
        </w:tabs>
        <w:spacing w:line="240" w:lineRule="auto" w:before="161" w:after="0"/>
        <w:ind w:left="1198" w:right="0" w:hanging="361"/>
        <w:jc w:val="both"/>
        <w:rPr>
          <w:sz w:val="28"/>
        </w:rPr>
      </w:pPr>
      <w:r>
        <w:rPr>
          <w:b/>
          <w:color w:val="0066CC"/>
        </w:rPr>
        <w:t>Severe sharp pain during and after defecation; this is the most common presenting symptom.</w:t>
      </w:r>
    </w:p>
    <w:p>
      <w:pPr>
        <w:pStyle w:val="ListParagraph"/>
        <w:numPr>
          <w:ilvl w:val="0"/>
          <w:numId w:val="8"/>
        </w:numPr>
        <w:tabs>
          <w:tab w:pos="1199" w:val="left" w:leader="none"/>
        </w:tabs>
        <w:spacing w:line="240" w:lineRule="auto" w:before="160" w:after="0"/>
        <w:ind w:left="1198" w:right="0" w:hanging="361"/>
        <w:jc w:val="both"/>
        <w:rPr>
          <w:sz w:val="28"/>
        </w:rPr>
      </w:pPr>
      <w:r>
        <w:rPr>
          <w:b/>
          <w:color w:val="0066CC"/>
        </w:rPr>
        <w:t>Small amounts of bright red bleeding on toilet tissue or on the surface of stool.</w:t>
      </w:r>
    </w:p>
    <w:p>
      <w:pPr>
        <w:pStyle w:val="ListParagraph"/>
        <w:numPr>
          <w:ilvl w:val="0"/>
          <w:numId w:val="8"/>
        </w:numPr>
        <w:tabs>
          <w:tab w:pos="1198" w:val="left" w:leader="none"/>
          <w:tab w:pos="1199" w:val="left" w:leader="none"/>
        </w:tabs>
        <w:spacing w:line="240" w:lineRule="auto" w:before="163" w:after="0"/>
        <w:ind w:left="1198" w:right="0" w:hanging="361"/>
        <w:jc w:val="left"/>
        <w:rPr>
          <w:sz w:val="28"/>
        </w:rPr>
      </w:pPr>
      <w:r>
        <w:rPr>
          <w:b/>
          <w:color w:val="0066CC"/>
        </w:rPr>
        <w:t>Anal spasm, fear of defecation, and pruritus or irritation in some patients.</w:t>
      </w:r>
    </w:p>
    <w:p>
      <w:pPr>
        <w:pStyle w:val="Heading3"/>
        <w:spacing w:before="160"/>
        <w:ind w:left="838"/>
        <w:rPr>
          <w:i/>
          <w:u w:val="none"/>
        </w:rPr>
      </w:pPr>
      <w:r>
        <w:rPr>
          <w:b/>
          <w:color w:val="0066CC"/>
        </w:rPr>
        <w:t>Complications</w:t>
      </w:r>
    </w:p>
    <w:p>
      <w:pPr>
        <w:pStyle w:val="BodyText"/>
        <w:spacing w:before="161"/>
        <w:ind w:left="978" w:firstLine="0"/>
      </w:pPr>
      <w:r>
        <w:rPr>
          <w:b/>
          <w:color w:val="0066CC"/>
        </w:rPr>
        <w:t>Transition to a chronic fissure with recurrent pain and bleeding.</w:t>
      </w:r>
    </w:p>
    <w:p>
      <w:pPr>
        <w:pStyle w:val="ListParagraph"/>
        <w:numPr>
          <w:ilvl w:val="0"/>
          <w:numId w:val="13"/>
        </w:numPr>
        <w:tabs>
          <w:tab w:pos="1198" w:val="left" w:leader="none"/>
          <w:tab w:pos="1199" w:val="left" w:leader="none"/>
        </w:tabs>
        <w:spacing w:line="240" w:lineRule="auto" w:before="161" w:after="0"/>
        <w:ind w:left="1198" w:right="0" w:hanging="361"/>
        <w:jc w:val="left"/>
        <w:rPr>
          <w:color w:val="1F2023"/>
          <w:sz w:val="28"/>
        </w:rPr>
      </w:pPr>
      <w:r>
        <w:rPr>
          <w:b/>
          <w:color w:val="0066CC"/>
        </w:rPr>
        <w:t>Secondary infection or local inflammation, although frank abscess is uncommon.</w:t>
      </w:r>
    </w:p>
    <w:p>
      <w:pPr>
        <w:pStyle w:val="ListParagraph"/>
        <w:numPr>
          <w:ilvl w:val="0"/>
          <w:numId w:val="13"/>
        </w:numPr>
        <w:tabs>
          <w:tab w:pos="1198" w:val="left" w:leader="none"/>
          <w:tab w:pos="1199" w:val="left" w:leader="none"/>
        </w:tabs>
        <w:spacing w:line="240" w:lineRule="auto" w:before="162" w:after="0"/>
        <w:ind w:left="1198" w:right="0" w:hanging="361"/>
        <w:jc w:val="left"/>
        <w:rPr>
          <w:color w:val="1F2023"/>
          <w:sz w:val="28"/>
        </w:rPr>
      </w:pPr>
      <w:r>
        <w:rPr>
          <w:b/>
          <w:color w:val="0066CC"/>
        </w:rPr>
        <w:t>Constipation caused by avoidance of painful defecation.</w:t>
      </w:r>
    </w:p>
    <w:p>
      <w:pPr>
        <w:pStyle w:val="ListParagraph"/>
        <w:numPr>
          <w:ilvl w:val="0"/>
          <w:numId w:val="13"/>
        </w:numPr>
        <w:tabs>
          <w:tab w:pos="1198" w:val="left" w:leader="none"/>
          <w:tab w:pos="1199" w:val="left" w:leader="none"/>
        </w:tabs>
        <w:spacing w:line="240" w:lineRule="auto" w:before="161" w:after="0"/>
        <w:ind w:left="1198" w:right="0" w:hanging="361"/>
        <w:jc w:val="left"/>
        <w:rPr>
          <w:sz w:val="28"/>
        </w:rPr>
      </w:pPr>
      <w:r>
        <w:rPr>
          <w:b/>
          <w:color w:val="0066CC"/>
        </w:rPr>
        <w:t>Reduced quality of life due to persistent pain and anxiety related to bowel elimination.</w:t>
      </w:r>
    </w:p>
    <w:p>
      <w:pPr>
        <w:pStyle w:val="Heading3"/>
        <w:spacing w:before="160"/>
        <w:rPr>
          <w:i/>
          <w:u w:val="none"/>
        </w:rPr>
      </w:pPr>
      <w:r>
        <w:rPr>
          <w:b/>
          <w:color w:val="0066CC"/>
        </w:rPr>
        <w:t>Management</w:t>
      </w:r>
    </w:p>
    <w:p>
      <w:pPr>
        <w:pStyle w:val="ListParagraph"/>
        <w:numPr>
          <w:ilvl w:val="0"/>
          <w:numId w:val="10"/>
        </w:numPr>
        <w:tabs>
          <w:tab w:pos="1198" w:val="left" w:leader="none"/>
          <w:tab w:pos="1199" w:val="left" w:leader="none"/>
        </w:tabs>
        <w:spacing w:line="240" w:lineRule="auto" w:before="162" w:after="0"/>
        <w:ind w:left="1198" w:right="0" w:hanging="361"/>
        <w:jc w:val="left"/>
        <w:rPr>
          <w:rFonts w:ascii="Symbol" w:hAnsi="Symbol"/>
          <w:sz w:val="28"/>
        </w:rPr>
      </w:pPr>
      <w:r>
        <w:rPr>
          <w:b/>
          <w:color w:val="0066CC"/>
        </w:rPr>
        <w:t>Diagnosis is usually made by careful inspection. Forceful digital rectal examination is avoided in severe pain because it may worsen spasm and distress.</w:t>
      </w:r>
    </w:p>
    <w:p>
      <w:pPr>
        <w:pStyle w:val="Heading2"/>
        <w:ind w:left="838" w:firstLine="0"/>
      </w:pPr>
      <w:r>
        <w:rPr>
          <w:b/>
          <w:color w:val="0066CC"/>
        </w:rPr>
        <w:t>Conservative and medical management:</w:t>
      </w:r>
    </w:p>
    <w:p>
      <w:pPr>
        <w:pStyle w:val="ListParagraph"/>
        <w:numPr>
          <w:ilvl w:val="0"/>
          <w:numId w:val="14"/>
        </w:numPr>
        <w:tabs>
          <w:tab w:pos="1199" w:val="left" w:leader="none"/>
        </w:tabs>
        <w:spacing w:line="240" w:lineRule="auto" w:before="160" w:after="0"/>
        <w:ind w:left="1198" w:right="0" w:hanging="361"/>
        <w:jc w:val="left"/>
        <w:rPr>
          <w:b/>
          <w:sz w:val="28"/>
        </w:rPr>
      </w:pPr>
      <w:r>
        <w:rPr>
          <w:b/>
          <w:color w:val="0066CC"/>
        </w:rPr>
        <w:t>Increase dietary fiber, fluid intake, and bowel regularity; stool softeners or bulk-forming agents are often used to prevent further tearing.</w:t>
      </w:r>
    </w:p>
    <w:p>
      <w:pPr>
        <w:pStyle w:val="ListParagraph"/>
        <w:numPr>
          <w:ilvl w:val="0"/>
          <w:numId w:val="14"/>
        </w:numPr>
        <w:tabs>
          <w:tab w:pos="1199" w:val="left" w:leader="none"/>
        </w:tabs>
        <w:spacing w:line="362" w:lineRule="auto" w:before="161" w:after="0"/>
        <w:ind w:left="1198" w:right="1051" w:hanging="360"/>
        <w:jc w:val="left"/>
        <w:rPr>
          <w:sz w:val="28"/>
        </w:rPr>
      </w:pPr>
      <w:r>
        <w:rPr>
          <w:b/>
          <w:color w:val="0066CC"/>
        </w:rPr>
        <w:t>Warm sitz baths and simple analgesia help reduce pain and internal sphincter spasm.</w:t>
      </w:r>
    </w:p>
    <w:p>
      <w:pPr>
        <w:pStyle w:val="ListParagraph"/>
        <w:numPr>
          <w:ilvl w:val="0"/>
          <w:numId w:val="14"/>
        </w:numPr>
        <w:tabs>
          <w:tab w:pos="1199" w:val="left" w:leader="none"/>
        </w:tabs>
        <w:spacing w:line="317" w:lineRule="exact" w:before="0" w:after="0"/>
        <w:ind w:left="1198" w:right="0" w:hanging="361"/>
        <w:jc w:val="left"/>
        <w:rPr>
          <w:sz w:val="28"/>
        </w:rPr>
      </w:pPr>
      <w:r>
        <w:rPr>
          <w:b/>
          <w:color w:val="0066CC"/>
        </w:rPr>
        <w:t>Topical local anesthetic may provide short-term relief, but it does not treat the underlying sphincter hypertonicity.</w:t>
      </w:r>
    </w:p>
    <w:p>
      <w:pPr>
        <w:pStyle w:val="ListParagraph"/>
        <w:numPr>
          <w:ilvl w:val="0"/>
          <w:numId w:val="14"/>
        </w:numPr>
        <w:tabs>
          <w:tab w:pos="1199" w:val="left" w:leader="none"/>
        </w:tabs>
        <w:spacing w:line="360" w:lineRule="auto" w:before="161" w:after="0"/>
        <w:ind w:left="1198" w:right="1053" w:hanging="360"/>
        <w:jc w:val="left"/>
        <w:rPr>
          <w:sz w:val="28"/>
        </w:rPr>
      </w:pPr>
      <w:r>
        <w:rPr>
          <w:b/>
          <w:color w:val="0066CC"/>
        </w:rPr>
        <w:t>For chronic fissure, topical calcium channel blockers (such as diltiazem or nifedipine) or topical glyceryl trinitrate may promote healing by relaxing the internal sphincter and improving blood flow.</w:t>
      </w:r>
    </w:p>
    <w:p>
      <w:pPr>
        <w:spacing w:after="0" w:line="360" w:lineRule="auto"/>
        <w:jc w:val="left"/>
        <w:rPr>
          <w:sz w:val="28"/>
        </w:rPr>
        <w:sectPr>
          <w:pgSz w:w="12240" w:h="15840"/>
          <w:pgMar w:header="0" w:footer="854" w:top="1360" w:bottom="1040" w:left="940" w:right="360"/>
        </w:sectPr>
      </w:pPr>
    </w:p>
    <w:p>
      <w:pPr>
        <w:pStyle w:val="ListParagraph"/>
        <w:numPr>
          <w:ilvl w:val="0"/>
          <w:numId w:val="14"/>
        </w:numPr>
        <w:tabs>
          <w:tab w:pos="1199" w:val="left" w:leader="none"/>
        </w:tabs>
        <w:spacing w:line="360" w:lineRule="auto" w:before="59" w:after="0"/>
        <w:ind w:left="1198" w:right="1053" w:hanging="360"/>
        <w:jc w:val="both"/>
        <w:rPr>
          <w:sz w:val="28"/>
        </w:rPr>
      </w:pPr>
      <w:r>
        <w:rPr>
          <w:b/>
          <w:color w:val="0066CC"/>
        </w:rPr>
        <w:t>Botulinum toxin injection is an additional option in selected patients when topical therapy fails or is not tolerated.</w:t>
      </w:r>
    </w:p>
    <w:p>
      <w:pPr>
        <w:pStyle w:val="Heading2"/>
        <w:numPr>
          <w:ilvl w:val="0"/>
          <w:numId w:val="10"/>
        </w:numPr>
        <w:tabs>
          <w:tab w:pos="1199" w:val="left" w:leader="none"/>
        </w:tabs>
        <w:spacing w:line="240" w:lineRule="auto" w:before="1" w:after="0"/>
        <w:ind w:left="1198" w:right="0" w:hanging="361"/>
        <w:jc w:val="both"/>
        <w:rPr>
          <w:rFonts w:ascii="Symbol" w:hAnsi="Symbol"/>
          <w:b w:val="0"/>
        </w:rPr>
      </w:pPr>
      <w:r>
        <w:rPr>
          <w:b/>
          <w:color w:val="0066CC"/>
        </w:rPr>
        <w:t>Surgical management:</w:t>
      </w:r>
    </w:p>
    <w:p>
      <w:pPr>
        <w:pStyle w:val="BodyText"/>
        <w:spacing w:line="362" w:lineRule="auto" w:before="157"/>
        <w:ind w:left="478" w:right="1064" w:firstLine="0"/>
        <w:jc w:val="both"/>
      </w:pPr>
      <w:r>
        <w:rPr>
          <w:b/>
          <w:color w:val="0066CC"/>
        </w:rPr>
        <w:t>Surgery is considered for chronic or refractory fissures after adequate medical therapy.</w:t>
      </w:r>
    </w:p>
    <w:p>
      <w:pPr>
        <w:pStyle w:val="BodyText"/>
        <w:spacing w:line="317" w:lineRule="exact"/>
        <w:ind w:left="478" w:firstLine="0"/>
        <w:jc w:val="both"/>
      </w:pPr>
      <w:r>
        <w:rPr>
          <w:b/>
          <w:color w:val="0066CC"/>
        </w:rPr>
        <w:t>Lateral internal sphincterotomy has high healing rates but must be weighed against the risk of incontinence, particularly in high-risk patients.</w:t>
      </w:r>
    </w:p>
    <w:p>
      <w:pPr>
        <w:pStyle w:val="Heading3"/>
        <w:spacing w:before="161"/>
        <w:jc w:val="both"/>
        <w:rPr>
          <w:i/>
          <w:u w:val="none"/>
        </w:rPr>
      </w:pPr>
      <w:r>
        <w:rPr>
          <w:b/>
          <w:color w:val="0066CC"/>
        </w:rPr>
        <w:t>Nursing care</w:t>
      </w:r>
    </w:p>
    <w:p>
      <w:pPr>
        <w:pStyle w:val="ListParagraph"/>
        <w:numPr>
          <w:ilvl w:val="0"/>
          <w:numId w:val="15"/>
        </w:numPr>
        <w:tabs>
          <w:tab w:pos="1199" w:val="left" w:leader="none"/>
        </w:tabs>
        <w:spacing w:line="240" w:lineRule="auto" w:before="161" w:after="0"/>
        <w:ind w:left="1198" w:right="0" w:hanging="361"/>
        <w:jc w:val="both"/>
        <w:rPr>
          <w:sz w:val="28"/>
        </w:rPr>
      </w:pPr>
      <w:r>
        <w:rPr>
          <w:b/>
          <w:color w:val="0066CC"/>
        </w:rPr>
        <w:t>Assess pain severity, bowel pattern, hydration status, and anxiety about defecation.</w:t>
      </w:r>
    </w:p>
    <w:p>
      <w:pPr>
        <w:pStyle w:val="ListParagraph"/>
        <w:numPr>
          <w:ilvl w:val="0"/>
          <w:numId w:val="15"/>
        </w:numPr>
        <w:tabs>
          <w:tab w:pos="1199" w:val="left" w:leader="none"/>
        </w:tabs>
        <w:spacing w:line="240" w:lineRule="auto" w:before="163" w:after="0"/>
        <w:ind w:left="1198" w:right="0" w:hanging="361"/>
        <w:jc w:val="left"/>
        <w:rPr>
          <w:sz w:val="28"/>
        </w:rPr>
      </w:pPr>
      <w:r>
        <w:rPr>
          <w:b/>
          <w:color w:val="0066CC"/>
        </w:rPr>
        <w:t>Teach the patient to avoid straining, delay of defecation, and excessive wiping.</w:t>
      </w:r>
    </w:p>
    <w:p>
      <w:pPr>
        <w:pStyle w:val="ListParagraph"/>
        <w:numPr>
          <w:ilvl w:val="0"/>
          <w:numId w:val="15"/>
        </w:numPr>
        <w:tabs>
          <w:tab w:pos="1199" w:val="left" w:leader="none"/>
        </w:tabs>
        <w:spacing w:line="240" w:lineRule="auto" w:before="160" w:after="0"/>
        <w:ind w:left="1198" w:right="0" w:hanging="361"/>
        <w:jc w:val="left"/>
        <w:rPr>
          <w:sz w:val="28"/>
        </w:rPr>
      </w:pPr>
      <w:r>
        <w:rPr>
          <w:b/>
          <w:color w:val="0066CC"/>
        </w:rPr>
        <w:t>Support high-fiber food choices, adequate oral fluids, and prescribed stool-softening therapy.</w:t>
      </w:r>
    </w:p>
    <w:p>
      <w:pPr>
        <w:pStyle w:val="ListParagraph"/>
        <w:numPr>
          <w:ilvl w:val="0"/>
          <w:numId w:val="15"/>
        </w:numPr>
        <w:tabs>
          <w:tab w:pos="1199" w:val="left" w:leader="none"/>
        </w:tabs>
        <w:spacing w:line="240" w:lineRule="auto" w:before="161" w:after="0"/>
        <w:ind w:left="1198" w:right="0" w:hanging="361"/>
        <w:jc w:val="left"/>
        <w:rPr>
          <w:sz w:val="28"/>
        </w:rPr>
      </w:pPr>
      <w:r>
        <w:rPr>
          <w:b/>
          <w:color w:val="0066CC"/>
        </w:rPr>
        <w:t>Encourage warm sitz baths after bowel movements and as needed for sphincter relaxation.</w:t>
      </w:r>
    </w:p>
    <w:p>
      <w:pPr>
        <w:pStyle w:val="ListParagraph"/>
        <w:numPr>
          <w:ilvl w:val="0"/>
          <w:numId w:val="15"/>
        </w:numPr>
        <w:tabs>
          <w:tab w:pos="1199" w:val="left" w:leader="none"/>
        </w:tabs>
        <w:spacing w:line="240" w:lineRule="auto" w:before="160" w:after="0"/>
        <w:ind w:left="1198" w:right="0" w:hanging="361"/>
        <w:jc w:val="left"/>
        <w:rPr>
          <w:sz w:val="28"/>
        </w:rPr>
      </w:pPr>
      <w:r>
        <w:rPr>
          <w:b/>
          <w:color w:val="0066CC"/>
        </w:rPr>
        <w:t>Administer topical medications exactly as prescribed and teach correct application technique.</w:t>
      </w:r>
    </w:p>
    <w:p>
      <w:pPr>
        <w:pStyle w:val="ListParagraph"/>
        <w:numPr>
          <w:ilvl w:val="0"/>
          <w:numId w:val="15"/>
        </w:numPr>
        <w:tabs>
          <w:tab w:pos="1199" w:val="left" w:leader="none"/>
        </w:tabs>
        <w:spacing w:line="240" w:lineRule="auto" w:before="160" w:after="0"/>
        <w:ind w:left="1198" w:right="0" w:hanging="361"/>
        <w:jc w:val="left"/>
        <w:rPr>
          <w:sz w:val="28"/>
        </w:rPr>
      </w:pPr>
      <w:r>
        <w:rPr>
          <w:b/>
          <w:color w:val="0066CC"/>
        </w:rPr>
        <w:t>Monitor for persistent bleeding, worsening pain, or atypical fissure features that require re-evaluation.</w:t>
      </w:r>
    </w:p>
    <w:p>
      <w:pPr>
        <w:pStyle w:val="ListParagraph"/>
        <w:numPr>
          <w:ilvl w:val="0"/>
          <w:numId w:val="15"/>
        </w:numPr>
        <w:tabs>
          <w:tab w:pos="1199" w:val="left" w:leader="none"/>
        </w:tabs>
        <w:spacing w:line="240" w:lineRule="auto" w:before="164" w:after="0"/>
        <w:ind w:left="1198" w:right="0" w:hanging="361"/>
        <w:jc w:val="both"/>
        <w:rPr>
          <w:sz w:val="28"/>
        </w:rPr>
      </w:pPr>
      <w:r>
        <w:rPr>
          <w:b/>
          <w:color w:val="0066CC"/>
        </w:rPr>
        <w:t>Reinforce follow-up for nonhealing fissures or recurrent symptoms.</w:t>
      </w:r>
    </w:p>
    <w:p>
      <w:pPr>
        <w:pStyle w:val="ListParagraph"/>
        <w:numPr>
          <w:ilvl w:val="0"/>
          <w:numId w:val="15"/>
        </w:numPr>
        <w:tabs>
          <w:tab w:pos="1199" w:val="left" w:leader="none"/>
        </w:tabs>
        <w:spacing w:line="240" w:lineRule="auto" w:before="160" w:after="0"/>
        <w:ind w:left="1198" w:right="0" w:hanging="361"/>
        <w:jc w:val="both"/>
        <w:rPr>
          <w:sz w:val="28"/>
        </w:rPr>
      </w:pPr>
      <w:r>
        <w:rPr>
          <w:b/>
          <w:color w:val="0066CC"/>
        </w:rPr>
        <w:t>Provide reassurance that consistent bowel management is essential to break the pain-spasm-constipation cycle.</w:t>
      </w:r>
    </w:p>
    <w:p>
      <w:pPr>
        <w:pStyle w:val="Heading1"/>
        <w:spacing w:before="159"/>
        <w:ind w:firstLine="0"/>
        <w:jc w:val="both"/>
        <w:rPr>
          <w:i/>
          <w:u w:val="none"/>
        </w:rPr>
      </w:pPr>
      <w:r>
        <w:rPr>
          <w:b/>
          <w:color w:val="0066CC"/>
        </w:rPr>
        <w:t>Hemorrhoids</w:t>
      </w:r>
    </w:p>
    <w:p>
      <w:pPr>
        <w:pStyle w:val="BodyText"/>
        <w:spacing w:line="360" w:lineRule="auto" w:before="186"/>
        <w:ind w:left="478" w:right="1054" w:firstLine="0"/>
        <w:jc w:val="both"/>
      </w:pPr>
      <w:r>
        <w:rPr>
          <w:b/>
          <w:color w:val="0066CC"/>
        </w:rPr>
        <w:t>Hemorrhoids are symptomatic enlargement and distal displacement of the normal anal vascular cushions. These cushions contribute to fine continence; disease develops when supporting tissue deteriorates and venous congestion or prolapse occurs.</w:t>
      </w:r>
    </w:p>
    <w:p>
      <w:pPr>
        <w:spacing w:after="0" w:line="360" w:lineRule="auto"/>
        <w:jc w:val="both"/>
        <w:sectPr>
          <w:pgSz w:w="12240" w:h="15840"/>
          <w:pgMar w:header="0" w:footer="854" w:top="1360" w:bottom="1040" w:left="940" w:right="360"/>
        </w:sectPr>
      </w:pPr>
    </w:p>
    <w:p>
      <w:pPr>
        <w:pStyle w:val="Heading3"/>
        <w:rPr>
          <w:i/>
          <w:u w:val="none"/>
        </w:rPr>
      </w:pPr>
      <w:r>
        <w:rPr>
          <w:b/>
          <w:color w:val="0066CC"/>
        </w:rPr>
        <w:t>Classification</w:t>
      </w:r>
    </w:p>
    <w:p>
      <w:pPr>
        <w:pStyle w:val="BodyText"/>
        <w:spacing w:before="160"/>
        <w:ind w:left="478" w:firstLine="0"/>
      </w:pPr>
      <w:r>
        <w:rPr>
          <w:b/>
          <w:color w:val="0066CC"/>
        </w:rPr>
        <w:t>Internal hemorrhoids arise above the dentate line and are classified by degree of prolapse.</w:t>
      </w:r>
    </w:p>
    <w:p>
      <w:pPr>
        <w:pStyle w:val="BodyText"/>
        <w:spacing w:line="362" w:lineRule="auto" w:before="161"/>
        <w:ind w:left="478" w:right="2044" w:firstLine="0"/>
      </w:pPr>
      <w:r>
        <w:rPr>
          <w:b/>
          <w:color w:val="0066CC"/>
        </w:rPr>
        <w:t>External hemorrhoids arise below the dentate line and may cause acute pain when thrombosed; the Goligher grades apply to internal hemorrhoids, not external hemorrhoids.</w:t>
      </w:r>
    </w:p>
    <w:p>
      <w:pPr>
        <w:pStyle w:val="BodyText"/>
        <w:ind w:left="0" w:firstLine="0"/>
        <w:rPr>
          <w:sz w:val="20"/>
        </w:rPr>
      </w:pPr>
    </w:p>
    <w:p>
      <w:pPr>
        <w:pStyle w:val="BodyText"/>
        <w:spacing w:before="5"/>
        <w:ind w:left="0" w:firstLine="0"/>
        <w:rPr>
          <w:sz w:val="21"/>
        </w:rPr>
      </w:pPr>
    </w:p>
    <w:tbl>
      <w:tblPr>
        <w:tblW w:w="0" w:type="auto"/>
        <w:jc w:val="left"/>
        <w:tblInd w:w="37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958"/>
        <w:gridCol w:w="8108"/>
      </w:tblGrid>
      <w:tr>
        <w:trPr>
          <w:trHeight w:val="482" w:hRule="atLeast"/>
        </w:trPr>
        <w:tc>
          <w:tcPr>
            <w:tcW w:w="1958" w:type="dxa"/>
            <w:shd w:val="clear" w:color="auto" w:fill="E7E6E6"/>
          </w:tcPr>
          <w:p>
            <w:pPr>
              <w:pStyle w:val="TableParagraph"/>
              <w:rPr>
                <w:b/>
                <w:sz w:val="28"/>
              </w:rPr>
            </w:pPr>
            <w:r>
              <w:rPr>
                <w:b/>
                <w:color w:val="0066CC"/>
              </w:rPr>
              <w:t>Classification</w:t>
            </w:r>
          </w:p>
        </w:tc>
        <w:tc>
          <w:tcPr>
            <w:tcW w:w="8108" w:type="dxa"/>
            <w:shd w:val="clear" w:color="auto" w:fill="E7E6E6"/>
          </w:tcPr>
          <w:p>
            <w:pPr>
              <w:pStyle w:val="TableParagraph"/>
              <w:ind w:left="108"/>
              <w:rPr>
                <w:b/>
                <w:sz w:val="28"/>
              </w:rPr>
            </w:pPr>
            <w:r>
              <w:rPr>
                <w:b/>
                <w:color w:val="0066CC"/>
              </w:rPr>
              <w:t>Description</w:t>
            </w:r>
          </w:p>
        </w:tc>
      </w:tr>
      <w:tr>
        <w:trPr>
          <w:trHeight w:val="484" w:hRule="atLeast"/>
        </w:trPr>
        <w:tc>
          <w:tcPr>
            <w:tcW w:w="1958" w:type="dxa"/>
          </w:tcPr>
          <w:p>
            <w:pPr>
              <w:pStyle w:val="TableParagraph"/>
              <w:spacing w:before="2"/>
              <w:rPr>
                <w:sz w:val="28"/>
              </w:rPr>
            </w:pPr>
            <w:r>
              <w:rPr>
                <w:b/>
                <w:color w:val="0066CC"/>
              </w:rPr>
              <w:t>Grade I</w:t>
            </w:r>
          </w:p>
        </w:tc>
        <w:tc>
          <w:tcPr>
            <w:tcW w:w="8108" w:type="dxa"/>
          </w:tcPr>
          <w:p>
            <w:pPr>
              <w:pStyle w:val="TableParagraph"/>
              <w:spacing w:before="2"/>
              <w:ind w:left="108"/>
              <w:rPr>
                <w:sz w:val="28"/>
              </w:rPr>
            </w:pPr>
            <w:r>
              <w:rPr>
                <w:b/>
                <w:color w:val="0066CC"/>
              </w:rPr>
              <w:t>Bleeding without prolapse.</w:t>
            </w:r>
          </w:p>
        </w:tc>
      </w:tr>
      <w:tr>
        <w:trPr>
          <w:trHeight w:val="482" w:hRule="atLeast"/>
        </w:trPr>
        <w:tc>
          <w:tcPr>
            <w:tcW w:w="1958" w:type="dxa"/>
          </w:tcPr>
          <w:p>
            <w:pPr>
              <w:pStyle w:val="TableParagraph"/>
              <w:rPr>
                <w:sz w:val="28"/>
              </w:rPr>
            </w:pPr>
            <w:r>
              <w:rPr>
                <w:b/>
                <w:color w:val="0066CC"/>
              </w:rPr>
              <w:t>Grade II</w:t>
            </w:r>
          </w:p>
        </w:tc>
        <w:tc>
          <w:tcPr>
            <w:tcW w:w="8108" w:type="dxa"/>
          </w:tcPr>
          <w:p>
            <w:pPr>
              <w:pStyle w:val="TableParagraph"/>
              <w:ind w:left="108"/>
              <w:rPr>
                <w:sz w:val="28"/>
              </w:rPr>
            </w:pPr>
            <w:r>
              <w:rPr>
                <w:b/>
                <w:color w:val="0066CC"/>
              </w:rPr>
              <w:t>Prolapse with spontaneous reduction.</w:t>
            </w:r>
          </w:p>
        </w:tc>
      </w:tr>
      <w:tr>
        <w:trPr>
          <w:trHeight w:val="484" w:hRule="atLeast"/>
        </w:trPr>
        <w:tc>
          <w:tcPr>
            <w:tcW w:w="1958" w:type="dxa"/>
          </w:tcPr>
          <w:p>
            <w:pPr>
              <w:pStyle w:val="TableParagraph"/>
              <w:rPr>
                <w:sz w:val="28"/>
              </w:rPr>
            </w:pPr>
            <w:r>
              <w:rPr>
                <w:b/>
                <w:color w:val="0066CC"/>
              </w:rPr>
              <w:t>Grade III</w:t>
            </w:r>
          </w:p>
        </w:tc>
        <w:tc>
          <w:tcPr>
            <w:tcW w:w="8108" w:type="dxa"/>
          </w:tcPr>
          <w:p>
            <w:pPr>
              <w:pStyle w:val="TableParagraph"/>
              <w:ind w:left="108"/>
              <w:rPr>
                <w:sz w:val="28"/>
              </w:rPr>
            </w:pPr>
            <w:r>
              <w:rPr>
                <w:b/>
                <w:color w:val="0066CC"/>
              </w:rPr>
              <w:t>Prolapse requiring manual reduction.</w:t>
            </w:r>
          </w:p>
        </w:tc>
      </w:tr>
      <w:tr>
        <w:trPr>
          <w:trHeight w:val="482" w:hRule="atLeast"/>
        </w:trPr>
        <w:tc>
          <w:tcPr>
            <w:tcW w:w="1958" w:type="dxa"/>
          </w:tcPr>
          <w:p>
            <w:pPr>
              <w:pStyle w:val="TableParagraph"/>
              <w:rPr>
                <w:sz w:val="28"/>
              </w:rPr>
            </w:pPr>
            <w:r>
              <w:rPr>
                <w:b/>
                <w:color w:val="0066CC"/>
              </w:rPr>
              <w:t>Grade IV</w:t>
            </w:r>
          </w:p>
        </w:tc>
        <w:tc>
          <w:tcPr>
            <w:tcW w:w="8108" w:type="dxa"/>
          </w:tcPr>
          <w:p>
            <w:pPr>
              <w:pStyle w:val="TableParagraph"/>
              <w:ind w:left="108"/>
              <w:rPr>
                <w:sz w:val="28"/>
              </w:rPr>
            </w:pPr>
            <w:r>
              <w:rPr>
                <w:b/>
                <w:color w:val="0066CC"/>
              </w:rPr>
              <w:t>Irreducible prolapse, which may be incarcerated or strangulated.</w:t>
            </w:r>
          </w:p>
        </w:tc>
      </w:tr>
    </w:tbl>
    <w:p>
      <w:pPr>
        <w:pStyle w:val="BodyText"/>
        <w:ind w:left="0" w:firstLine="0"/>
        <w:rPr>
          <w:sz w:val="20"/>
        </w:rPr>
      </w:pPr>
    </w:p>
    <w:p>
      <w:pPr>
        <w:pStyle w:val="BodyText"/>
        <w:spacing w:before="2"/>
        <w:ind w:left="0" w:firstLine="0"/>
        <w:rPr>
          <w:sz w:val="21"/>
        </w:rPr>
      </w:pPr>
      <w:r>
        <w:rPr/>
        <w:pict>
          <v:group style="position:absolute;margin-left:121.495003pt;margin-top:13.415977pt;width:369.55pt;height:168pt;mso-position-horizontal-relative:page;mso-position-vertical-relative:paragraph;z-index:-15725056;mso-wrap-distance-left:0;mso-wrap-distance-right:0" id="docshapegroup23" coordorigin="2430,268" coordsize="7391,3360" alt="Can Grade 2 And 3 Hemorrhoids Go Away on Their own">
            <v:shape style="position:absolute;left:2445;top:283;width:7361;height:3330" type="#_x0000_t75" id="docshape24" alt="Can Grade 2 And 3 Hemorrhoids Go Away on Their own" stroked="false">
              <v:imagedata r:id="rId19" o:title=""/>
            </v:shape>
            <v:rect style="position:absolute;left:2437;top:275;width:7376;height:3345" id="docshape25" filled="false" stroked="true" strokeweight=".75pt" strokecolor="#000000">
              <v:stroke dashstyle="solid"/>
            </v:rect>
            <w10:wrap type="topAndBottom"/>
          </v:group>
        </w:pict>
      </w:r>
    </w:p>
    <w:p>
      <w:pPr>
        <w:pStyle w:val="BodyText"/>
        <w:spacing w:before="8"/>
        <w:ind w:left="0" w:firstLine="0"/>
        <w:rPr>
          <w:sz w:val="7"/>
        </w:rPr>
      </w:pPr>
    </w:p>
    <w:p>
      <w:pPr>
        <w:pStyle w:val="Heading3"/>
        <w:spacing w:before="89"/>
        <w:rPr>
          <w:i/>
          <w:u w:val="none"/>
        </w:rPr>
      </w:pPr>
      <w:r>
        <w:rPr>
          <w:b/>
          <w:color w:val="0066CC"/>
        </w:rPr>
        <w:t>Risk factors</w:t>
      </w:r>
    </w:p>
    <w:p>
      <w:pPr>
        <w:pStyle w:val="ListParagraph"/>
        <w:numPr>
          <w:ilvl w:val="0"/>
          <w:numId w:val="7"/>
        </w:numPr>
        <w:tabs>
          <w:tab w:pos="1199" w:val="left" w:leader="none"/>
        </w:tabs>
        <w:spacing w:line="240" w:lineRule="auto" w:before="160" w:after="0"/>
        <w:ind w:left="1198" w:right="0" w:hanging="361"/>
        <w:jc w:val="left"/>
        <w:rPr>
          <w:sz w:val="28"/>
        </w:rPr>
      </w:pPr>
      <w:r>
        <w:rPr>
          <w:b/>
          <w:color w:val="0066CC"/>
        </w:rPr>
        <w:t>Chronic constipation, straining, and prolonged sitting on the toilet.</w:t>
      </w:r>
    </w:p>
    <w:p>
      <w:pPr>
        <w:pStyle w:val="ListParagraph"/>
        <w:numPr>
          <w:ilvl w:val="0"/>
          <w:numId w:val="7"/>
        </w:numPr>
        <w:tabs>
          <w:tab w:pos="1199" w:val="left" w:leader="none"/>
        </w:tabs>
        <w:spacing w:line="240" w:lineRule="auto" w:before="137" w:after="0"/>
        <w:ind w:left="1198" w:right="0" w:hanging="361"/>
        <w:jc w:val="left"/>
        <w:rPr>
          <w:sz w:val="28"/>
        </w:rPr>
      </w:pPr>
      <w:r>
        <w:rPr>
          <w:b/>
          <w:color w:val="0066CC"/>
        </w:rPr>
        <w:t>Pregnancy, increasing age, low-fiber diet, and reduced physical activity.</w:t>
      </w:r>
    </w:p>
    <w:p>
      <w:pPr>
        <w:pStyle w:val="ListParagraph"/>
        <w:numPr>
          <w:ilvl w:val="0"/>
          <w:numId w:val="7"/>
        </w:numPr>
        <w:tabs>
          <w:tab w:pos="1199" w:val="left" w:leader="none"/>
        </w:tabs>
        <w:spacing w:line="336" w:lineRule="auto" w:before="140" w:after="0"/>
        <w:ind w:left="1198" w:right="1057" w:hanging="360"/>
        <w:jc w:val="left"/>
        <w:rPr>
          <w:sz w:val="28"/>
        </w:rPr>
      </w:pPr>
      <w:r>
        <w:rPr>
          <w:b/>
          <w:color w:val="0066CC"/>
        </w:rPr>
        <w:t>Raised intra-abdominal pressure, chronic cough, obesity, or heavy lifting.</w:t>
      </w:r>
    </w:p>
    <w:p>
      <w:pPr>
        <w:pStyle w:val="ListParagraph"/>
        <w:numPr>
          <w:ilvl w:val="0"/>
          <w:numId w:val="7"/>
        </w:numPr>
        <w:tabs>
          <w:tab w:pos="1199" w:val="left" w:leader="none"/>
        </w:tabs>
        <w:spacing w:line="336" w:lineRule="auto" w:before="40" w:after="0"/>
        <w:ind w:left="1198" w:right="1054" w:hanging="360"/>
        <w:jc w:val="left"/>
        <w:rPr>
          <w:sz w:val="28"/>
        </w:rPr>
      </w:pPr>
      <w:r>
        <w:rPr>
          <w:b/>
          <w:color w:val="0066CC"/>
        </w:rPr>
        <w:t>Portal hypertension is not a cause of hemorrhoids, but coexisting anorectal disease and family history may influence symptoms and care seeking.</w:t>
      </w:r>
    </w:p>
    <w:p>
      <w:pPr>
        <w:spacing w:after="0" w:line="336" w:lineRule="auto"/>
        <w:jc w:val="left"/>
        <w:rPr>
          <w:sz w:val="28"/>
        </w:rPr>
        <w:sectPr>
          <w:pgSz w:w="12240" w:h="15840"/>
          <w:pgMar w:header="0" w:footer="854" w:top="1360" w:bottom="1040" w:left="940" w:right="360"/>
        </w:sectPr>
      </w:pPr>
    </w:p>
    <w:p>
      <w:pPr>
        <w:pStyle w:val="Heading3"/>
        <w:rPr>
          <w:i/>
          <w:u w:val="none"/>
        </w:rPr>
      </w:pPr>
      <w:r>
        <w:rPr>
          <w:b/>
          <w:color w:val="0066CC"/>
        </w:rPr>
        <w:t>Clinical features</w:t>
      </w:r>
    </w:p>
    <w:p>
      <w:pPr>
        <w:pStyle w:val="ListParagraph"/>
        <w:numPr>
          <w:ilvl w:val="0"/>
          <w:numId w:val="10"/>
        </w:numPr>
        <w:tabs>
          <w:tab w:pos="1198" w:val="left" w:leader="none"/>
          <w:tab w:pos="1199" w:val="left" w:leader="none"/>
          <w:tab w:pos="2431" w:val="left" w:leader="none"/>
          <w:tab w:pos="3416" w:val="left" w:leader="none"/>
          <w:tab w:pos="4087" w:val="left" w:leader="none"/>
          <w:tab w:pos="5025" w:val="left" w:leader="none"/>
          <w:tab w:pos="6370" w:val="left" w:leader="none"/>
          <w:tab w:pos="7883" w:val="left" w:leader="none"/>
          <w:tab w:pos="8711" w:val="left" w:leader="none"/>
        </w:tabs>
        <w:spacing w:line="350" w:lineRule="auto" w:before="162" w:after="0"/>
        <w:ind w:left="1198" w:right="1061" w:hanging="360"/>
        <w:jc w:val="left"/>
        <w:rPr>
          <w:rFonts w:ascii="Symbol" w:hAnsi="Symbol"/>
          <w:sz w:val="28"/>
        </w:rPr>
      </w:pPr>
      <w:r>
        <w:rPr>
          <w:b/>
          <w:color w:val="0066CC"/>
        </w:rPr>
        <w:t>Painless bright red rectal bleeding, usually seen on toilet tissue or coating the stool rather than mixed within it.</w:t>
      </w:r>
    </w:p>
    <w:p>
      <w:pPr>
        <w:pStyle w:val="ListParagraph"/>
        <w:numPr>
          <w:ilvl w:val="0"/>
          <w:numId w:val="10"/>
        </w:numPr>
        <w:tabs>
          <w:tab w:pos="1198" w:val="left" w:leader="none"/>
          <w:tab w:pos="1199" w:val="left" w:leader="none"/>
        </w:tabs>
        <w:spacing w:line="240" w:lineRule="auto" w:before="15" w:after="0"/>
        <w:ind w:left="1198" w:right="0" w:hanging="361"/>
        <w:jc w:val="left"/>
        <w:rPr>
          <w:rFonts w:ascii="Symbol" w:hAnsi="Symbol"/>
          <w:sz w:val="28"/>
        </w:rPr>
      </w:pPr>
      <w:r>
        <w:rPr>
          <w:b/>
          <w:color w:val="0066CC"/>
        </w:rPr>
        <w:t>Pruritus, mucus soiling, or a feeling of incomplete cleanliness.</w:t>
      </w:r>
    </w:p>
    <w:p>
      <w:pPr>
        <w:pStyle w:val="ListParagraph"/>
        <w:numPr>
          <w:ilvl w:val="0"/>
          <w:numId w:val="10"/>
        </w:numPr>
        <w:tabs>
          <w:tab w:pos="1198" w:val="left" w:leader="none"/>
          <w:tab w:pos="1199" w:val="left" w:leader="none"/>
        </w:tabs>
        <w:spacing w:line="240" w:lineRule="auto" w:before="161" w:after="0"/>
        <w:ind w:left="1198" w:right="0" w:hanging="361"/>
        <w:jc w:val="left"/>
        <w:rPr>
          <w:rFonts w:ascii="Symbol" w:hAnsi="Symbol"/>
          <w:sz w:val="28"/>
        </w:rPr>
      </w:pPr>
      <w:r>
        <w:rPr>
          <w:b/>
          <w:color w:val="0066CC"/>
        </w:rPr>
        <w:t>Prolapse, rectal fullness, or a palpable anal lump.</w:t>
      </w:r>
    </w:p>
    <w:p>
      <w:pPr>
        <w:pStyle w:val="ListParagraph"/>
        <w:numPr>
          <w:ilvl w:val="0"/>
          <w:numId w:val="10"/>
        </w:numPr>
        <w:tabs>
          <w:tab w:pos="1198" w:val="left" w:leader="none"/>
          <w:tab w:pos="1199" w:val="left" w:leader="none"/>
        </w:tabs>
        <w:spacing w:line="350" w:lineRule="auto" w:before="159" w:after="0"/>
        <w:ind w:left="1198" w:right="1063" w:hanging="360"/>
        <w:jc w:val="left"/>
        <w:rPr>
          <w:rFonts w:ascii="Symbol" w:hAnsi="Symbol"/>
          <w:sz w:val="28"/>
        </w:rPr>
      </w:pPr>
      <w:r>
        <w:rPr>
          <w:b/>
          <w:color w:val="0066CC"/>
        </w:rPr>
        <w:t>Thrombosed external hemorrhoids cause sudden severe anal pain and tense perianal swelling.</w:t>
      </w:r>
    </w:p>
    <w:p>
      <w:pPr>
        <w:pStyle w:val="Heading3"/>
        <w:spacing w:before="14"/>
        <w:rPr>
          <w:i/>
          <w:u w:val="none"/>
        </w:rPr>
      </w:pPr>
      <w:r>
        <w:rPr>
          <w:b/>
          <w:color w:val="0066CC"/>
        </w:rPr>
        <w:t>Complications</w:t>
      </w:r>
    </w:p>
    <w:p>
      <w:pPr>
        <w:pStyle w:val="ListParagraph"/>
        <w:numPr>
          <w:ilvl w:val="0"/>
          <w:numId w:val="11"/>
        </w:numPr>
        <w:tabs>
          <w:tab w:pos="1199" w:val="left" w:leader="none"/>
        </w:tabs>
        <w:spacing w:line="240" w:lineRule="auto" w:before="161" w:after="0"/>
        <w:ind w:left="1198" w:right="0" w:hanging="361"/>
        <w:jc w:val="left"/>
        <w:rPr>
          <w:sz w:val="28"/>
        </w:rPr>
      </w:pPr>
      <w:r>
        <w:rPr>
          <w:b/>
          <w:color w:val="0066CC"/>
        </w:rPr>
        <w:t>Iron deficiency anemia from chronic bleeding is uncommon but possible.</w:t>
      </w:r>
    </w:p>
    <w:p>
      <w:pPr>
        <w:pStyle w:val="ListParagraph"/>
        <w:numPr>
          <w:ilvl w:val="0"/>
          <w:numId w:val="11"/>
        </w:numPr>
        <w:tabs>
          <w:tab w:pos="1199" w:val="left" w:leader="none"/>
        </w:tabs>
        <w:spacing w:line="240" w:lineRule="auto" w:before="160" w:after="0"/>
        <w:ind w:left="1198" w:right="0" w:hanging="361"/>
        <w:jc w:val="left"/>
        <w:rPr>
          <w:sz w:val="28"/>
        </w:rPr>
      </w:pPr>
      <w:r>
        <w:rPr>
          <w:b/>
          <w:color w:val="0066CC"/>
        </w:rPr>
        <w:t>Thrombosis, ulceration, or strangulation of prolapsed tissue.</w:t>
      </w:r>
    </w:p>
    <w:p>
      <w:pPr>
        <w:pStyle w:val="ListParagraph"/>
        <w:numPr>
          <w:ilvl w:val="0"/>
          <w:numId w:val="11"/>
        </w:numPr>
        <w:tabs>
          <w:tab w:pos="1199" w:val="left" w:leader="none"/>
        </w:tabs>
        <w:spacing w:line="240" w:lineRule="auto" w:before="163" w:after="0"/>
        <w:ind w:left="1198" w:right="0" w:hanging="361"/>
        <w:jc w:val="left"/>
        <w:rPr>
          <w:sz w:val="28"/>
        </w:rPr>
      </w:pPr>
      <w:r>
        <w:rPr>
          <w:b/>
          <w:color w:val="0066CC"/>
        </w:rPr>
        <w:t>Persistent prolapse with hygiene difficulties or mucus leakage.</w:t>
      </w:r>
    </w:p>
    <w:p>
      <w:pPr>
        <w:pStyle w:val="ListParagraph"/>
        <w:numPr>
          <w:ilvl w:val="0"/>
          <w:numId w:val="11"/>
        </w:numPr>
        <w:tabs>
          <w:tab w:pos="1199" w:val="left" w:leader="none"/>
        </w:tabs>
        <w:spacing w:line="360" w:lineRule="auto" w:before="160" w:after="0"/>
        <w:ind w:left="1198" w:right="1061" w:hanging="360"/>
        <w:jc w:val="left"/>
        <w:rPr>
          <w:sz w:val="28"/>
        </w:rPr>
      </w:pPr>
      <w:r>
        <w:rPr>
          <w:b/>
          <w:color w:val="0066CC"/>
        </w:rPr>
        <w:t>Pain, edema, or secondary inflammation following untreated or advanced disease.</w:t>
      </w:r>
    </w:p>
    <w:p>
      <w:pPr>
        <w:pStyle w:val="Heading3"/>
        <w:spacing w:line="321" w:lineRule="exact" w:before="0"/>
        <w:rPr>
          <w:i/>
          <w:u w:val="none"/>
        </w:rPr>
      </w:pPr>
      <w:r>
        <w:rPr>
          <w:b/>
          <w:color w:val="0066CC"/>
        </w:rPr>
        <w:t>Conservative and office-based management</w:t>
      </w:r>
    </w:p>
    <w:p>
      <w:pPr>
        <w:pStyle w:val="BodyText"/>
        <w:tabs>
          <w:tab w:pos="1845" w:val="left" w:leader="none"/>
          <w:tab w:pos="2965" w:val="left" w:leader="none"/>
          <w:tab w:pos="4432" w:val="left" w:leader="none"/>
          <w:tab w:pos="5396" w:val="left" w:leader="none"/>
          <w:tab w:pos="6268" w:val="left" w:leader="none"/>
          <w:tab w:pos="7966" w:val="left" w:leader="none"/>
          <w:tab w:pos="9649" w:val="left" w:leader="none"/>
        </w:tabs>
        <w:spacing w:line="360" w:lineRule="auto" w:before="163"/>
        <w:ind w:left="478" w:right="1055" w:firstLine="0"/>
      </w:pPr>
      <w:r>
        <w:rPr>
          <w:b/>
          <w:color w:val="0066CC"/>
        </w:rPr>
        <w:t>Diagnosis is based on history, inspection, digital rectal examination when appropriate, and anoscopy; endoscopic evaluation may be required when bleeding is unexplained or red-flag features are present.</w:t>
      </w:r>
    </w:p>
    <w:p>
      <w:pPr>
        <w:pStyle w:val="BodyText"/>
        <w:spacing w:line="360" w:lineRule="auto" w:before="0"/>
        <w:ind w:left="478" w:right="0" w:firstLine="0"/>
        <w:jc w:val="left"/>
        <w:rPr>
          <w:sz w:val="28"/>
        </w:rPr>
      </w:pPr>
      <w:r>
        <w:rPr>
          <w:b/>
          <w:color w:val="0066CC"/>
        </w:rPr>
        <w:t>Conservative management is first line for most patients and includes increased fiber intake, adequate fluids, avoidance of straining, regular exercise, and limiting prolonged toilet sitting.</w:t>
      </w:r>
    </w:p>
    <w:p>
      <w:pPr>
        <w:pStyle w:val="ListParagraph"/>
        <w:numPr>
          <w:ilvl w:val="0"/>
          <w:numId w:val="8"/>
        </w:numPr>
        <w:tabs>
          <w:tab w:pos="1198" w:val="left" w:leader="none"/>
          <w:tab w:pos="1199" w:val="left" w:leader="none"/>
        </w:tabs>
        <w:spacing w:line="240" w:lineRule="auto" w:before="1" w:after="0"/>
        <w:ind w:left="1198" w:right="0" w:hanging="361"/>
        <w:jc w:val="left"/>
        <w:rPr>
          <w:sz w:val="28"/>
        </w:rPr>
      </w:pPr>
      <w:r>
        <w:rPr>
          <w:b/>
          <w:color w:val="0066CC"/>
        </w:rPr>
        <w:t>Rubber band ligation is the preferred office procedure for most symptomatic grade I to II and selected grade III internal hemorrhoids.</w:t>
      </w:r>
    </w:p>
    <w:p>
      <w:pPr>
        <w:pStyle w:val="ListParagraph"/>
        <w:numPr>
          <w:ilvl w:val="0"/>
          <w:numId w:val="8"/>
        </w:numPr>
        <w:tabs>
          <w:tab w:pos="1198" w:val="left" w:leader="none"/>
          <w:tab w:pos="1199" w:val="left" w:leader="none"/>
        </w:tabs>
        <w:spacing w:line="240" w:lineRule="auto" w:before="160" w:after="0"/>
        <w:ind w:left="1198" w:right="0" w:hanging="361"/>
        <w:jc w:val="left"/>
        <w:rPr>
          <w:sz w:val="28"/>
        </w:rPr>
      </w:pPr>
      <w:r>
        <w:rPr>
          <w:b/>
          <w:color w:val="0066CC"/>
        </w:rPr>
        <w:t>Infrared coagulation or sclerotherapy may be used for selected small bleeding internal hemorrhoids.</w:t>
      </w:r>
    </w:p>
    <w:p>
      <w:pPr>
        <w:pStyle w:val="ListParagraph"/>
        <w:numPr>
          <w:ilvl w:val="0"/>
          <w:numId w:val="8"/>
        </w:numPr>
        <w:tabs>
          <w:tab w:pos="1198" w:val="left" w:leader="none"/>
          <w:tab w:pos="1199" w:val="left" w:leader="none"/>
        </w:tabs>
        <w:spacing w:line="240" w:lineRule="auto" w:before="161" w:after="0"/>
        <w:ind w:left="1198" w:right="0" w:hanging="361"/>
        <w:jc w:val="left"/>
        <w:rPr>
          <w:sz w:val="28"/>
        </w:rPr>
      </w:pPr>
      <w:r>
        <w:rPr>
          <w:b/>
          <w:color w:val="0066CC"/>
        </w:rPr>
        <w:t>Topical agents may provide temporary symptom relief, but they do not correct significant prolapse.</w:t>
      </w:r>
    </w:p>
    <w:p>
      <w:pPr>
        <w:pStyle w:val="ListParagraph"/>
        <w:numPr>
          <w:ilvl w:val="0"/>
          <w:numId w:val="8"/>
        </w:numPr>
        <w:tabs>
          <w:tab w:pos="1198" w:val="left" w:leader="none"/>
          <w:tab w:pos="1199" w:val="left" w:leader="none"/>
          <w:tab w:pos="2419" w:val="left" w:leader="none"/>
          <w:tab w:pos="2874" w:val="left" w:leader="none"/>
          <w:tab w:pos="4234" w:val="left" w:leader="none"/>
          <w:tab w:pos="5174" w:val="left" w:leader="none"/>
          <w:tab w:pos="5584" w:val="left" w:leader="none"/>
          <w:tab w:pos="6258" w:val="left" w:leader="none"/>
          <w:tab w:pos="7464" w:val="left" w:leader="none"/>
          <w:tab w:pos="8013" w:val="left" w:leader="none"/>
          <w:tab w:pos="8915" w:val="left" w:leader="none"/>
        </w:tabs>
        <w:spacing w:line="360" w:lineRule="auto" w:before="160" w:after="0"/>
        <w:ind w:left="1198" w:right="1062" w:hanging="360"/>
        <w:jc w:val="left"/>
        <w:rPr>
          <w:sz w:val="28"/>
        </w:rPr>
      </w:pPr>
      <w:r>
        <w:rPr>
          <w:b/>
          <w:color w:val="0066CC"/>
        </w:rPr>
        <w:t>Acutely thrombosed external hemorrhoids may be managed conservatively or excised early in carefully selected patients.</w:t>
      </w:r>
    </w:p>
    <w:p>
      <w:pPr>
        <w:pStyle w:val="Heading3"/>
        <w:spacing w:before="2"/>
        <w:rPr>
          <w:i/>
          <w:u w:val="none"/>
        </w:rPr>
      </w:pPr>
      <w:r>
        <w:rPr>
          <w:b/>
          <w:color w:val="0066CC"/>
        </w:rPr>
        <w:t>Surgical management</w:t>
      </w:r>
    </w:p>
    <w:p>
      <w:pPr>
        <w:pStyle w:val="ListParagraph"/>
        <w:numPr>
          <w:ilvl w:val="0"/>
          <w:numId w:val="8"/>
        </w:numPr>
        <w:tabs>
          <w:tab w:pos="1198" w:val="left" w:leader="none"/>
          <w:tab w:pos="1199" w:val="left" w:leader="none"/>
        </w:tabs>
        <w:spacing w:line="240" w:lineRule="auto" w:before="160" w:after="0"/>
        <w:ind w:left="1198" w:right="0" w:hanging="361"/>
        <w:jc w:val="left"/>
        <w:rPr>
          <w:sz w:val="28"/>
        </w:rPr>
      </w:pPr>
      <w:r>
        <w:rPr>
          <w:b/>
          <w:color w:val="0066CC"/>
        </w:rPr>
        <w:t>Excisional hemorrhoidectomy is usually reserved for large external hemorrhoids, combined internal and external hemorrhoids, or persistent grade III to IV disease.</w:t>
      </w:r>
    </w:p>
    <w:p>
      <w:pPr>
        <w:pStyle w:val="ListParagraph"/>
        <w:numPr>
          <w:ilvl w:val="0"/>
          <w:numId w:val="8"/>
        </w:numPr>
        <w:tabs>
          <w:tab w:pos="1198" w:val="left" w:leader="none"/>
          <w:tab w:pos="1199" w:val="left" w:leader="none"/>
        </w:tabs>
        <w:spacing w:line="240" w:lineRule="auto" w:before="161" w:after="0"/>
        <w:ind w:left="1198" w:right="0" w:hanging="361"/>
        <w:jc w:val="left"/>
        <w:rPr>
          <w:sz w:val="28"/>
        </w:rPr>
      </w:pPr>
      <w:r>
        <w:rPr>
          <w:b/>
          <w:color w:val="0066CC"/>
        </w:rPr>
        <w:t>Stapled hemorrhoidopexy or Doppler-guided procedures may be considered in selected patients, but recurrence patterns differ and local expertise is important.</w:t>
      </w:r>
    </w:p>
    <w:p>
      <w:pPr>
        <w:pStyle w:val="ListParagraph"/>
        <w:numPr>
          <w:ilvl w:val="0"/>
          <w:numId w:val="8"/>
        </w:numPr>
        <w:tabs>
          <w:tab w:pos="1198" w:val="left" w:leader="none"/>
          <w:tab w:pos="1199" w:val="left" w:leader="none"/>
        </w:tabs>
        <w:spacing w:line="240" w:lineRule="auto" w:before="160" w:after="0"/>
        <w:ind w:left="1198" w:right="0" w:hanging="361"/>
        <w:jc w:val="left"/>
        <w:rPr>
          <w:sz w:val="28"/>
        </w:rPr>
      </w:pPr>
      <w:r>
        <w:rPr>
          <w:b/>
          <w:color w:val="0066CC"/>
        </w:rPr>
        <w:t>Post-procedure pain control, bleeding surveillance, and bowel regulation are essential after any hemorrhoid intervention.</w:t>
      </w:r>
    </w:p>
    <w:p>
      <w:pPr>
        <w:spacing w:after="0" w:line="240" w:lineRule="auto"/>
        <w:jc w:val="left"/>
        <w:rPr>
          <w:sz w:val="28"/>
        </w:rPr>
        <w:sectPr>
          <w:pgSz w:w="12240" w:h="15840"/>
          <w:pgMar w:header="0" w:footer="854" w:top="1360" w:bottom="1040" w:left="940" w:right="360"/>
        </w:sectPr>
      </w:pPr>
    </w:p>
    <w:p>
      <w:pPr>
        <w:pStyle w:val="Heading3"/>
        <w:rPr>
          <w:i/>
          <w:u w:val="none"/>
        </w:rPr>
      </w:pPr>
      <w:r>
        <w:rPr>
          <w:b/>
          <w:color w:val="0066CC"/>
        </w:rPr>
        <w:t>Nursing care</w:t>
      </w:r>
    </w:p>
    <w:p>
      <w:pPr>
        <w:pStyle w:val="ListParagraph"/>
        <w:numPr>
          <w:ilvl w:val="0"/>
          <w:numId w:val="16"/>
        </w:numPr>
        <w:tabs>
          <w:tab w:pos="1199" w:val="left" w:leader="none"/>
        </w:tabs>
        <w:spacing w:line="240" w:lineRule="auto" w:before="160" w:after="0"/>
        <w:ind w:left="1198" w:right="0" w:hanging="361"/>
        <w:jc w:val="left"/>
        <w:rPr>
          <w:sz w:val="28"/>
        </w:rPr>
      </w:pPr>
      <w:r>
        <w:rPr>
          <w:b/>
          <w:color w:val="0066CC"/>
        </w:rPr>
        <w:t>Promote gentle perianal hygiene and careful drying after defecation or bathing.</w:t>
      </w:r>
    </w:p>
    <w:p>
      <w:pPr>
        <w:pStyle w:val="ListParagraph"/>
        <w:numPr>
          <w:ilvl w:val="0"/>
          <w:numId w:val="16"/>
        </w:numPr>
        <w:tabs>
          <w:tab w:pos="1199" w:val="left" w:leader="none"/>
        </w:tabs>
        <w:spacing w:line="240" w:lineRule="auto" w:before="161" w:after="0"/>
        <w:ind w:left="1198" w:right="0" w:hanging="361"/>
        <w:jc w:val="left"/>
        <w:rPr>
          <w:sz w:val="28"/>
        </w:rPr>
      </w:pPr>
      <w:r>
        <w:rPr>
          <w:b/>
          <w:color w:val="0066CC"/>
        </w:rPr>
        <w:t>Teach the patient to avoid straining, heavy lifting during acute symptoms, and prolonged sitting on the toilet.</w:t>
      </w:r>
    </w:p>
    <w:p>
      <w:pPr>
        <w:pStyle w:val="ListParagraph"/>
        <w:numPr>
          <w:ilvl w:val="0"/>
          <w:numId w:val="16"/>
        </w:numPr>
        <w:tabs>
          <w:tab w:pos="1199" w:val="left" w:leader="none"/>
        </w:tabs>
        <w:spacing w:line="240" w:lineRule="auto" w:before="162" w:after="0"/>
        <w:ind w:left="1198" w:right="0" w:hanging="361"/>
        <w:jc w:val="left"/>
        <w:rPr>
          <w:sz w:val="28"/>
        </w:rPr>
      </w:pPr>
      <w:r>
        <w:rPr>
          <w:b/>
          <w:color w:val="0066CC"/>
        </w:rPr>
        <w:t>Encourage a high-fiber diet with fruits, vegetables, and whole grains, together with adequate fluid intake.</w:t>
      </w:r>
    </w:p>
    <w:p>
      <w:pPr>
        <w:pStyle w:val="ListParagraph"/>
        <w:numPr>
          <w:ilvl w:val="0"/>
          <w:numId w:val="16"/>
        </w:numPr>
        <w:tabs>
          <w:tab w:pos="1199" w:val="left" w:leader="none"/>
        </w:tabs>
        <w:spacing w:line="240" w:lineRule="auto" w:before="161" w:after="0"/>
        <w:ind w:left="1198" w:right="0" w:hanging="361"/>
        <w:jc w:val="left"/>
        <w:rPr>
          <w:sz w:val="28"/>
        </w:rPr>
      </w:pPr>
      <w:r>
        <w:rPr>
          <w:b/>
          <w:color w:val="0066CC"/>
        </w:rPr>
        <w:t>Support regular bowel habits and timely treatment of constipation.</w:t>
      </w:r>
    </w:p>
    <w:p>
      <w:pPr>
        <w:pStyle w:val="ListParagraph"/>
        <w:numPr>
          <w:ilvl w:val="0"/>
          <w:numId w:val="16"/>
        </w:numPr>
        <w:tabs>
          <w:tab w:pos="1199" w:val="left" w:leader="none"/>
        </w:tabs>
        <w:spacing w:line="240" w:lineRule="auto" w:before="160" w:after="0"/>
        <w:ind w:left="1198" w:right="0" w:hanging="361"/>
        <w:jc w:val="left"/>
        <w:rPr>
          <w:sz w:val="28"/>
        </w:rPr>
      </w:pPr>
      <w:r>
        <w:rPr>
          <w:b/>
          <w:color w:val="0066CC"/>
        </w:rPr>
        <w:t>Warm sitz baths may relieve discomfort; cold packs may be helpful for thrombosed external hemorrhoids if ordered.</w:t>
      </w:r>
    </w:p>
    <w:p>
      <w:pPr>
        <w:pStyle w:val="ListParagraph"/>
        <w:numPr>
          <w:ilvl w:val="0"/>
          <w:numId w:val="16"/>
        </w:numPr>
        <w:tabs>
          <w:tab w:pos="1199" w:val="left" w:leader="none"/>
        </w:tabs>
        <w:spacing w:line="240" w:lineRule="auto" w:before="161" w:after="0"/>
        <w:ind w:left="1198" w:right="0" w:hanging="361"/>
        <w:jc w:val="left"/>
        <w:rPr>
          <w:sz w:val="28"/>
        </w:rPr>
      </w:pPr>
      <w:r>
        <w:rPr>
          <w:b/>
          <w:color w:val="0066CC"/>
        </w:rPr>
        <w:t>Administer prescribed analgesics, topical agents, or stool softeners and monitor the response.</w:t>
      </w:r>
    </w:p>
    <w:p>
      <w:pPr>
        <w:pStyle w:val="ListParagraph"/>
        <w:numPr>
          <w:ilvl w:val="0"/>
          <w:numId w:val="16"/>
        </w:numPr>
        <w:tabs>
          <w:tab w:pos="1199" w:val="left" w:leader="none"/>
        </w:tabs>
        <w:spacing w:line="362" w:lineRule="auto" w:before="160" w:after="0"/>
        <w:ind w:left="1198" w:right="1063" w:hanging="360"/>
        <w:jc w:val="left"/>
        <w:rPr>
          <w:sz w:val="28"/>
        </w:rPr>
      </w:pPr>
      <w:r>
        <w:rPr>
          <w:b/>
          <w:color w:val="0066CC"/>
        </w:rPr>
        <w:t>Observe for bleeding, urinary retention after surgery, infection, and severe pain that may suggest thrombosis or other complications.</w:t>
      </w:r>
    </w:p>
    <w:p>
      <w:pPr>
        <w:pStyle w:val="ListParagraph"/>
        <w:numPr>
          <w:ilvl w:val="0"/>
          <w:numId w:val="16"/>
        </w:numPr>
        <w:tabs>
          <w:tab w:pos="1199" w:val="left" w:leader="none"/>
        </w:tabs>
        <w:spacing w:line="317" w:lineRule="exact" w:before="0" w:after="0"/>
        <w:ind w:left="1198" w:right="0" w:hanging="361"/>
        <w:jc w:val="left"/>
        <w:rPr>
          <w:sz w:val="28"/>
        </w:rPr>
      </w:pPr>
      <w:r>
        <w:rPr>
          <w:b/>
          <w:color w:val="0066CC"/>
        </w:rPr>
        <w:t>Reinforce follow-up and instruct the patient to seek care for heavy bleeding, fever, or inability to pass urine or stool.</w:t>
      </w:r>
    </w:p>
    <w:p>
      <w:pPr>
        <w:pStyle w:val="Heading1"/>
        <w:numPr>
          <w:ilvl w:val="0"/>
          <w:numId w:val="2"/>
        </w:numPr>
        <w:tabs>
          <w:tab w:pos="479" w:val="left" w:leader="none"/>
        </w:tabs>
        <w:spacing w:line="240" w:lineRule="auto" w:before="159" w:after="0"/>
        <w:ind w:left="478" w:right="0" w:hanging="361"/>
        <w:jc w:val="left"/>
        <w:rPr>
          <w:rFonts w:ascii="Wingdings" w:hAnsi="Wingdings"/>
          <w:b w:val="0"/>
          <w:i w:val="0"/>
          <w:u w:val="none"/>
        </w:rPr>
      </w:pPr>
      <w:r>
        <w:rPr>
          <w:b/>
          <w:color w:val="0066CC"/>
        </w:rPr>
        <w:t>General education for patients with anorectal conditions</w:t>
      </w:r>
    </w:p>
    <w:p>
      <w:pPr>
        <w:pStyle w:val="ListParagraph"/>
        <w:numPr>
          <w:ilvl w:val="0"/>
          <w:numId w:val="17"/>
        </w:numPr>
        <w:tabs>
          <w:tab w:pos="1199" w:val="left" w:leader="none"/>
        </w:tabs>
        <w:spacing w:line="240" w:lineRule="auto" w:before="186" w:after="0"/>
        <w:ind w:left="1198" w:right="0" w:hanging="361"/>
        <w:jc w:val="both"/>
        <w:rPr>
          <w:sz w:val="28"/>
        </w:rPr>
      </w:pPr>
      <w:r>
        <w:rPr>
          <w:b/>
          <w:color w:val="0066CC"/>
        </w:rPr>
        <w:t>Patient education is essential for symptom control, recurrence prevention, and safe recovery after anorectal procedures.</w:t>
      </w:r>
    </w:p>
    <w:p>
      <w:pPr>
        <w:pStyle w:val="ListParagraph"/>
        <w:numPr>
          <w:ilvl w:val="0"/>
          <w:numId w:val="17"/>
        </w:numPr>
        <w:tabs>
          <w:tab w:pos="1199" w:val="left" w:leader="none"/>
        </w:tabs>
        <w:spacing w:line="360" w:lineRule="auto" w:before="160" w:after="0"/>
        <w:ind w:left="1198" w:right="1052" w:hanging="360"/>
        <w:jc w:val="both"/>
        <w:rPr>
          <w:sz w:val="28"/>
        </w:rPr>
      </w:pPr>
      <w:r>
        <w:rPr>
          <w:b/>
          <w:color w:val="0066CC"/>
        </w:rPr>
        <w:t>Teach the patient to cleanse the perianal area gently with warm water, then pat dry or use soft unscented wipes; vigorous rubbing should be avoided.</w:t>
      </w:r>
    </w:p>
    <w:p>
      <w:pPr>
        <w:pStyle w:val="ListParagraph"/>
        <w:numPr>
          <w:ilvl w:val="0"/>
          <w:numId w:val="17"/>
        </w:numPr>
        <w:tabs>
          <w:tab w:pos="1199" w:val="left" w:leader="none"/>
        </w:tabs>
        <w:spacing w:line="240" w:lineRule="auto" w:before="1" w:after="0"/>
        <w:ind w:left="1198" w:right="0" w:hanging="361"/>
        <w:jc w:val="both"/>
        <w:rPr>
          <w:sz w:val="28"/>
        </w:rPr>
      </w:pPr>
      <w:r>
        <w:rPr>
          <w:b/>
          <w:color w:val="0066CC"/>
        </w:rPr>
        <w:t>Explain that bowel regularity is a priority: respond to the urge to defecate promptly and avoid prolonged straining or sitting.</w:t>
      </w:r>
    </w:p>
    <w:p>
      <w:pPr>
        <w:pStyle w:val="ListParagraph"/>
        <w:numPr>
          <w:ilvl w:val="0"/>
          <w:numId w:val="17"/>
        </w:numPr>
        <w:tabs>
          <w:tab w:pos="1199" w:val="left" w:leader="none"/>
        </w:tabs>
        <w:spacing w:line="362" w:lineRule="auto" w:before="161" w:after="0"/>
        <w:ind w:left="1198" w:right="1055" w:hanging="360"/>
        <w:jc w:val="both"/>
        <w:rPr>
          <w:sz w:val="28"/>
        </w:rPr>
      </w:pPr>
      <w:r>
        <w:rPr>
          <w:b/>
          <w:color w:val="0066CC"/>
        </w:rPr>
        <w:t>Demonstrate safe sitz-bath use, including water temperature testing, duration, and frequency according to symptoms or postoperative instructions.</w:t>
      </w:r>
    </w:p>
    <w:p>
      <w:pPr>
        <w:pStyle w:val="ListParagraph"/>
        <w:numPr>
          <w:ilvl w:val="0"/>
          <w:numId w:val="17"/>
        </w:numPr>
        <w:tabs>
          <w:tab w:pos="1199" w:val="left" w:leader="none"/>
        </w:tabs>
        <w:spacing w:line="360" w:lineRule="auto" w:before="0" w:after="0"/>
        <w:ind w:left="1198" w:right="1052" w:hanging="360"/>
        <w:jc w:val="both"/>
        <w:rPr>
          <w:sz w:val="28"/>
        </w:rPr>
      </w:pPr>
      <w:r>
        <w:rPr>
          <w:b/>
          <w:color w:val="0066CC"/>
        </w:rPr>
        <w:t>After anorectal surgery, pain and sphincter spasm are common during the first 24 to 48 hours; prescribed analgesia and nonpharmacologic comfort measures should be used consistently.</w:t>
      </w:r>
    </w:p>
    <w:p>
      <w:pPr>
        <w:pStyle w:val="ListParagraph"/>
        <w:numPr>
          <w:ilvl w:val="0"/>
          <w:numId w:val="17"/>
        </w:numPr>
        <w:tabs>
          <w:tab w:pos="1199" w:val="left" w:leader="none"/>
        </w:tabs>
        <w:spacing w:line="360" w:lineRule="auto" w:before="0" w:after="0"/>
        <w:ind w:left="1198" w:right="1058" w:hanging="360"/>
        <w:jc w:val="both"/>
        <w:rPr>
          <w:sz w:val="28"/>
        </w:rPr>
      </w:pPr>
      <w:r>
        <w:rPr>
          <w:b/>
          <w:color w:val="0066CC"/>
        </w:rPr>
        <w:t>Cold therapy may reduce early swelling, whereas warm compresses or sitz baths are usually more helpful after the immediate postoperative period to improve comfort and local circulation.</w:t>
      </w:r>
    </w:p>
    <w:p>
      <w:pPr>
        <w:pStyle w:val="ListParagraph"/>
        <w:numPr>
          <w:ilvl w:val="0"/>
          <w:numId w:val="17"/>
        </w:numPr>
        <w:tabs>
          <w:tab w:pos="1199" w:val="left" w:leader="none"/>
        </w:tabs>
        <w:spacing w:line="360" w:lineRule="auto" w:before="0" w:after="0"/>
        <w:ind w:left="1198" w:right="1061" w:hanging="360"/>
        <w:jc w:val="both"/>
        <w:rPr>
          <w:sz w:val="28"/>
        </w:rPr>
      </w:pPr>
      <w:r>
        <w:rPr>
          <w:b/>
          <w:color w:val="0066CC"/>
        </w:rPr>
        <w:t>Encourage adequate fluid intake, fiber, ambulation, and prescribed stool softeners to prevent constipation and painful defecation.</w:t>
      </w:r>
    </w:p>
    <w:p>
      <w:pPr>
        <w:pStyle w:val="ListParagraph"/>
        <w:numPr>
          <w:ilvl w:val="0"/>
          <w:numId w:val="17"/>
        </w:numPr>
        <w:tabs>
          <w:tab w:pos="1199" w:val="left" w:leader="none"/>
        </w:tabs>
        <w:spacing w:line="362" w:lineRule="auto" w:before="0" w:after="0"/>
        <w:ind w:left="1198" w:right="1054" w:hanging="360"/>
        <w:jc w:val="both"/>
        <w:rPr>
          <w:sz w:val="28"/>
        </w:rPr>
      </w:pPr>
      <w:r>
        <w:rPr>
          <w:b/>
          <w:color w:val="0066CC"/>
        </w:rPr>
        <w:t>Teach the correct use of topical medications and warn against prolonged unsupervised use of steroid-containing preparations.</w:t>
      </w:r>
    </w:p>
    <w:p>
      <w:pPr>
        <w:spacing w:after="0" w:line="362" w:lineRule="auto"/>
        <w:jc w:val="both"/>
        <w:rPr>
          <w:sz w:val="28"/>
        </w:rPr>
        <w:sectPr>
          <w:pgSz w:w="12240" w:h="15840"/>
          <w:pgMar w:header="0" w:footer="854" w:top="1360" w:bottom="1040" w:left="940" w:right="360"/>
        </w:sectPr>
      </w:pPr>
    </w:p>
    <w:p>
      <w:pPr>
        <w:pStyle w:val="ListParagraph"/>
        <w:numPr>
          <w:ilvl w:val="0"/>
          <w:numId w:val="17"/>
        </w:numPr>
        <w:tabs>
          <w:tab w:pos="1199" w:val="left" w:leader="none"/>
        </w:tabs>
        <w:spacing w:line="360" w:lineRule="auto" w:before="59" w:after="0"/>
        <w:ind w:left="1198" w:right="1059" w:hanging="360"/>
        <w:jc w:val="left"/>
        <w:rPr>
          <w:sz w:val="28"/>
        </w:rPr>
      </w:pPr>
      <w:r>
        <w:rPr>
          <w:b/>
          <w:color w:val="0066CC"/>
        </w:rPr>
        <w:t>Review warning signs that require urgent reassessment: fever, increasing pain, purulent drainage, heavy rectal bleeding, urinary retention, fecal incontinence, or inability to pass stool or gas.</w:t>
      </w:r>
    </w:p>
    <w:p>
      <w:pPr>
        <w:pStyle w:val="ListParagraph"/>
        <w:numPr>
          <w:ilvl w:val="0"/>
          <w:numId w:val="17"/>
        </w:numPr>
        <w:tabs>
          <w:tab w:pos="1199" w:val="left" w:leader="none"/>
        </w:tabs>
        <w:spacing w:line="362" w:lineRule="auto" w:before="0" w:after="0"/>
        <w:ind w:left="838" w:right="1053" w:firstLine="0"/>
        <w:jc w:val="left"/>
        <w:rPr>
          <w:sz w:val="28"/>
        </w:rPr>
      </w:pPr>
      <w:r>
        <w:rPr>
          <w:b/>
          <w:color w:val="0066CC"/>
        </w:rPr>
        <w:t>Promote adherence by addressing embarrassment, pain, and anxiety, and by giving simple written instructions for home care.</w:t>
      </w:r>
    </w:p>
    <w:p>
      <w:pPr>
        <w:pStyle w:val="BodyText"/>
        <w:spacing w:line="317" w:lineRule="exact"/>
        <w:ind w:firstLine="0"/>
      </w:pPr>
      <w:r>
        <w:rPr>
          <w:b/>
          <w:color w:val="0066CC"/>
        </w:rPr>
        <w:t>If dressings or compresses are ordered, they should be changed using clean technique and the surrounding skin should be protected from maceration.</w:t>
      </w:r>
    </w:p>
    <w:p>
      <w:pPr>
        <w:pStyle w:val="ListParagraph"/>
        <w:numPr>
          <w:ilvl w:val="0"/>
          <w:numId w:val="18"/>
        </w:numPr>
        <w:tabs>
          <w:tab w:pos="1199" w:val="left" w:leader="none"/>
        </w:tabs>
        <w:spacing w:line="360" w:lineRule="auto" w:before="159" w:after="0"/>
        <w:ind w:left="1198" w:right="1056" w:hanging="360"/>
        <w:jc w:val="left"/>
        <w:rPr>
          <w:sz w:val="28"/>
        </w:rPr>
      </w:pPr>
      <w:r>
        <w:rPr>
          <w:b/>
          <w:color w:val="0066CC"/>
        </w:rPr>
        <w:t>Barrier ointments may be used when drainage is frequent to protect surrounding skin, according to the treatment plan.</w:t>
      </w:r>
    </w:p>
    <w:p>
      <w:pPr>
        <w:pStyle w:val="ListParagraph"/>
        <w:numPr>
          <w:ilvl w:val="0"/>
          <w:numId w:val="18"/>
        </w:numPr>
        <w:tabs>
          <w:tab w:pos="1199" w:val="left" w:leader="none"/>
        </w:tabs>
        <w:spacing w:line="362" w:lineRule="auto" w:before="0" w:after="0"/>
        <w:ind w:left="1198" w:right="1063" w:hanging="360"/>
        <w:jc w:val="left"/>
        <w:rPr>
          <w:sz w:val="28"/>
        </w:rPr>
      </w:pPr>
      <w:r>
        <w:rPr>
          <w:b/>
          <w:color w:val="0066CC"/>
        </w:rPr>
        <w:t>Positioning for comfort, adequate rest, and scheduled follow-up appointments should be emphasized during discharge teaching.</w:t>
      </w:r>
    </w:p>
    <w:p>
      <w:pPr>
        <w:pStyle w:val="BodyText"/>
        <w:spacing w:before="4"/>
        <w:ind w:left="0" w:firstLine="0"/>
        <w:rPr>
          <w:sz w:val="41"/>
        </w:rPr>
      </w:pPr>
    </w:p>
    <w:p>
      <w:pPr>
        <w:pStyle w:val="Heading1"/>
        <w:numPr>
          <w:ilvl w:val="0"/>
          <w:numId w:val="2"/>
        </w:numPr>
        <w:tabs>
          <w:tab w:pos="479" w:val="left" w:leader="none"/>
        </w:tabs>
        <w:spacing w:line="240" w:lineRule="auto" w:before="0" w:after="0"/>
        <w:ind w:left="478" w:right="0" w:hanging="361"/>
        <w:jc w:val="left"/>
        <w:rPr>
          <w:rFonts w:ascii="Wingdings" w:hAnsi="Wingdings"/>
          <w:b w:val="0"/>
          <w:i w:val="0"/>
          <w:u w:val="none"/>
        </w:rPr>
      </w:pPr>
      <w:r>
        <w:rPr>
          <w:b/>
          <w:color w:val="0066CC"/>
        </w:rPr>
        <w:t>Common nursing diagnoses with anorectal disorders</w:t>
      </w:r>
    </w:p>
    <w:p>
      <w:pPr>
        <w:pStyle w:val="Heading2"/>
        <w:numPr>
          <w:ilvl w:val="0"/>
          <w:numId w:val="19"/>
        </w:numPr>
        <w:tabs>
          <w:tab w:pos="1199" w:val="left" w:leader="none"/>
        </w:tabs>
        <w:spacing w:line="240" w:lineRule="auto" w:before="185" w:after="0"/>
        <w:ind w:left="1198" w:right="0" w:hanging="361"/>
        <w:jc w:val="left"/>
        <w:rPr>
          <w:b w:val="0"/>
        </w:rPr>
      </w:pPr>
      <w:r>
        <w:rPr>
          <w:b/>
          <w:color w:val="0066CC"/>
        </w:rPr>
        <w:t>Constipation related to fear of painful defecation, inadequate fiber or fluid intake, and voluntary suppression of the urge to defecate</w:t>
      </w:r>
    </w:p>
    <w:p>
      <w:pPr>
        <w:pStyle w:val="BodyText"/>
        <w:spacing w:before="161"/>
        <w:ind w:left="478" w:firstLine="0"/>
      </w:pPr>
      <w:r>
        <w:rPr>
          <w:b/>
          <w:color w:val="0066CC"/>
        </w:rPr>
        <w:t>Possible evidence includes infrequent bowel movements, passage of hard stool, abdominal distention, straining, or a report of rectal fullness.</w:t>
      </w:r>
    </w:p>
    <w:p>
      <w:pPr>
        <w:pStyle w:val="Heading2"/>
        <w:spacing w:before="163"/>
        <w:ind w:firstLine="0"/>
      </w:pPr>
      <w:r>
        <w:rPr>
          <w:b/>
          <w:color w:val="0066CC"/>
        </w:rPr>
        <w:t>Goal:</w:t>
      </w:r>
    </w:p>
    <w:p>
      <w:pPr>
        <w:pStyle w:val="BodyText"/>
        <w:spacing w:line="360" w:lineRule="auto" w:before="160"/>
        <w:ind w:left="478" w:firstLine="0"/>
      </w:pPr>
      <w:r>
        <w:rPr>
          <w:b/>
          <w:color w:val="0066CC"/>
        </w:rPr>
        <w:t>The patient will maintain soft, regular bowel elimination without excessive straining.</w:t>
      </w:r>
    </w:p>
    <w:p>
      <w:pPr>
        <w:pStyle w:val="Heading2"/>
        <w:spacing w:line="321" w:lineRule="exact" w:before="0"/>
        <w:ind w:firstLine="0"/>
      </w:pPr>
      <w:r>
        <w:rPr>
          <w:b/>
          <w:color w:val="0066CC"/>
        </w:rPr>
        <w:t>Acute pain related to anal inflammation, tissue trauma, sphincter spasm, or prolapsed hemorrhoidal tissue</w:t>
      </w:r>
    </w:p>
    <w:p>
      <w:pPr>
        <w:pStyle w:val="BodyText"/>
        <w:spacing w:before="163"/>
        <w:ind w:left="478" w:firstLine="0"/>
      </w:pPr>
      <w:r>
        <w:rPr>
          <w:b/>
          <w:color w:val="0066CC"/>
        </w:rPr>
        <w:t>Possible evidence includes verbal reports of pain, guarding, facial grimacing, reluctance to defecate, or difficulty sitting.</w:t>
      </w:r>
    </w:p>
    <w:p>
      <w:pPr>
        <w:pStyle w:val="Heading2"/>
        <w:numPr>
          <w:ilvl w:val="0"/>
          <w:numId w:val="19"/>
        </w:numPr>
        <w:tabs>
          <w:tab w:pos="1199" w:val="left" w:leader="none"/>
        </w:tabs>
        <w:spacing w:line="240" w:lineRule="auto" w:before="160" w:after="0"/>
        <w:ind w:left="1198" w:right="0" w:hanging="361"/>
        <w:jc w:val="left"/>
      </w:pPr>
      <w:r>
        <w:rPr>
          <w:b/>
          <w:color w:val="0066CC"/>
        </w:rPr>
        <w:t>Goal:</w:t>
      </w:r>
    </w:p>
    <w:p>
      <w:pPr>
        <w:pStyle w:val="BodyText"/>
        <w:spacing w:before="161"/>
        <w:ind w:left="838" w:firstLine="0"/>
      </w:pPr>
      <w:r>
        <w:rPr>
          <w:b/>
          <w:color w:val="0066CC"/>
        </w:rPr>
        <w:t>The patient will report acceptable pain relief and demonstrate use of prescribed comfort measures.</w:t>
      </w:r>
    </w:p>
    <w:p>
      <w:pPr>
        <w:pStyle w:val="Heading2"/>
        <w:ind w:firstLine="0"/>
      </w:pPr>
      <w:r>
        <w:rPr>
          <w:b/>
          <w:color w:val="0066CC"/>
        </w:rPr>
        <w:t>Impaired comfort related to pain, drainage, itching, swelling, or anxiety about bowel elimination</w:t>
      </w:r>
    </w:p>
    <w:p>
      <w:pPr>
        <w:pStyle w:val="BodyText"/>
        <w:spacing w:before="161"/>
        <w:ind w:left="478" w:firstLine="0"/>
      </w:pPr>
      <w:r>
        <w:rPr>
          <w:b/>
          <w:color w:val="0066CC"/>
        </w:rPr>
        <w:t>Possible evidence includes restlessness, irritability, sleep disturbance, reduced activity tolerance, or difficulty performing self-care.</w:t>
      </w:r>
    </w:p>
    <w:p>
      <w:pPr>
        <w:pStyle w:val="Heading2"/>
        <w:spacing w:before="163"/>
        <w:ind w:left="478" w:firstLine="0"/>
      </w:pPr>
      <w:r>
        <w:rPr>
          <w:b/>
          <w:color w:val="0066CC"/>
        </w:rPr>
        <w:t>Goal:</w:t>
      </w:r>
    </w:p>
    <w:p>
      <w:pPr>
        <w:pStyle w:val="BodyText"/>
        <w:spacing w:before="160"/>
        <w:ind w:firstLine="0"/>
      </w:pPr>
      <w:r>
        <w:rPr>
          <w:b/>
          <w:color w:val="0066CC"/>
        </w:rPr>
        <w:t>The patient will verbalize improved comfort and identify effective strategies to reduce symptoms at home.</w:t>
      </w:r>
    </w:p>
    <w:p>
      <w:pPr>
        <w:pStyle w:val="Heading2"/>
        <w:numPr>
          <w:ilvl w:val="0"/>
          <w:numId w:val="19"/>
        </w:numPr>
        <w:tabs>
          <w:tab w:pos="1199" w:val="left" w:leader="none"/>
        </w:tabs>
        <w:spacing w:line="240" w:lineRule="auto" w:before="161" w:after="0"/>
        <w:ind w:left="1198" w:right="0" w:hanging="361"/>
        <w:jc w:val="left"/>
        <w:rPr>
          <w:sz w:val="28"/>
        </w:rPr>
      </w:pPr>
      <w:r>
        <w:rPr>
          <w:b/>
          <w:color w:val="0066CC"/>
        </w:rPr>
        <w:t>Deficient knowledge related to unfamiliarity with the disease process, hygiene measures, medication use, and recurrence prevention</w:t>
      </w:r>
    </w:p>
    <w:p>
      <w:pPr>
        <w:pStyle w:val="BodyText"/>
        <w:spacing w:before="160"/>
        <w:ind w:left="478" w:firstLine="0"/>
      </w:pPr>
      <w:r>
        <w:rPr>
          <w:b/>
          <w:color w:val="0066CC"/>
        </w:rPr>
        <w:t>Possible evidence includes incorrect self-care practices, repeated questions, or inability to describe follow-up needs.</w:t>
      </w:r>
    </w:p>
    <w:p>
      <w:pPr>
        <w:pStyle w:val="Heading2"/>
        <w:spacing w:before="163"/>
        <w:ind w:left="687" w:firstLine="0"/>
      </w:pPr>
      <w:r>
        <w:rPr>
          <w:b/>
          <w:color w:val="0066CC"/>
        </w:rPr>
        <w:t>Goal:</w:t>
      </w:r>
    </w:p>
    <w:p>
      <w:pPr>
        <w:spacing w:after="0"/>
        <w:sectPr>
          <w:pgSz w:w="12240" w:h="15840"/>
          <w:pgMar w:header="0" w:footer="854" w:top="1360" w:bottom="1040" w:left="940" w:right="360"/>
        </w:sectPr>
      </w:pPr>
    </w:p>
    <w:p>
      <w:pPr>
        <w:pStyle w:val="BodyText"/>
        <w:spacing w:before="59"/>
        <w:ind w:left="478" w:firstLine="0"/>
      </w:pPr>
      <w:r>
        <w:rPr>
          <w:b/>
          <w:color w:val="0066CC"/>
        </w:rPr>
        <w:t>The patient will explain the treatment plan, warning signs, and home-care measures before discharge.</w:t>
      </w:r>
    </w:p>
    <w:p>
      <w:pPr>
        <w:pStyle w:val="Heading2"/>
        <w:ind w:left="757" w:firstLine="0"/>
      </w:pPr>
      <w:r>
        <w:rPr>
          <w:b/>
          <w:color w:val="0066CC"/>
        </w:rPr>
        <w:t>Additional nursing priorities:</w:t>
      </w:r>
    </w:p>
    <w:p>
      <w:pPr>
        <w:pStyle w:val="BodyText"/>
        <w:spacing w:before="161"/>
        <w:ind w:left="478" w:firstLine="0"/>
      </w:pPr>
      <w:r>
        <w:rPr>
          <w:b/>
          <w:color w:val="0066CC"/>
        </w:rPr>
        <w:t>Monitor elimination, hydration, bleeding, wound healing, and signs of infection or impaired continence.</w:t>
      </w:r>
    </w:p>
    <w:p>
      <w:pPr>
        <w:pStyle w:val="BodyText"/>
        <w:spacing w:before="162"/>
        <w:ind w:left="478" w:firstLine="0"/>
      </w:pPr>
      <w:r>
        <w:rPr>
          <w:b/>
          <w:color w:val="0066CC"/>
        </w:rPr>
        <w:t>Individualize nursing diagnoses according to the specific disorder, procedure performed, comorbidities, and patient learning needs.</w:t>
      </w:r>
    </w:p>
    <w:p>
      <w:pPr>
        <w:pStyle w:val="Heading1"/>
      </w:pPr>
      <w:r>
        <w:rPr>
          <w:b/>
          <w:color w:val="0066CC"/>
        </w:rPr>
        <w:t>Selected current references</w:t>
      </w:r>
    </w:p>
    <w:p>
      <w:pPr>
        <w:pStyle w:val="ListParagraph"/>
      </w:pPr>
      <w:r>
        <w:rPr>
          <w:b/>
          <w:color w:val="0066CC"/>
        </w:rPr>
        <w:t>American Society of Colon and Rectal Surgeons (ASCRS). Clinical Practice Guideline: Management of Hemorrhoids, 2024.</w:t>
      </w:r>
    </w:p>
    <w:p>
      <w:pPr>
        <w:pStyle w:val="ListParagraph"/>
      </w:pPr>
      <w:r>
        <w:rPr>
          <w:b/>
          <w:color w:val="0066CC"/>
        </w:rPr>
        <w:t>American Society of Colon and Rectal Surgeons (ASCRS). Clinical Practice Guideline: Management of Anal Fissures, 2023.</w:t>
      </w:r>
    </w:p>
    <w:p>
      <w:pPr>
        <w:pStyle w:val="ListParagraph"/>
      </w:pPr>
      <w:r>
        <w:rPr>
          <w:b/>
          <w:color w:val="0066CC"/>
        </w:rPr>
        <w:t>American Society of Colon and Rectal Surgeons (ASCRS). Clinical Practice Guideline: Management of Anorectal Abscess, Fistula-in-Ano, and Rectovaginal Fistula, 2022.</w:t>
      </w:r>
    </w:p>
    <w:p>
      <w:pPr>
        <w:pStyle w:val="ListParagraph"/>
      </w:pPr>
      <w:r>
        <w:rPr>
          <w:b/>
          <w:color w:val="0066CC"/>
        </w:rPr>
        <w:t>BMJ Best Practice topic reviews on hemorrhoids, anal fissure, and anorectal abscess/fistula for current supportive nursing and medical management principles.</w:t>
      </w:r>
    </w:p>
    <w:sectPr>
      <w:pgSz w:w="12240" w:h="15840"/>
      <w:pgMar w:header="0" w:footer="854" w:top="1360" w:bottom="1040" w:left="940" w:right="36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0"/>
    <w:family w:val="roman"/>
    <w:pitch w:val="variable"/>
  </w:font>
  <w:font w:name="Arial">
    <w:altName w:val="Arial"/>
    <w:charset w:val="0"/>
    <w:family w:val="swiss"/>
    <w:pitch w:val="variable"/>
  </w:font>
  <w:font w:name="Calibri">
    <w:altName w:val="Calibri"/>
    <w:charset w:val="0"/>
    <w:family w:val="swiss"/>
    <w:pitch w:val="variable"/>
  </w:font>
  <w:font w:name="Wingdings">
    <w:altName w:val="Wingdings"/>
    <w:charset w:val="2"/>
    <w:family w:val="auto"/>
    <w:pitch w:val="variable"/>
  </w:font>
  <w:font w:name="Courier New">
    <w:altName w:val="Courier New"/>
    <w:charset w:val="0"/>
    <w:family w:val="modern"/>
    <w:pitch w:val="fixed"/>
  </w:font>
  <w:font w:name="Symbol">
    <w:altName w:val="Symbol"/>
    <w:charset w:val="2"/>
    <w:family w:val="roman"/>
    <w:pitch w:val="variable"/>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ind w:left="0" w:firstLine="0"/>
      <w:rPr>
        <w:sz w:val="20"/>
      </w:rPr>
    </w:pPr>
    <w:r>
      <w:rPr/>
      <w:pict>
        <v:shape style="position:absolute;margin-left:72.402pt;margin-top:735.279968pt;width:504.7pt;height:25.2pt;mso-position-horizontal-relative:page;mso-position-vertical-relative:page;z-index:-15954432" id="docshape4" coordorigin="1448,14706" coordsize="10094,504" path="m11542,14706l10822,14706,1448,14706,1448,14735,10822,14735,10822,15210,11542,15210,11542,14706xe" filled="true" fillcolor="#000000" stroked="false">
          <v:path arrowok="t"/>
          <v:fill type="solid"/>
          <w10:wrap type="none"/>
        </v:shape>
      </w:pict>
    </w:r>
    <w:r>
      <w:rPr/>
      <w:pict>
        <v:shapetype id="_x0000_t202" o:spt="202" coordsize="21600,21600" path="m,l,21600r21600,l21600,xe">
          <v:stroke joinstyle="miter"/>
          <v:path gradientshapeok="t" o:connecttype="rect"/>
        </v:shapetype>
        <v:shape style="position:absolute;margin-left:551.380005pt;margin-top:742.286011pt;width:21.2pt;height:16.05pt;mso-position-horizontal-relative:page;mso-position-vertical-relative:page;z-index:-15953920" type="#_x0000_t202" id="docshape5" filled="false" stroked="false">
          <v:textbox inset="0,0,0,0">
            <w:txbxContent>
              <w:p>
                <w:pPr>
                  <w:pStyle w:val="BodyText"/>
                  <w:spacing w:line="306" w:lineRule="exact"/>
                  <w:ind w:left="60" w:firstLine="0"/>
                  <w:rPr>
                    <w:rFonts w:ascii="Calibri"/>
                  </w:rPr>
                </w:pPr>
                <w:r>
                  <w:rPr/>
                  <w:fldChar w:fldCharType="begin"/>
                </w:r>
                <w:r>
                  <w:rPr>
                    <w:rFonts w:ascii="Calibri"/>
                    <w:color w:val="FFFFFF"/>
                  </w:rPr>
                  <w:instrText> PAGE </w:instrText>
                </w:r>
                <w:r>
                  <w:rPr/>
                  <w:fldChar w:fldCharType="separate"/>
                </w:r>
                <w:r>
                  <w:rPr/>
                  <w:t>10</w:t>
                </w:r>
                <w:r>
                  <w:rPr/>
                  <w:fldChar w:fldCharType="end"/>
                </w:r>
              </w:p>
            </w:txbxContent>
          </v:textbox>
          <w10:wrap type="none"/>
        </v:shape>
      </w:pict>
    </w:r>
  </w:p>
</w:ft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18">
    <w:multiLevelType w:val="hybridMultilevel"/>
    <w:lvl w:ilvl="0">
      <w:start w:val="1"/>
      <w:numFmt w:val="decimal"/>
      <w:lvlText w:val="%1."/>
      <w:lvlJc w:val="left"/>
      <w:pPr>
        <w:ind w:left="1198" w:hanging="360"/>
        <w:jc w:val="left"/>
      </w:pPr>
      <w:rPr>
        <w:rFonts w:hint="default"/>
        <w:spacing w:val="0"/>
        <w:w w:val="100"/>
        <w:lang w:val="en-US" w:eastAsia="en-US" w:bidi="ar-SA"/>
      </w:rPr>
    </w:lvl>
    <w:lvl w:ilvl="1">
      <w:start w:val="0"/>
      <w:numFmt w:val="bullet"/>
      <w:lvlText w:val="•"/>
      <w:lvlJc w:val="left"/>
      <w:pPr>
        <w:ind w:left="2174" w:hanging="360"/>
      </w:pPr>
      <w:rPr>
        <w:rFonts w:hint="default"/>
        <w:lang w:val="en-US" w:eastAsia="en-US" w:bidi="ar-SA"/>
      </w:rPr>
    </w:lvl>
    <w:lvl w:ilvl="2">
      <w:start w:val="0"/>
      <w:numFmt w:val="bullet"/>
      <w:lvlText w:val="•"/>
      <w:lvlJc w:val="left"/>
      <w:pPr>
        <w:ind w:left="3148" w:hanging="360"/>
      </w:pPr>
      <w:rPr>
        <w:rFonts w:hint="default"/>
        <w:lang w:val="en-US" w:eastAsia="en-US" w:bidi="ar-SA"/>
      </w:rPr>
    </w:lvl>
    <w:lvl w:ilvl="3">
      <w:start w:val="0"/>
      <w:numFmt w:val="bullet"/>
      <w:lvlText w:val="•"/>
      <w:lvlJc w:val="left"/>
      <w:pPr>
        <w:ind w:left="4122" w:hanging="360"/>
      </w:pPr>
      <w:rPr>
        <w:rFonts w:hint="default"/>
        <w:lang w:val="en-US" w:eastAsia="en-US" w:bidi="ar-SA"/>
      </w:rPr>
    </w:lvl>
    <w:lvl w:ilvl="4">
      <w:start w:val="0"/>
      <w:numFmt w:val="bullet"/>
      <w:lvlText w:val="•"/>
      <w:lvlJc w:val="left"/>
      <w:pPr>
        <w:ind w:left="5096" w:hanging="360"/>
      </w:pPr>
      <w:rPr>
        <w:rFonts w:hint="default"/>
        <w:lang w:val="en-US" w:eastAsia="en-US" w:bidi="ar-SA"/>
      </w:rPr>
    </w:lvl>
    <w:lvl w:ilvl="5">
      <w:start w:val="0"/>
      <w:numFmt w:val="bullet"/>
      <w:lvlText w:val="•"/>
      <w:lvlJc w:val="left"/>
      <w:pPr>
        <w:ind w:left="6070" w:hanging="360"/>
      </w:pPr>
      <w:rPr>
        <w:rFonts w:hint="default"/>
        <w:lang w:val="en-US" w:eastAsia="en-US" w:bidi="ar-SA"/>
      </w:rPr>
    </w:lvl>
    <w:lvl w:ilvl="6">
      <w:start w:val="0"/>
      <w:numFmt w:val="bullet"/>
      <w:lvlText w:val="•"/>
      <w:lvlJc w:val="left"/>
      <w:pPr>
        <w:ind w:left="7044" w:hanging="360"/>
      </w:pPr>
      <w:rPr>
        <w:rFonts w:hint="default"/>
        <w:lang w:val="en-US" w:eastAsia="en-US" w:bidi="ar-SA"/>
      </w:rPr>
    </w:lvl>
    <w:lvl w:ilvl="7">
      <w:start w:val="0"/>
      <w:numFmt w:val="bullet"/>
      <w:lvlText w:val="•"/>
      <w:lvlJc w:val="left"/>
      <w:pPr>
        <w:ind w:left="8018" w:hanging="360"/>
      </w:pPr>
      <w:rPr>
        <w:rFonts w:hint="default"/>
        <w:lang w:val="en-US" w:eastAsia="en-US" w:bidi="ar-SA"/>
      </w:rPr>
    </w:lvl>
    <w:lvl w:ilvl="8">
      <w:start w:val="0"/>
      <w:numFmt w:val="bullet"/>
      <w:lvlText w:val="•"/>
      <w:lvlJc w:val="left"/>
      <w:pPr>
        <w:ind w:left="8992" w:hanging="360"/>
      </w:pPr>
      <w:rPr>
        <w:rFonts w:hint="default"/>
        <w:lang w:val="en-US" w:eastAsia="en-US" w:bidi="ar-SA"/>
      </w:rPr>
    </w:lvl>
  </w:abstractNum>
  <w:abstractNum w:abstractNumId="17">
    <w:multiLevelType w:val="hybridMultilevel"/>
    <w:lvl w:ilvl="0">
      <w:start w:val="12"/>
      <w:numFmt w:val="decimal"/>
      <w:lvlText w:val="%1."/>
      <w:lvlJc w:val="left"/>
      <w:pPr>
        <w:ind w:left="1198" w:hanging="360"/>
        <w:jc w:val="left"/>
      </w:pPr>
      <w:rPr>
        <w:rFonts w:hint="default" w:ascii="Times New Roman" w:hAnsi="Times New Roman" w:eastAsia="Times New Roman" w:cs="Times New Roman"/>
        <w:b w:val="0"/>
        <w:bCs w:val="0"/>
        <w:i w:val="0"/>
        <w:iCs w:val="0"/>
        <w:spacing w:val="1"/>
        <w:w w:val="100"/>
        <w:sz w:val="26"/>
        <w:szCs w:val="26"/>
        <w:lang w:val="en-US" w:eastAsia="en-US" w:bidi="ar-SA"/>
      </w:rPr>
    </w:lvl>
    <w:lvl w:ilvl="1">
      <w:start w:val="0"/>
      <w:numFmt w:val="bullet"/>
      <w:lvlText w:val="•"/>
      <w:lvlJc w:val="left"/>
      <w:pPr>
        <w:ind w:left="2174" w:hanging="360"/>
      </w:pPr>
      <w:rPr>
        <w:rFonts w:hint="default"/>
        <w:lang w:val="en-US" w:eastAsia="en-US" w:bidi="ar-SA"/>
      </w:rPr>
    </w:lvl>
    <w:lvl w:ilvl="2">
      <w:start w:val="0"/>
      <w:numFmt w:val="bullet"/>
      <w:lvlText w:val="•"/>
      <w:lvlJc w:val="left"/>
      <w:pPr>
        <w:ind w:left="3148" w:hanging="360"/>
      </w:pPr>
      <w:rPr>
        <w:rFonts w:hint="default"/>
        <w:lang w:val="en-US" w:eastAsia="en-US" w:bidi="ar-SA"/>
      </w:rPr>
    </w:lvl>
    <w:lvl w:ilvl="3">
      <w:start w:val="0"/>
      <w:numFmt w:val="bullet"/>
      <w:lvlText w:val="•"/>
      <w:lvlJc w:val="left"/>
      <w:pPr>
        <w:ind w:left="4122" w:hanging="360"/>
      </w:pPr>
      <w:rPr>
        <w:rFonts w:hint="default"/>
        <w:lang w:val="en-US" w:eastAsia="en-US" w:bidi="ar-SA"/>
      </w:rPr>
    </w:lvl>
    <w:lvl w:ilvl="4">
      <w:start w:val="0"/>
      <w:numFmt w:val="bullet"/>
      <w:lvlText w:val="•"/>
      <w:lvlJc w:val="left"/>
      <w:pPr>
        <w:ind w:left="5096" w:hanging="360"/>
      </w:pPr>
      <w:rPr>
        <w:rFonts w:hint="default"/>
        <w:lang w:val="en-US" w:eastAsia="en-US" w:bidi="ar-SA"/>
      </w:rPr>
    </w:lvl>
    <w:lvl w:ilvl="5">
      <w:start w:val="0"/>
      <w:numFmt w:val="bullet"/>
      <w:lvlText w:val="•"/>
      <w:lvlJc w:val="left"/>
      <w:pPr>
        <w:ind w:left="6070" w:hanging="360"/>
      </w:pPr>
      <w:rPr>
        <w:rFonts w:hint="default"/>
        <w:lang w:val="en-US" w:eastAsia="en-US" w:bidi="ar-SA"/>
      </w:rPr>
    </w:lvl>
    <w:lvl w:ilvl="6">
      <w:start w:val="0"/>
      <w:numFmt w:val="bullet"/>
      <w:lvlText w:val="•"/>
      <w:lvlJc w:val="left"/>
      <w:pPr>
        <w:ind w:left="7044" w:hanging="360"/>
      </w:pPr>
      <w:rPr>
        <w:rFonts w:hint="default"/>
        <w:lang w:val="en-US" w:eastAsia="en-US" w:bidi="ar-SA"/>
      </w:rPr>
    </w:lvl>
    <w:lvl w:ilvl="7">
      <w:start w:val="0"/>
      <w:numFmt w:val="bullet"/>
      <w:lvlText w:val="•"/>
      <w:lvlJc w:val="left"/>
      <w:pPr>
        <w:ind w:left="8018" w:hanging="360"/>
      </w:pPr>
      <w:rPr>
        <w:rFonts w:hint="default"/>
        <w:lang w:val="en-US" w:eastAsia="en-US" w:bidi="ar-SA"/>
      </w:rPr>
    </w:lvl>
    <w:lvl w:ilvl="8">
      <w:start w:val="0"/>
      <w:numFmt w:val="bullet"/>
      <w:lvlText w:val="•"/>
      <w:lvlJc w:val="left"/>
      <w:pPr>
        <w:ind w:left="8992" w:hanging="360"/>
      </w:pPr>
      <w:rPr>
        <w:rFonts w:hint="default"/>
        <w:lang w:val="en-US" w:eastAsia="en-US" w:bidi="ar-SA"/>
      </w:rPr>
    </w:lvl>
  </w:abstractNum>
  <w:abstractNum w:abstractNumId="16">
    <w:multiLevelType w:val="hybridMultilevel"/>
    <w:lvl w:ilvl="0">
      <w:start w:val="1"/>
      <w:numFmt w:val="decimal"/>
      <w:lvlText w:val="%1."/>
      <w:lvlJc w:val="left"/>
      <w:pPr>
        <w:ind w:left="1198" w:hanging="360"/>
        <w:jc w:val="left"/>
      </w:pPr>
      <w:rPr>
        <w:rFonts w:hint="default" w:ascii="Times New Roman" w:hAnsi="Times New Roman" w:eastAsia="Times New Roman" w:cs="Times New Roman"/>
        <w:b w:val="0"/>
        <w:bCs w:val="0"/>
        <w:i w:val="0"/>
        <w:iCs w:val="0"/>
        <w:spacing w:val="0"/>
        <w:w w:val="100"/>
        <w:sz w:val="28"/>
        <w:szCs w:val="28"/>
        <w:lang w:val="en-US" w:eastAsia="en-US" w:bidi="ar-SA"/>
      </w:rPr>
    </w:lvl>
    <w:lvl w:ilvl="1">
      <w:start w:val="0"/>
      <w:numFmt w:val="bullet"/>
      <w:lvlText w:val="•"/>
      <w:lvlJc w:val="left"/>
      <w:pPr>
        <w:ind w:left="2174" w:hanging="360"/>
      </w:pPr>
      <w:rPr>
        <w:rFonts w:hint="default"/>
        <w:lang w:val="en-US" w:eastAsia="en-US" w:bidi="ar-SA"/>
      </w:rPr>
    </w:lvl>
    <w:lvl w:ilvl="2">
      <w:start w:val="0"/>
      <w:numFmt w:val="bullet"/>
      <w:lvlText w:val="•"/>
      <w:lvlJc w:val="left"/>
      <w:pPr>
        <w:ind w:left="3148" w:hanging="360"/>
      </w:pPr>
      <w:rPr>
        <w:rFonts w:hint="default"/>
        <w:lang w:val="en-US" w:eastAsia="en-US" w:bidi="ar-SA"/>
      </w:rPr>
    </w:lvl>
    <w:lvl w:ilvl="3">
      <w:start w:val="0"/>
      <w:numFmt w:val="bullet"/>
      <w:lvlText w:val="•"/>
      <w:lvlJc w:val="left"/>
      <w:pPr>
        <w:ind w:left="4122" w:hanging="360"/>
      </w:pPr>
      <w:rPr>
        <w:rFonts w:hint="default"/>
        <w:lang w:val="en-US" w:eastAsia="en-US" w:bidi="ar-SA"/>
      </w:rPr>
    </w:lvl>
    <w:lvl w:ilvl="4">
      <w:start w:val="0"/>
      <w:numFmt w:val="bullet"/>
      <w:lvlText w:val="•"/>
      <w:lvlJc w:val="left"/>
      <w:pPr>
        <w:ind w:left="5096" w:hanging="360"/>
      </w:pPr>
      <w:rPr>
        <w:rFonts w:hint="default"/>
        <w:lang w:val="en-US" w:eastAsia="en-US" w:bidi="ar-SA"/>
      </w:rPr>
    </w:lvl>
    <w:lvl w:ilvl="5">
      <w:start w:val="0"/>
      <w:numFmt w:val="bullet"/>
      <w:lvlText w:val="•"/>
      <w:lvlJc w:val="left"/>
      <w:pPr>
        <w:ind w:left="6070" w:hanging="360"/>
      </w:pPr>
      <w:rPr>
        <w:rFonts w:hint="default"/>
        <w:lang w:val="en-US" w:eastAsia="en-US" w:bidi="ar-SA"/>
      </w:rPr>
    </w:lvl>
    <w:lvl w:ilvl="6">
      <w:start w:val="0"/>
      <w:numFmt w:val="bullet"/>
      <w:lvlText w:val="•"/>
      <w:lvlJc w:val="left"/>
      <w:pPr>
        <w:ind w:left="7044" w:hanging="360"/>
      </w:pPr>
      <w:rPr>
        <w:rFonts w:hint="default"/>
        <w:lang w:val="en-US" w:eastAsia="en-US" w:bidi="ar-SA"/>
      </w:rPr>
    </w:lvl>
    <w:lvl w:ilvl="7">
      <w:start w:val="0"/>
      <w:numFmt w:val="bullet"/>
      <w:lvlText w:val="•"/>
      <w:lvlJc w:val="left"/>
      <w:pPr>
        <w:ind w:left="8018" w:hanging="360"/>
      </w:pPr>
      <w:rPr>
        <w:rFonts w:hint="default"/>
        <w:lang w:val="en-US" w:eastAsia="en-US" w:bidi="ar-SA"/>
      </w:rPr>
    </w:lvl>
    <w:lvl w:ilvl="8">
      <w:start w:val="0"/>
      <w:numFmt w:val="bullet"/>
      <w:lvlText w:val="•"/>
      <w:lvlJc w:val="left"/>
      <w:pPr>
        <w:ind w:left="8992" w:hanging="360"/>
      </w:pPr>
      <w:rPr>
        <w:rFonts w:hint="default"/>
        <w:lang w:val="en-US" w:eastAsia="en-US" w:bidi="ar-SA"/>
      </w:rPr>
    </w:lvl>
  </w:abstractNum>
  <w:abstractNum w:abstractNumId="15">
    <w:multiLevelType w:val="hybridMultilevel"/>
    <w:lvl w:ilvl="0">
      <w:start w:val="1"/>
      <w:numFmt w:val="decimal"/>
      <w:lvlText w:val="%1."/>
      <w:lvlJc w:val="left"/>
      <w:pPr>
        <w:ind w:left="1198" w:hanging="360"/>
        <w:jc w:val="left"/>
      </w:pPr>
      <w:rPr>
        <w:rFonts w:hint="default" w:ascii="Times New Roman" w:hAnsi="Times New Roman" w:eastAsia="Times New Roman" w:cs="Times New Roman"/>
        <w:b w:val="0"/>
        <w:bCs w:val="0"/>
        <w:i w:val="0"/>
        <w:iCs w:val="0"/>
        <w:spacing w:val="0"/>
        <w:w w:val="100"/>
        <w:sz w:val="28"/>
        <w:szCs w:val="28"/>
        <w:lang w:val="en-US" w:eastAsia="en-US" w:bidi="ar-SA"/>
      </w:rPr>
    </w:lvl>
    <w:lvl w:ilvl="1">
      <w:start w:val="0"/>
      <w:numFmt w:val="bullet"/>
      <w:lvlText w:val="•"/>
      <w:lvlJc w:val="left"/>
      <w:pPr>
        <w:ind w:left="2174" w:hanging="360"/>
      </w:pPr>
      <w:rPr>
        <w:rFonts w:hint="default"/>
        <w:lang w:val="en-US" w:eastAsia="en-US" w:bidi="ar-SA"/>
      </w:rPr>
    </w:lvl>
    <w:lvl w:ilvl="2">
      <w:start w:val="0"/>
      <w:numFmt w:val="bullet"/>
      <w:lvlText w:val="•"/>
      <w:lvlJc w:val="left"/>
      <w:pPr>
        <w:ind w:left="3148" w:hanging="360"/>
      </w:pPr>
      <w:rPr>
        <w:rFonts w:hint="default"/>
        <w:lang w:val="en-US" w:eastAsia="en-US" w:bidi="ar-SA"/>
      </w:rPr>
    </w:lvl>
    <w:lvl w:ilvl="3">
      <w:start w:val="0"/>
      <w:numFmt w:val="bullet"/>
      <w:lvlText w:val="•"/>
      <w:lvlJc w:val="left"/>
      <w:pPr>
        <w:ind w:left="4122" w:hanging="360"/>
      </w:pPr>
      <w:rPr>
        <w:rFonts w:hint="default"/>
        <w:lang w:val="en-US" w:eastAsia="en-US" w:bidi="ar-SA"/>
      </w:rPr>
    </w:lvl>
    <w:lvl w:ilvl="4">
      <w:start w:val="0"/>
      <w:numFmt w:val="bullet"/>
      <w:lvlText w:val="•"/>
      <w:lvlJc w:val="left"/>
      <w:pPr>
        <w:ind w:left="5096" w:hanging="360"/>
      </w:pPr>
      <w:rPr>
        <w:rFonts w:hint="default"/>
        <w:lang w:val="en-US" w:eastAsia="en-US" w:bidi="ar-SA"/>
      </w:rPr>
    </w:lvl>
    <w:lvl w:ilvl="5">
      <w:start w:val="0"/>
      <w:numFmt w:val="bullet"/>
      <w:lvlText w:val="•"/>
      <w:lvlJc w:val="left"/>
      <w:pPr>
        <w:ind w:left="6070" w:hanging="360"/>
      </w:pPr>
      <w:rPr>
        <w:rFonts w:hint="default"/>
        <w:lang w:val="en-US" w:eastAsia="en-US" w:bidi="ar-SA"/>
      </w:rPr>
    </w:lvl>
    <w:lvl w:ilvl="6">
      <w:start w:val="0"/>
      <w:numFmt w:val="bullet"/>
      <w:lvlText w:val="•"/>
      <w:lvlJc w:val="left"/>
      <w:pPr>
        <w:ind w:left="7044" w:hanging="360"/>
      </w:pPr>
      <w:rPr>
        <w:rFonts w:hint="default"/>
        <w:lang w:val="en-US" w:eastAsia="en-US" w:bidi="ar-SA"/>
      </w:rPr>
    </w:lvl>
    <w:lvl w:ilvl="7">
      <w:start w:val="0"/>
      <w:numFmt w:val="bullet"/>
      <w:lvlText w:val="•"/>
      <w:lvlJc w:val="left"/>
      <w:pPr>
        <w:ind w:left="8018" w:hanging="360"/>
      </w:pPr>
      <w:rPr>
        <w:rFonts w:hint="default"/>
        <w:lang w:val="en-US" w:eastAsia="en-US" w:bidi="ar-SA"/>
      </w:rPr>
    </w:lvl>
    <w:lvl w:ilvl="8">
      <w:start w:val="0"/>
      <w:numFmt w:val="bullet"/>
      <w:lvlText w:val="•"/>
      <w:lvlJc w:val="left"/>
      <w:pPr>
        <w:ind w:left="8992" w:hanging="360"/>
      </w:pPr>
      <w:rPr>
        <w:rFonts w:hint="default"/>
        <w:lang w:val="en-US" w:eastAsia="en-US" w:bidi="ar-SA"/>
      </w:rPr>
    </w:lvl>
  </w:abstractNum>
  <w:abstractNum w:abstractNumId="14">
    <w:multiLevelType w:val="hybridMultilevel"/>
    <w:lvl w:ilvl="0">
      <w:start w:val="1"/>
      <w:numFmt w:val="decimal"/>
      <w:lvlText w:val="%1."/>
      <w:lvlJc w:val="left"/>
      <w:pPr>
        <w:ind w:left="1198" w:hanging="360"/>
        <w:jc w:val="left"/>
      </w:pPr>
      <w:rPr>
        <w:rFonts w:hint="default" w:ascii="Times New Roman" w:hAnsi="Times New Roman" w:eastAsia="Times New Roman" w:cs="Times New Roman"/>
        <w:b w:val="0"/>
        <w:bCs w:val="0"/>
        <w:i w:val="0"/>
        <w:iCs w:val="0"/>
        <w:spacing w:val="0"/>
        <w:w w:val="100"/>
        <w:sz w:val="28"/>
        <w:szCs w:val="28"/>
        <w:lang w:val="en-US" w:eastAsia="en-US" w:bidi="ar-SA"/>
      </w:rPr>
    </w:lvl>
    <w:lvl w:ilvl="1">
      <w:start w:val="0"/>
      <w:numFmt w:val="bullet"/>
      <w:lvlText w:val="•"/>
      <w:lvlJc w:val="left"/>
      <w:pPr>
        <w:ind w:left="2174" w:hanging="360"/>
      </w:pPr>
      <w:rPr>
        <w:rFonts w:hint="default"/>
        <w:lang w:val="en-US" w:eastAsia="en-US" w:bidi="ar-SA"/>
      </w:rPr>
    </w:lvl>
    <w:lvl w:ilvl="2">
      <w:start w:val="0"/>
      <w:numFmt w:val="bullet"/>
      <w:lvlText w:val="•"/>
      <w:lvlJc w:val="left"/>
      <w:pPr>
        <w:ind w:left="3148" w:hanging="360"/>
      </w:pPr>
      <w:rPr>
        <w:rFonts w:hint="default"/>
        <w:lang w:val="en-US" w:eastAsia="en-US" w:bidi="ar-SA"/>
      </w:rPr>
    </w:lvl>
    <w:lvl w:ilvl="3">
      <w:start w:val="0"/>
      <w:numFmt w:val="bullet"/>
      <w:lvlText w:val="•"/>
      <w:lvlJc w:val="left"/>
      <w:pPr>
        <w:ind w:left="4122" w:hanging="360"/>
      </w:pPr>
      <w:rPr>
        <w:rFonts w:hint="default"/>
        <w:lang w:val="en-US" w:eastAsia="en-US" w:bidi="ar-SA"/>
      </w:rPr>
    </w:lvl>
    <w:lvl w:ilvl="4">
      <w:start w:val="0"/>
      <w:numFmt w:val="bullet"/>
      <w:lvlText w:val="•"/>
      <w:lvlJc w:val="left"/>
      <w:pPr>
        <w:ind w:left="5096" w:hanging="360"/>
      </w:pPr>
      <w:rPr>
        <w:rFonts w:hint="default"/>
        <w:lang w:val="en-US" w:eastAsia="en-US" w:bidi="ar-SA"/>
      </w:rPr>
    </w:lvl>
    <w:lvl w:ilvl="5">
      <w:start w:val="0"/>
      <w:numFmt w:val="bullet"/>
      <w:lvlText w:val="•"/>
      <w:lvlJc w:val="left"/>
      <w:pPr>
        <w:ind w:left="6070" w:hanging="360"/>
      </w:pPr>
      <w:rPr>
        <w:rFonts w:hint="default"/>
        <w:lang w:val="en-US" w:eastAsia="en-US" w:bidi="ar-SA"/>
      </w:rPr>
    </w:lvl>
    <w:lvl w:ilvl="6">
      <w:start w:val="0"/>
      <w:numFmt w:val="bullet"/>
      <w:lvlText w:val="•"/>
      <w:lvlJc w:val="left"/>
      <w:pPr>
        <w:ind w:left="7044" w:hanging="360"/>
      </w:pPr>
      <w:rPr>
        <w:rFonts w:hint="default"/>
        <w:lang w:val="en-US" w:eastAsia="en-US" w:bidi="ar-SA"/>
      </w:rPr>
    </w:lvl>
    <w:lvl w:ilvl="7">
      <w:start w:val="0"/>
      <w:numFmt w:val="bullet"/>
      <w:lvlText w:val="•"/>
      <w:lvlJc w:val="left"/>
      <w:pPr>
        <w:ind w:left="8018" w:hanging="360"/>
      </w:pPr>
      <w:rPr>
        <w:rFonts w:hint="default"/>
        <w:lang w:val="en-US" w:eastAsia="en-US" w:bidi="ar-SA"/>
      </w:rPr>
    </w:lvl>
    <w:lvl w:ilvl="8">
      <w:start w:val="0"/>
      <w:numFmt w:val="bullet"/>
      <w:lvlText w:val="•"/>
      <w:lvlJc w:val="left"/>
      <w:pPr>
        <w:ind w:left="8992" w:hanging="360"/>
      </w:pPr>
      <w:rPr>
        <w:rFonts w:hint="default"/>
        <w:lang w:val="en-US" w:eastAsia="en-US" w:bidi="ar-SA"/>
      </w:rPr>
    </w:lvl>
  </w:abstractNum>
  <w:abstractNum w:abstractNumId="13">
    <w:multiLevelType w:val="hybridMultilevel"/>
    <w:lvl w:ilvl="0">
      <w:start w:val="1"/>
      <w:numFmt w:val="lowerLetter"/>
      <w:lvlText w:val="%1."/>
      <w:lvlJc w:val="left"/>
      <w:pPr>
        <w:ind w:left="1198" w:hanging="360"/>
        <w:jc w:val="left"/>
      </w:pPr>
      <w:rPr>
        <w:rFonts w:hint="default"/>
        <w:spacing w:val="0"/>
        <w:w w:val="100"/>
        <w:lang w:val="en-US" w:eastAsia="en-US" w:bidi="ar-SA"/>
      </w:rPr>
    </w:lvl>
    <w:lvl w:ilvl="1">
      <w:start w:val="0"/>
      <w:numFmt w:val="bullet"/>
      <w:lvlText w:val="•"/>
      <w:lvlJc w:val="left"/>
      <w:pPr>
        <w:ind w:left="2174" w:hanging="360"/>
      </w:pPr>
      <w:rPr>
        <w:rFonts w:hint="default"/>
        <w:lang w:val="en-US" w:eastAsia="en-US" w:bidi="ar-SA"/>
      </w:rPr>
    </w:lvl>
    <w:lvl w:ilvl="2">
      <w:start w:val="0"/>
      <w:numFmt w:val="bullet"/>
      <w:lvlText w:val="•"/>
      <w:lvlJc w:val="left"/>
      <w:pPr>
        <w:ind w:left="3148" w:hanging="360"/>
      </w:pPr>
      <w:rPr>
        <w:rFonts w:hint="default"/>
        <w:lang w:val="en-US" w:eastAsia="en-US" w:bidi="ar-SA"/>
      </w:rPr>
    </w:lvl>
    <w:lvl w:ilvl="3">
      <w:start w:val="0"/>
      <w:numFmt w:val="bullet"/>
      <w:lvlText w:val="•"/>
      <w:lvlJc w:val="left"/>
      <w:pPr>
        <w:ind w:left="4122" w:hanging="360"/>
      </w:pPr>
      <w:rPr>
        <w:rFonts w:hint="default"/>
        <w:lang w:val="en-US" w:eastAsia="en-US" w:bidi="ar-SA"/>
      </w:rPr>
    </w:lvl>
    <w:lvl w:ilvl="4">
      <w:start w:val="0"/>
      <w:numFmt w:val="bullet"/>
      <w:lvlText w:val="•"/>
      <w:lvlJc w:val="left"/>
      <w:pPr>
        <w:ind w:left="5096" w:hanging="360"/>
      </w:pPr>
      <w:rPr>
        <w:rFonts w:hint="default"/>
        <w:lang w:val="en-US" w:eastAsia="en-US" w:bidi="ar-SA"/>
      </w:rPr>
    </w:lvl>
    <w:lvl w:ilvl="5">
      <w:start w:val="0"/>
      <w:numFmt w:val="bullet"/>
      <w:lvlText w:val="•"/>
      <w:lvlJc w:val="left"/>
      <w:pPr>
        <w:ind w:left="6070" w:hanging="360"/>
      </w:pPr>
      <w:rPr>
        <w:rFonts w:hint="default"/>
        <w:lang w:val="en-US" w:eastAsia="en-US" w:bidi="ar-SA"/>
      </w:rPr>
    </w:lvl>
    <w:lvl w:ilvl="6">
      <w:start w:val="0"/>
      <w:numFmt w:val="bullet"/>
      <w:lvlText w:val="•"/>
      <w:lvlJc w:val="left"/>
      <w:pPr>
        <w:ind w:left="7044" w:hanging="360"/>
      </w:pPr>
      <w:rPr>
        <w:rFonts w:hint="default"/>
        <w:lang w:val="en-US" w:eastAsia="en-US" w:bidi="ar-SA"/>
      </w:rPr>
    </w:lvl>
    <w:lvl w:ilvl="7">
      <w:start w:val="0"/>
      <w:numFmt w:val="bullet"/>
      <w:lvlText w:val="•"/>
      <w:lvlJc w:val="left"/>
      <w:pPr>
        <w:ind w:left="8018" w:hanging="360"/>
      </w:pPr>
      <w:rPr>
        <w:rFonts w:hint="default"/>
        <w:lang w:val="en-US" w:eastAsia="en-US" w:bidi="ar-SA"/>
      </w:rPr>
    </w:lvl>
    <w:lvl w:ilvl="8">
      <w:start w:val="0"/>
      <w:numFmt w:val="bullet"/>
      <w:lvlText w:val="•"/>
      <w:lvlJc w:val="left"/>
      <w:pPr>
        <w:ind w:left="8992" w:hanging="360"/>
      </w:pPr>
      <w:rPr>
        <w:rFonts w:hint="default"/>
        <w:lang w:val="en-US" w:eastAsia="en-US" w:bidi="ar-SA"/>
      </w:rPr>
    </w:lvl>
  </w:abstractNum>
  <w:abstractNum w:abstractNumId="12">
    <w:multiLevelType w:val="hybridMultilevel"/>
    <w:lvl w:ilvl="0">
      <w:start w:val="0"/>
      <w:numFmt w:val="bullet"/>
      <w:lvlText w:val="-"/>
      <w:lvlJc w:val="left"/>
      <w:pPr>
        <w:ind w:left="1198" w:hanging="360"/>
      </w:pPr>
      <w:rPr>
        <w:rFonts w:hint="default" w:ascii="Times New Roman" w:hAnsi="Times New Roman" w:eastAsia="Times New Roman" w:cs="Times New Roman"/>
        <w:w w:val="100"/>
        <w:lang w:val="en-US" w:eastAsia="en-US" w:bidi="ar-SA"/>
      </w:rPr>
    </w:lvl>
    <w:lvl w:ilvl="1">
      <w:start w:val="0"/>
      <w:numFmt w:val="bullet"/>
      <w:lvlText w:val="•"/>
      <w:lvlJc w:val="left"/>
      <w:pPr>
        <w:ind w:left="2174" w:hanging="360"/>
      </w:pPr>
      <w:rPr>
        <w:rFonts w:hint="default"/>
        <w:lang w:val="en-US" w:eastAsia="en-US" w:bidi="ar-SA"/>
      </w:rPr>
    </w:lvl>
    <w:lvl w:ilvl="2">
      <w:start w:val="0"/>
      <w:numFmt w:val="bullet"/>
      <w:lvlText w:val="•"/>
      <w:lvlJc w:val="left"/>
      <w:pPr>
        <w:ind w:left="3148" w:hanging="360"/>
      </w:pPr>
      <w:rPr>
        <w:rFonts w:hint="default"/>
        <w:lang w:val="en-US" w:eastAsia="en-US" w:bidi="ar-SA"/>
      </w:rPr>
    </w:lvl>
    <w:lvl w:ilvl="3">
      <w:start w:val="0"/>
      <w:numFmt w:val="bullet"/>
      <w:lvlText w:val="•"/>
      <w:lvlJc w:val="left"/>
      <w:pPr>
        <w:ind w:left="4122" w:hanging="360"/>
      </w:pPr>
      <w:rPr>
        <w:rFonts w:hint="default"/>
        <w:lang w:val="en-US" w:eastAsia="en-US" w:bidi="ar-SA"/>
      </w:rPr>
    </w:lvl>
    <w:lvl w:ilvl="4">
      <w:start w:val="0"/>
      <w:numFmt w:val="bullet"/>
      <w:lvlText w:val="•"/>
      <w:lvlJc w:val="left"/>
      <w:pPr>
        <w:ind w:left="5096" w:hanging="360"/>
      </w:pPr>
      <w:rPr>
        <w:rFonts w:hint="default"/>
        <w:lang w:val="en-US" w:eastAsia="en-US" w:bidi="ar-SA"/>
      </w:rPr>
    </w:lvl>
    <w:lvl w:ilvl="5">
      <w:start w:val="0"/>
      <w:numFmt w:val="bullet"/>
      <w:lvlText w:val="•"/>
      <w:lvlJc w:val="left"/>
      <w:pPr>
        <w:ind w:left="6070" w:hanging="360"/>
      </w:pPr>
      <w:rPr>
        <w:rFonts w:hint="default"/>
        <w:lang w:val="en-US" w:eastAsia="en-US" w:bidi="ar-SA"/>
      </w:rPr>
    </w:lvl>
    <w:lvl w:ilvl="6">
      <w:start w:val="0"/>
      <w:numFmt w:val="bullet"/>
      <w:lvlText w:val="•"/>
      <w:lvlJc w:val="left"/>
      <w:pPr>
        <w:ind w:left="7044" w:hanging="360"/>
      </w:pPr>
      <w:rPr>
        <w:rFonts w:hint="default"/>
        <w:lang w:val="en-US" w:eastAsia="en-US" w:bidi="ar-SA"/>
      </w:rPr>
    </w:lvl>
    <w:lvl w:ilvl="7">
      <w:start w:val="0"/>
      <w:numFmt w:val="bullet"/>
      <w:lvlText w:val="•"/>
      <w:lvlJc w:val="left"/>
      <w:pPr>
        <w:ind w:left="8018" w:hanging="360"/>
      </w:pPr>
      <w:rPr>
        <w:rFonts w:hint="default"/>
        <w:lang w:val="en-US" w:eastAsia="en-US" w:bidi="ar-SA"/>
      </w:rPr>
    </w:lvl>
    <w:lvl w:ilvl="8">
      <w:start w:val="0"/>
      <w:numFmt w:val="bullet"/>
      <w:lvlText w:val="•"/>
      <w:lvlJc w:val="left"/>
      <w:pPr>
        <w:ind w:left="8992" w:hanging="360"/>
      </w:pPr>
      <w:rPr>
        <w:rFonts w:hint="default"/>
        <w:lang w:val="en-US" w:eastAsia="en-US" w:bidi="ar-SA"/>
      </w:rPr>
    </w:lvl>
  </w:abstractNum>
  <w:abstractNum w:abstractNumId="11">
    <w:multiLevelType w:val="hybridMultilevel"/>
    <w:lvl w:ilvl="0">
      <w:start w:val="1"/>
      <w:numFmt w:val="decimal"/>
      <w:lvlText w:val="%1."/>
      <w:lvlJc w:val="left"/>
      <w:pPr>
        <w:ind w:left="1198" w:hanging="360"/>
        <w:jc w:val="left"/>
      </w:pPr>
      <w:rPr>
        <w:rFonts w:hint="default" w:ascii="Times New Roman" w:hAnsi="Times New Roman" w:eastAsia="Times New Roman" w:cs="Times New Roman"/>
        <w:b w:val="0"/>
        <w:bCs w:val="0"/>
        <w:i w:val="0"/>
        <w:iCs w:val="0"/>
        <w:spacing w:val="0"/>
        <w:w w:val="100"/>
        <w:sz w:val="28"/>
        <w:szCs w:val="28"/>
        <w:lang w:val="en-US" w:eastAsia="en-US" w:bidi="ar-SA"/>
      </w:rPr>
    </w:lvl>
    <w:lvl w:ilvl="1">
      <w:start w:val="0"/>
      <w:numFmt w:val="bullet"/>
      <w:lvlText w:val="•"/>
      <w:lvlJc w:val="left"/>
      <w:pPr>
        <w:ind w:left="2174" w:hanging="360"/>
      </w:pPr>
      <w:rPr>
        <w:rFonts w:hint="default"/>
        <w:lang w:val="en-US" w:eastAsia="en-US" w:bidi="ar-SA"/>
      </w:rPr>
    </w:lvl>
    <w:lvl w:ilvl="2">
      <w:start w:val="0"/>
      <w:numFmt w:val="bullet"/>
      <w:lvlText w:val="•"/>
      <w:lvlJc w:val="left"/>
      <w:pPr>
        <w:ind w:left="3148" w:hanging="360"/>
      </w:pPr>
      <w:rPr>
        <w:rFonts w:hint="default"/>
        <w:lang w:val="en-US" w:eastAsia="en-US" w:bidi="ar-SA"/>
      </w:rPr>
    </w:lvl>
    <w:lvl w:ilvl="3">
      <w:start w:val="0"/>
      <w:numFmt w:val="bullet"/>
      <w:lvlText w:val="•"/>
      <w:lvlJc w:val="left"/>
      <w:pPr>
        <w:ind w:left="4122" w:hanging="360"/>
      </w:pPr>
      <w:rPr>
        <w:rFonts w:hint="default"/>
        <w:lang w:val="en-US" w:eastAsia="en-US" w:bidi="ar-SA"/>
      </w:rPr>
    </w:lvl>
    <w:lvl w:ilvl="4">
      <w:start w:val="0"/>
      <w:numFmt w:val="bullet"/>
      <w:lvlText w:val="•"/>
      <w:lvlJc w:val="left"/>
      <w:pPr>
        <w:ind w:left="5096" w:hanging="360"/>
      </w:pPr>
      <w:rPr>
        <w:rFonts w:hint="default"/>
        <w:lang w:val="en-US" w:eastAsia="en-US" w:bidi="ar-SA"/>
      </w:rPr>
    </w:lvl>
    <w:lvl w:ilvl="5">
      <w:start w:val="0"/>
      <w:numFmt w:val="bullet"/>
      <w:lvlText w:val="•"/>
      <w:lvlJc w:val="left"/>
      <w:pPr>
        <w:ind w:left="6070" w:hanging="360"/>
      </w:pPr>
      <w:rPr>
        <w:rFonts w:hint="default"/>
        <w:lang w:val="en-US" w:eastAsia="en-US" w:bidi="ar-SA"/>
      </w:rPr>
    </w:lvl>
    <w:lvl w:ilvl="6">
      <w:start w:val="0"/>
      <w:numFmt w:val="bullet"/>
      <w:lvlText w:val="•"/>
      <w:lvlJc w:val="left"/>
      <w:pPr>
        <w:ind w:left="7044" w:hanging="360"/>
      </w:pPr>
      <w:rPr>
        <w:rFonts w:hint="default"/>
        <w:lang w:val="en-US" w:eastAsia="en-US" w:bidi="ar-SA"/>
      </w:rPr>
    </w:lvl>
    <w:lvl w:ilvl="7">
      <w:start w:val="0"/>
      <w:numFmt w:val="bullet"/>
      <w:lvlText w:val="•"/>
      <w:lvlJc w:val="left"/>
      <w:pPr>
        <w:ind w:left="8018" w:hanging="360"/>
      </w:pPr>
      <w:rPr>
        <w:rFonts w:hint="default"/>
        <w:lang w:val="en-US" w:eastAsia="en-US" w:bidi="ar-SA"/>
      </w:rPr>
    </w:lvl>
    <w:lvl w:ilvl="8">
      <w:start w:val="0"/>
      <w:numFmt w:val="bullet"/>
      <w:lvlText w:val="•"/>
      <w:lvlJc w:val="left"/>
      <w:pPr>
        <w:ind w:left="8992" w:hanging="360"/>
      </w:pPr>
      <w:rPr>
        <w:rFonts w:hint="default"/>
        <w:lang w:val="en-US" w:eastAsia="en-US" w:bidi="ar-SA"/>
      </w:rPr>
    </w:lvl>
  </w:abstractNum>
  <w:abstractNum w:abstractNumId="10">
    <w:multiLevelType w:val="hybridMultilevel"/>
    <w:lvl w:ilvl="0">
      <w:start w:val="0"/>
      <w:numFmt w:val="bullet"/>
      <w:lvlText w:val=""/>
      <w:lvlJc w:val="left"/>
      <w:pPr>
        <w:ind w:left="1198" w:hanging="360"/>
      </w:pPr>
      <w:rPr>
        <w:rFonts w:hint="default" w:ascii="Wingdings" w:hAnsi="Wingdings" w:eastAsia="Wingdings" w:cs="Wingdings"/>
        <w:b w:val="0"/>
        <w:bCs w:val="0"/>
        <w:i w:val="0"/>
        <w:iCs w:val="0"/>
        <w:w w:val="100"/>
        <w:sz w:val="28"/>
        <w:szCs w:val="28"/>
        <w:lang w:val="en-US" w:eastAsia="en-US" w:bidi="ar-SA"/>
      </w:rPr>
    </w:lvl>
    <w:lvl w:ilvl="1">
      <w:start w:val="0"/>
      <w:numFmt w:val="bullet"/>
      <w:lvlText w:val="•"/>
      <w:lvlJc w:val="left"/>
      <w:pPr>
        <w:ind w:left="2174" w:hanging="360"/>
      </w:pPr>
      <w:rPr>
        <w:rFonts w:hint="default"/>
        <w:lang w:val="en-US" w:eastAsia="en-US" w:bidi="ar-SA"/>
      </w:rPr>
    </w:lvl>
    <w:lvl w:ilvl="2">
      <w:start w:val="0"/>
      <w:numFmt w:val="bullet"/>
      <w:lvlText w:val="•"/>
      <w:lvlJc w:val="left"/>
      <w:pPr>
        <w:ind w:left="3148" w:hanging="360"/>
      </w:pPr>
      <w:rPr>
        <w:rFonts w:hint="default"/>
        <w:lang w:val="en-US" w:eastAsia="en-US" w:bidi="ar-SA"/>
      </w:rPr>
    </w:lvl>
    <w:lvl w:ilvl="3">
      <w:start w:val="0"/>
      <w:numFmt w:val="bullet"/>
      <w:lvlText w:val="•"/>
      <w:lvlJc w:val="left"/>
      <w:pPr>
        <w:ind w:left="4122" w:hanging="360"/>
      </w:pPr>
      <w:rPr>
        <w:rFonts w:hint="default"/>
        <w:lang w:val="en-US" w:eastAsia="en-US" w:bidi="ar-SA"/>
      </w:rPr>
    </w:lvl>
    <w:lvl w:ilvl="4">
      <w:start w:val="0"/>
      <w:numFmt w:val="bullet"/>
      <w:lvlText w:val="•"/>
      <w:lvlJc w:val="left"/>
      <w:pPr>
        <w:ind w:left="5096" w:hanging="360"/>
      </w:pPr>
      <w:rPr>
        <w:rFonts w:hint="default"/>
        <w:lang w:val="en-US" w:eastAsia="en-US" w:bidi="ar-SA"/>
      </w:rPr>
    </w:lvl>
    <w:lvl w:ilvl="5">
      <w:start w:val="0"/>
      <w:numFmt w:val="bullet"/>
      <w:lvlText w:val="•"/>
      <w:lvlJc w:val="left"/>
      <w:pPr>
        <w:ind w:left="6070" w:hanging="360"/>
      </w:pPr>
      <w:rPr>
        <w:rFonts w:hint="default"/>
        <w:lang w:val="en-US" w:eastAsia="en-US" w:bidi="ar-SA"/>
      </w:rPr>
    </w:lvl>
    <w:lvl w:ilvl="6">
      <w:start w:val="0"/>
      <w:numFmt w:val="bullet"/>
      <w:lvlText w:val="•"/>
      <w:lvlJc w:val="left"/>
      <w:pPr>
        <w:ind w:left="7044" w:hanging="360"/>
      </w:pPr>
      <w:rPr>
        <w:rFonts w:hint="default"/>
        <w:lang w:val="en-US" w:eastAsia="en-US" w:bidi="ar-SA"/>
      </w:rPr>
    </w:lvl>
    <w:lvl w:ilvl="7">
      <w:start w:val="0"/>
      <w:numFmt w:val="bullet"/>
      <w:lvlText w:val="•"/>
      <w:lvlJc w:val="left"/>
      <w:pPr>
        <w:ind w:left="8018" w:hanging="360"/>
      </w:pPr>
      <w:rPr>
        <w:rFonts w:hint="default"/>
        <w:lang w:val="en-US" w:eastAsia="en-US" w:bidi="ar-SA"/>
      </w:rPr>
    </w:lvl>
    <w:lvl w:ilvl="8">
      <w:start w:val="0"/>
      <w:numFmt w:val="bullet"/>
      <w:lvlText w:val="•"/>
      <w:lvlJc w:val="left"/>
      <w:pPr>
        <w:ind w:left="8992" w:hanging="360"/>
      </w:pPr>
      <w:rPr>
        <w:rFonts w:hint="default"/>
        <w:lang w:val="en-US" w:eastAsia="en-US" w:bidi="ar-SA"/>
      </w:rPr>
    </w:lvl>
  </w:abstractNum>
  <w:abstractNum w:abstractNumId="9">
    <w:multiLevelType w:val="hybridMultilevel"/>
    <w:lvl w:ilvl="0">
      <w:start w:val="0"/>
      <w:numFmt w:val="bullet"/>
      <w:lvlText w:val=""/>
      <w:lvlJc w:val="left"/>
      <w:pPr>
        <w:ind w:left="1198" w:hanging="360"/>
      </w:pPr>
      <w:rPr>
        <w:rFonts w:hint="default" w:ascii="Symbol" w:hAnsi="Symbol" w:eastAsia="Symbol" w:cs="Symbol"/>
        <w:w w:val="100"/>
        <w:lang w:val="en-US" w:eastAsia="en-US" w:bidi="ar-SA"/>
      </w:rPr>
    </w:lvl>
    <w:lvl w:ilvl="1">
      <w:start w:val="0"/>
      <w:numFmt w:val="bullet"/>
      <w:lvlText w:val="•"/>
      <w:lvlJc w:val="left"/>
      <w:pPr>
        <w:ind w:left="2174" w:hanging="360"/>
      </w:pPr>
      <w:rPr>
        <w:rFonts w:hint="default"/>
        <w:lang w:val="en-US" w:eastAsia="en-US" w:bidi="ar-SA"/>
      </w:rPr>
    </w:lvl>
    <w:lvl w:ilvl="2">
      <w:start w:val="0"/>
      <w:numFmt w:val="bullet"/>
      <w:lvlText w:val="•"/>
      <w:lvlJc w:val="left"/>
      <w:pPr>
        <w:ind w:left="3148" w:hanging="360"/>
      </w:pPr>
      <w:rPr>
        <w:rFonts w:hint="default"/>
        <w:lang w:val="en-US" w:eastAsia="en-US" w:bidi="ar-SA"/>
      </w:rPr>
    </w:lvl>
    <w:lvl w:ilvl="3">
      <w:start w:val="0"/>
      <w:numFmt w:val="bullet"/>
      <w:lvlText w:val="•"/>
      <w:lvlJc w:val="left"/>
      <w:pPr>
        <w:ind w:left="4122" w:hanging="360"/>
      </w:pPr>
      <w:rPr>
        <w:rFonts w:hint="default"/>
        <w:lang w:val="en-US" w:eastAsia="en-US" w:bidi="ar-SA"/>
      </w:rPr>
    </w:lvl>
    <w:lvl w:ilvl="4">
      <w:start w:val="0"/>
      <w:numFmt w:val="bullet"/>
      <w:lvlText w:val="•"/>
      <w:lvlJc w:val="left"/>
      <w:pPr>
        <w:ind w:left="5096" w:hanging="360"/>
      </w:pPr>
      <w:rPr>
        <w:rFonts w:hint="default"/>
        <w:lang w:val="en-US" w:eastAsia="en-US" w:bidi="ar-SA"/>
      </w:rPr>
    </w:lvl>
    <w:lvl w:ilvl="5">
      <w:start w:val="0"/>
      <w:numFmt w:val="bullet"/>
      <w:lvlText w:val="•"/>
      <w:lvlJc w:val="left"/>
      <w:pPr>
        <w:ind w:left="6070" w:hanging="360"/>
      </w:pPr>
      <w:rPr>
        <w:rFonts w:hint="default"/>
        <w:lang w:val="en-US" w:eastAsia="en-US" w:bidi="ar-SA"/>
      </w:rPr>
    </w:lvl>
    <w:lvl w:ilvl="6">
      <w:start w:val="0"/>
      <w:numFmt w:val="bullet"/>
      <w:lvlText w:val="•"/>
      <w:lvlJc w:val="left"/>
      <w:pPr>
        <w:ind w:left="7044" w:hanging="360"/>
      </w:pPr>
      <w:rPr>
        <w:rFonts w:hint="default"/>
        <w:lang w:val="en-US" w:eastAsia="en-US" w:bidi="ar-SA"/>
      </w:rPr>
    </w:lvl>
    <w:lvl w:ilvl="7">
      <w:start w:val="0"/>
      <w:numFmt w:val="bullet"/>
      <w:lvlText w:val="•"/>
      <w:lvlJc w:val="left"/>
      <w:pPr>
        <w:ind w:left="8018" w:hanging="360"/>
      </w:pPr>
      <w:rPr>
        <w:rFonts w:hint="default"/>
        <w:lang w:val="en-US" w:eastAsia="en-US" w:bidi="ar-SA"/>
      </w:rPr>
    </w:lvl>
    <w:lvl w:ilvl="8">
      <w:start w:val="0"/>
      <w:numFmt w:val="bullet"/>
      <w:lvlText w:val="•"/>
      <w:lvlJc w:val="left"/>
      <w:pPr>
        <w:ind w:left="8992" w:hanging="360"/>
      </w:pPr>
      <w:rPr>
        <w:rFonts w:hint="default"/>
        <w:lang w:val="en-US" w:eastAsia="en-US" w:bidi="ar-SA"/>
      </w:rPr>
    </w:lvl>
  </w:abstractNum>
  <w:abstractNum w:abstractNumId="8">
    <w:multiLevelType w:val="hybridMultilevel"/>
    <w:lvl w:ilvl="0">
      <w:start w:val="0"/>
      <w:numFmt w:val="bullet"/>
      <w:lvlText w:val="•"/>
      <w:lvlJc w:val="left"/>
      <w:pPr>
        <w:ind w:left="1198" w:hanging="360"/>
      </w:pPr>
      <w:rPr>
        <w:rFonts w:hint="default" w:ascii="Times New Roman" w:hAnsi="Times New Roman" w:eastAsia="Times New Roman" w:cs="Times New Roman"/>
        <w:b/>
        <w:bCs/>
        <w:i w:val="0"/>
        <w:iCs w:val="0"/>
        <w:w w:val="99"/>
        <w:sz w:val="32"/>
        <w:szCs w:val="32"/>
        <w:lang w:val="en-US" w:eastAsia="en-US" w:bidi="ar-SA"/>
      </w:rPr>
    </w:lvl>
    <w:lvl w:ilvl="1">
      <w:start w:val="0"/>
      <w:numFmt w:val="bullet"/>
      <w:lvlText w:val="•"/>
      <w:lvlJc w:val="left"/>
      <w:pPr>
        <w:ind w:left="2174" w:hanging="360"/>
      </w:pPr>
      <w:rPr>
        <w:rFonts w:hint="default"/>
        <w:lang w:val="en-US" w:eastAsia="en-US" w:bidi="ar-SA"/>
      </w:rPr>
    </w:lvl>
    <w:lvl w:ilvl="2">
      <w:start w:val="0"/>
      <w:numFmt w:val="bullet"/>
      <w:lvlText w:val="•"/>
      <w:lvlJc w:val="left"/>
      <w:pPr>
        <w:ind w:left="3148" w:hanging="360"/>
      </w:pPr>
      <w:rPr>
        <w:rFonts w:hint="default"/>
        <w:lang w:val="en-US" w:eastAsia="en-US" w:bidi="ar-SA"/>
      </w:rPr>
    </w:lvl>
    <w:lvl w:ilvl="3">
      <w:start w:val="0"/>
      <w:numFmt w:val="bullet"/>
      <w:lvlText w:val="•"/>
      <w:lvlJc w:val="left"/>
      <w:pPr>
        <w:ind w:left="4122" w:hanging="360"/>
      </w:pPr>
      <w:rPr>
        <w:rFonts w:hint="default"/>
        <w:lang w:val="en-US" w:eastAsia="en-US" w:bidi="ar-SA"/>
      </w:rPr>
    </w:lvl>
    <w:lvl w:ilvl="4">
      <w:start w:val="0"/>
      <w:numFmt w:val="bullet"/>
      <w:lvlText w:val="•"/>
      <w:lvlJc w:val="left"/>
      <w:pPr>
        <w:ind w:left="5096" w:hanging="360"/>
      </w:pPr>
      <w:rPr>
        <w:rFonts w:hint="default"/>
        <w:lang w:val="en-US" w:eastAsia="en-US" w:bidi="ar-SA"/>
      </w:rPr>
    </w:lvl>
    <w:lvl w:ilvl="5">
      <w:start w:val="0"/>
      <w:numFmt w:val="bullet"/>
      <w:lvlText w:val="•"/>
      <w:lvlJc w:val="left"/>
      <w:pPr>
        <w:ind w:left="6070" w:hanging="360"/>
      </w:pPr>
      <w:rPr>
        <w:rFonts w:hint="default"/>
        <w:lang w:val="en-US" w:eastAsia="en-US" w:bidi="ar-SA"/>
      </w:rPr>
    </w:lvl>
    <w:lvl w:ilvl="6">
      <w:start w:val="0"/>
      <w:numFmt w:val="bullet"/>
      <w:lvlText w:val="•"/>
      <w:lvlJc w:val="left"/>
      <w:pPr>
        <w:ind w:left="7044" w:hanging="360"/>
      </w:pPr>
      <w:rPr>
        <w:rFonts w:hint="default"/>
        <w:lang w:val="en-US" w:eastAsia="en-US" w:bidi="ar-SA"/>
      </w:rPr>
    </w:lvl>
    <w:lvl w:ilvl="7">
      <w:start w:val="0"/>
      <w:numFmt w:val="bullet"/>
      <w:lvlText w:val="•"/>
      <w:lvlJc w:val="left"/>
      <w:pPr>
        <w:ind w:left="8018" w:hanging="360"/>
      </w:pPr>
      <w:rPr>
        <w:rFonts w:hint="default"/>
        <w:lang w:val="en-US" w:eastAsia="en-US" w:bidi="ar-SA"/>
      </w:rPr>
    </w:lvl>
    <w:lvl w:ilvl="8">
      <w:start w:val="0"/>
      <w:numFmt w:val="bullet"/>
      <w:lvlText w:val="•"/>
      <w:lvlJc w:val="left"/>
      <w:pPr>
        <w:ind w:left="8992" w:hanging="360"/>
      </w:pPr>
      <w:rPr>
        <w:rFonts w:hint="default"/>
        <w:lang w:val="en-US" w:eastAsia="en-US" w:bidi="ar-SA"/>
      </w:rPr>
    </w:lvl>
  </w:abstractNum>
  <w:abstractNum w:abstractNumId="7">
    <w:multiLevelType w:val="hybridMultilevel"/>
    <w:lvl w:ilvl="0">
      <w:start w:val="0"/>
      <w:numFmt w:val="bullet"/>
      <w:lvlText w:val=""/>
      <w:lvlJc w:val="left"/>
      <w:pPr>
        <w:ind w:left="1198" w:hanging="360"/>
      </w:pPr>
      <w:rPr>
        <w:rFonts w:hint="default" w:ascii="Wingdings" w:hAnsi="Wingdings" w:eastAsia="Wingdings" w:cs="Wingdings"/>
        <w:b w:val="0"/>
        <w:bCs w:val="0"/>
        <w:i w:val="0"/>
        <w:iCs w:val="0"/>
        <w:w w:val="100"/>
        <w:sz w:val="28"/>
        <w:szCs w:val="28"/>
        <w:lang w:val="en-US" w:eastAsia="en-US" w:bidi="ar-SA"/>
      </w:rPr>
    </w:lvl>
    <w:lvl w:ilvl="1">
      <w:start w:val="0"/>
      <w:numFmt w:val="bullet"/>
      <w:lvlText w:val="•"/>
      <w:lvlJc w:val="left"/>
      <w:pPr>
        <w:ind w:left="1220" w:hanging="360"/>
      </w:pPr>
      <w:rPr>
        <w:rFonts w:hint="default"/>
        <w:lang w:val="en-US" w:eastAsia="en-US" w:bidi="ar-SA"/>
      </w:rPr>
    </w:lvl>
    <w:lvl w:ilvl="2">
      <w:start w:val="0"/>
      <w:numFmt w:val="bullet"/>
      <w:lvlText w:val="•"/>
      <w:lvlJc w:val="left"/>
      <w:pPr>
        <w:ind w:left="2300" w:hanging="360"/>
      </w:pPr>
      <w:rPr>
        <w:rFonts w:hint="default"/>
        <w:lang w:val="en-US" w:eastAsia="en-US" w:bidi="ar-SA"/>
      </w:rPr>
    </w:lvl>
    <w:lvl w:ilvl="3">
      <w:start w:val="0"/>
      <w:numFmt w:val="bullet"/>
      <w:lvlText w:val="•"/>
      <w:lvlJc w:val="left"/>
      <w:pPr>
        <w:ind w:left="3380" w:hanging="360"/>
      </w:pPr>
      <w:rPr>
        <w:rFonts w:hint="default"/>
        <w:lang w:val="en-US" w:eastAsia="en-US" w:bidi="ar-SA"/>
      </w:rPr>
    </w:lvl>
    <w:lvl w:ilvl="4">
      <w:start w:val="0"/>
      <w:numFmt w:val="bullet"/>
      <w:lvlText w:val="•"/>
      <w:lvlJc w:val="left"/>
      <w:pPr>
        <w:ind w:left="4460" w:hanging="360"/>
      </w:pPr>
      <w:rPr>
        <w:rFonts w:hint="default"/>
        <w:lang w:val="en-US" w:eastAsia="en-US" w:bidi="ar-SA"/>
      </w:rPr>
    </w:lvl>
    <w:lvl w:ilvl="5">
      <w:start w:val="0"/>
      <w:numFmt w:val="bullet"/>
      <w:lvlText w:val="•"/>
      <w:lvlJc w:val="left"/>
      <w:pPr>
        <w:ind w:left="5540" w:hanging="360"/>
      </w:pPr>
      <w:rPr>
        <w:rFonts w:hint="default"/>
        <w:lang w:val="en-US" w:eastAsia="en-US" w:bidi="ar-SA"/>
      </w:rPr>
    </w:lvl>
    <w:lvl w:ilvl="6">
      <w:start w:val="0"/>
      <w:numFmt w:val="bullet"/>
      <w:lvlText w:val="•"/>
      <w:lvlJc w:val="left"/>
      <w:pPr>
        <w:ind w:left="6620" w:hanging="360"/>
      </w:pPr>
      <w:rPr>
        <w:rFonts w:hint="default"/>
        <w:lang w:val="en-US" w:eastAsia="en-US" w:bidi="ar-SA"/>
      </w:rPr>
    </w:lvl>
    <w:lvl w:ilvl="7">
      <w:start w:val="0"/>
      <w:numFmt w:val="bullet"/>
      <w:lvlText w:val="•"/>
      <w:lvlJc w:val="left"/>
      <w:pPr>
        <w:ind w:left="7700" w:hanging="360"/>
      </w:pPr>
      <w:rPr>
        <w:rFonts w:hint="default"/>
        <w:lang w:val="en-US" w:eastAsia="en-US" w:bidi="ar-SA"/>
      </w:rPr>
    </w:lvl>
    <w:lvl w:ilvl="8">
      <w:start w:val="0"/>
      <w:numFmt w:val="bullet"/>
      <w:lvlText w:val="•"/>
      <w:lvlJc w:val="left"/>
      <w:pPr>
        <w:ind w:left="8780" w:hanging="360"/>
      </w:pPr>
      <w:rPr>
        <w:rFonts w:hint="default"/>
        <w:lang w:val="en-US" w:eastAsia="en-US" w:bidi="ar-SA"/>
      </w:rPr>
    </w:lvl>
  </w:abstractNum>
  <w:abstractNum w:abstractNumId="6">
    <w:multiLevelType w:val="hybridMultilevel"/>
    <w:lvl w:ilvl="0">
      <w:start w:val="0"/>
      <w:numFmt w:val="bullet"/>
      <w:lvlText w:val="o"/>
      <w:lvlJc w:val="left"/>
      <w:pPr>
        <w:ind w:left="1198" w:hanging="360"/>
      </w:pPr>
      <w:rPr>
        <w:rFonts w:hint="default" w:ascii="Courier New" w:hAnsi="Courier New" w:eastAsia="Courier New" w:cs="Courier New"/>
        <w:b w:val="0"/>
        <w:bCs w:val="0"/>
        <w:i w:val="0"/>
        <w:iCs w:val="0"/>
        <w:w w:val="100"/>
        <w:sz w:val="28"/>
        <w:szCs w:val="28"/>
        <w:lang w:val="en-US" w:eastAsia="en-US" w:bidi="ar-SA"/>
      </w:rPr>
    </w:lvl>
    <w:lvl w:ilvl="1">
      <w:start w:val="0"/>
      <w:numFmt w:val="bullet"/>
      <w:lvlText w:val="•"/>
      <w:lvlJc w:val="left"/>
      <w:pPr>
        <w:ind w:left="2174" w:hanging="360"/>
      </w:pPr>
      <w:rPr>
        <w:rFonts w:hint="default"/>
        <w:lang w:val="en-US" w:eastAsia="en-US" w:bidi="ar-SA"/>
      </w:rPr>
    </w:lvl>
    <w:lvl w:ilvl="2">
      <w:start w:val="0"/>
      <w:numFmt w:val="bullet"/>
      <w:lvlText w:val="•"/>
      <w:lvlJc w:val="left"/>
      <w:pPr>
        <w:ind w:left="3148" w:hanging="360"/>
      </w:pPr>
      <w:rPr>
        <w:rFonts w:hint="default"/>
        <w:lang w:val="en-US" w:eastAsia="en-US" w:bidi="ar-SA"/>
      </w:rPr>
    </w:lvl>
    <w:lvl w:ilvl="3">
      <w:start w:val="0"/>
      <w:numFmt w:val="bullet"/>
      <w:lvlText w:val="•"/>
      <w:lvlJc w:val="left"/>
      <w:pPr>
        <w:ind w:left="4122" w:hanging="360"/>
      </w:pPr>
      <w:rPr>
        <w:rFonts w:hint="default"/>
        <w:lang w:val="en-US" w:eastAsia="en-US" w:bidi="ar-SA"/>
      </w:rPr>
    </w:lvl>
    <w:lvl w:ilvl="4">
      <w:start w:val="0"/>
      <w:numFmt w:val="bullet"/>
      <w:lvlText w:val="•"/>
      <w:lvlJc w:val="left"/>
      <w:pPr>
        <w:ind w:left="5096" w:hanging="360"/>
      </w:pPr>
      <w:rPr>
        <w:rFonts w:hint="default"/>
        <w:lang w:val="en-US" w:eastAsia="en-US" w:bidi="ar-SA"/>
      </w:rPr>
    </w:lvl>
    <w:lvl w:ilvl="5">
      <w:start w:val="0"/>
      <w:numFmt w:val="bullet"/>
      <w:lvlText w:val="•"/>
      <w:lvlJc w:val="left"/>
      <w:pPr>
        <w:ind w:left="6070" w:hanging="360"/>
      </w:pPr>
      <w:rPr>
        <w:rFonts w:hint="default"/>
        <w:lang w:val="en-US" w:eastAsia="en-US" w:bidi="ar-SA"/>
      </w:rPr>
    </w:lvl>
    <w:lvl w:ilvl="6">
      <w:start w:val="0"/>
      <w:numFmt w:val="bullet"/>
      <w:lvlText w:val="•"/>
      <w:lvlJc w:val="left"/>
      <w:pPr>
        <w:ind w:left="7044" w:hanging="360"/>
      </w:pPr>
      <w:rPr>
        <w:rFonts w:hint="default"/>
        <w:lang w:val="en-US" w:eastAsia="en-US" w:bidi="ar-SA"/>
      </w:rPr>
    </w:lvl>
    <w:lvl w:ilvl="7">
      <w:start w:val="0"/>
      <w:numFmt w:val="bullet"/>
      <w:lvlText w:val="•"/>
      <w:lvlJc w:val="left"/>
      <w:pPr>
        <w:ind w:left="8018" w:hanging="360"/>
      </w:pPr>
      <w:rPr>
        <w:rFonts w:hint="default"/>
        <w:lang w:val="en-US" w:eastAsia="en-US" w:bidi="ar-SA"/>
      </w:rPr>
    </w:lvl>
    <w:lvl w:ilvl="8">
      <w:start w:val="0"/>
      <w:numFmt w:val="bullet"/>
      <w:lvlText w:val="•"/>
      <w:lvlJc w:val="left"/>
      <w:pPr>
        <w:ind w:left="8992" w:hanging="360"/>
      </w:pPr>
      <w:rPr>
        <w:rFonts w:hint="default"/>
        <w:lang w:val="en-US" w:eastAsia="en-US" w:bidi="ar-SA"/>
      </w:rPr>
    </w:lvl>
  </w:abstractNum>
  <w:abstractNum w:abstractNumId="5">
    <w:multiLevelType w:val="hybridMultilevel"/>
    <w:lvl w:ilvl="0">
      <w:start w:val="1"/>
      <w:numFmt w:val="upperLetter"/>
      <w:lvlText w:val="%1."/>
      <w:lvlJc w:val="left"/>
      <w:pPr>
        <w:ind w:left="1198" w:hanging="360"/>
        <w:jc w:val="left"/>
      </w:pPr>
      <w:rPr>
        <w:rFonts w:hint="default" w:ascii="Times New Roman" w:hAnsi="Times New Roman" w:eastAsia="Times New Roman" w:cs="Times New Roman"/>
        <w:b/>
        <w:bCs/>
        <w:i/>
        <w:iCs/>
        <w:w w:val="99"/>
        <w:sz w:val="32"/>
        <w:szCs w:val="32"/>
        <w:lang w:val="en-US" w:eastAsia="en-US" w:bidi="ar-SA"/>
      </w:rPr>
    </w:lvl>
    <w:lvl w:ilvl="1">
      <w:start w:val="1"/>
      <w:numFmt w:val="decimal"/>
      <w:lvlText w:val="%2."/>
      <w:lvlJc w:val="left"/>
      <w:pPr>
        <w:ind w:left="1558" w:hanging="360"/>
        <w:jc w:val="left"/>
      </w:pPr>
      <w:rPr>
        <w:rFonts w:hint="default"/>
        <w:spacing w:val="0"/>
        <w:w w:val="100"/>
        <w:lang w:val="en-US" w:eastAsia="en-US" w:bidi="ar-SA"/>
      </w:rPr>
    </w:lvl>
    <w:lvl w:ilvl="2">
      <w:start w:val="0"/>
      <w:numFmt w:val="bullet"/>
      <w:lvlText w:val="•"/>
      <w:lvlJc w:val="left"/>
      <w:pPr>
        <w:ind w:left="2602" w:hanging="360"/>
      </w:pPr>
      <w:rPr>
        <w:rFonts w:hint="default"/>
        <w:lang w:val="en-US" w:eastAsia="en-US" w:bidi="ar-SA"/>
      </w:rPr>
    </w:lvl>
    <w:lvl w:ilvl="3">
      <w:start w:val="0"/>
      <w:numFmt w:val="bullet"/>
      <w:lvlText w:val="•"/>
      <w:lvlJc w:val="left"/>
      <w:pPr>
        <w:ind w:left="3644" w:hanging="360"/>
      </w:pPr>
      <w:rPr>
        <w:rFonts w:hint="default"/>
        <w:lang w:val="en-US" w:eastAsia="en-US" w:bidi="ar-SA"/>
      </w:rPr>
    </w:lvl>
    <w:lvl w:ilvl="4">
      <w:start w:val="0"/>
      <w:numFmt w:val="bullet"/>
      <w:lvlText w:val="•"/>
      <w:lvlJc w:val="left"/>
      <w:pPr>
        <w:ind w:left="4686" w:hanging="360"/>
      </w:pPr>
      <w:rPr>
        <w:rFonts w:hint="default"/>
        <w:lang w:val="en-US" w:eastAsia="en-US" w:bidi="ar-SA"/>
      </w:rPr>
    </w:lvl>
    <w:lvl w:ilvl="5">
      <w:start w:val="0"/>
      <w:numFmt w:val="bullet"/>
      <w:lvlText w:val="•"/>
      <w:lvlJc w:val="left"/>
      <w:pPr>
        <w:ind w:left="5728" w:hanging="360"/>
      </w:pPr>
      <w:rPr>
        <w:rFonts w:hint="default"/>
        <w:lang w:val="en-US" w:eastAsia="en-US" w:bidi="ar-SA"/>
      </w:rPr>
    </w:lvl>
    <w:lvl w:ilvl="6">
      <w:start w:val="0"/>
      <w:numFmt w:val="bullet"/>
      <w:lvlText w:val="•"/>
      <w:lvlJc w:val="left"/>
      <w:pPr>
        <w:ind w:left="6771" w:hanging="360"/>
      </w:pPr>
      <w:rPr>
        <w:rFonts w:hint="default"/>
        <w:lang w:val="en-US" w:eastAsia="en-US" w:bidi="ar-SA"/>
      </w:rPr>
    </w:lvl>
    <w:lvl w:ilvl="7">
      <w:start w:val="0"/>
      <w:numFmt w:val="bullet"/>
      <w:lvlText w:val="•"/>
      <w:lvlJc w:val="left"/>
      <w:pPr>
        <w:ind w:left="7813" w:hanging="360"/>
      </w:pPr>
      <w:rPr>
        <w:rFonts w:hint="default"/>
        <w:lang w:val="en-US" w:eastAsia="en-US" w:bidi="ar-SA"/>
      </w:rPr>
    </w:lvl>
    <w:lvl w:ilvl="8">
      <w:start w:val="0"/>
      <w:numFmt w:val="bullet"/>
      <w:lvlText w:val="•"/>
      <w:lvlJc w:val="left"/>
      <w:pPr>
        <w:ind w:left="8855" w:hanging="360"/>
      </w:pPr>
      <w:rPr>
        <w:rFonts w:hint="default"/>
        <w:lang w:val="en-US" w:eastAsia="en-US" w:bidi="ar-SA"/>
      </w:rPr>
    </w:lvl>
  </w:abstractNum>
  <w:abstractNum w:abstractNumId="4">
    <w:multiLevelType w:val="hybridMultilevel"/>
    <w:lvl w:ilvl="0">
      <w:start w:val="1"/>
      <w:numFmt w:val="upperLetter"/>
      <w:lvlText w:val="%1."/>
      <w:lvlJc w:val="left"/>
      <w:pPr>
        <w:ind w:left="1198" w:hanging="360"/>
        <w:jc w:val="left"/>
      </w:pPr>
      <w:rPr>
        <w:rFonts w:hint="default" w:ascii="Times New Roman" w:hAnsi="Times New Roman" w:eastAsia="Times New Roman" w:cs="Times New Roman"/>
        <w:b/>
        <w:bCs/>
        <w:i w:val="0"/>
        <w:iCs w:val="0"/>
        <w:spacing w:val="0"/>
        <w:w w:val="100"/>
        <w:sz w:val="28"/>
        <w:szCs w:val="28"/>
        <w:lang w:val="en-US" w:eastAsia="en-US" w:bidi="ar-SA"/>
      </w:rPr>
    </w:lvl>
    <w:lvl w:ilvl="1">
      <w:start w:val="0"/>
      <w:numFmt w:val="bullet"/>
      <w:lvlText w:val="•"/>
      <w:lvlJc w:val="left"/>
      <w:pPr>
        <w:ind w:left="2174" w:hanging="360"/>
      </w:pPr>
      <w:rPr>
        <w:rFonts w:hint="default"/>
        <w:lang w:val="en-US" w:eastAsia="en-US" w:bidi="ar-SA"/>
      </w:rPr>
    </w:lvl>
    <w:lvl w:ilvl="2">
      <w:start w:val="0"/>
      <w:numFmt w:val="bullet"/>
      <w:lvlText w:val="•"/>
      <w:lvlJc w:val="left"/>
      <w:pPr>
        <w:ind w:left="3148" w:hanging="360"/>
      </w:pPr>
      <w:rPr>
        <w:rFonts w:hint="default"/>
        <w:lang w:val="en-US" w:eastAsia="en-US" w:bidi="ar-SA"/>
      </w:rPr>
    </w:lvl>
    <w:lvl w:ilvl="3">
      <w:start w:val="0"/>
      <w:numFmt w:val="bullet"/>
      <w:lvlText w:val="•"/>
      <w:lvlJc w:val="left"/>
      <w:pPr>
        <w:ind w:left="4122" w:hanging="360"/>
      </w:pPr>
      <w:rPr>
        <w:rFonts w:hint="default"/>
        <w:lang w:val="en-US" w:eastAsia="en-US" w:bidi="ar-SA"/>
      </w:rPr>
    </w:lvl>
    <w:lvl w:ilvl="4">
      <w:start w:val="0"/>
      <w:numFmt w:val="bullet"/>
      <w:lvlText w:val="•"/>
      <w:lvlJc w:val="left"/>
      <w:pPr>
        <w:ind w:left="5096" w:hanging="360"/>
      </w:pPr>
      <w:rPr>
        <w:rFonts w:hint="default"/>
        <w:lang w:val="en-US" w:eastAsia="en-US" w:bidi="ar-SA"/>
      </w:rPr>
    </w:lvl>
    <w:lvl w:ilvl="5">
      <w:start w:val="0"/>
      <w:numFmt w:val="bullet"/>
      <w:lvlText w:val="•"/>
      <w:lvlJc w:val="left"/>
      <w:pPr>
        <w:ind w:left="6070" w:hanging="360"/>
      </w:pPr>
      <w:rPr>
        <w:rFonts w:hint="default"/>
        <w:lang w:val="en-US" w:eastAsia="en-US" w:bidi="ar-SA"/>
      </w:rPr>
    </w:lvl>
    <w:lvl w:ilvl="6">
      <w:start w:val="0"/>
      <w:numFmt w:val="bullet"/>
      <w:lvlText w:val="•"/>
      <w:lvlJc w:val="left"/>
      <w:pPr>
        <w:ind w:left="7044" w:hanging="360"/>
      </w:pPr>
      <w:rPr>
        <w:rFonts w:hint="default"/>
        <w:lang w:val="en-US" w:eastAsia="en-US" w:bidi="ar-SA"/>
      </w:rPr>
    </w:lvl>
    <w:lvl w:ilvl="7">
      <w:start w:val="0"/>
      <w:numFmt w:val="bullet"/>
      <w:lvlText w:val="•"/>
      <w:lvlJc w:val="left"/>
      <w:pPr>
        <w:ind w:left="8018" w:hanging="360"/>
      </w:pPr>
      <w:rPr>
        <w:rFonts w:hint="default"/>
        <w:lang w:val="en-US" w:eastAsia="en-US" w:bidi="ar-SA"/>
      </w:rPr>
    </w:lvl>
    <w:lvl w:ilvl="8">
      <w:start w:val="0"/>
      <w:numFmt w:val="bullet"/>
      <w:lvlText w:val="•"/>
      <w:lvlJc w:val="left"/>
      <w:pPr>
        <w:ind w:left="8992" w:hanging="360"/>
      </w:pPr>
      <w:rPr>
        <w:rFonts w:hint="default"/>
        <w:lang w:val="en-US" w:eastAsia="en-US" w:bidi="ar-SA"/>
      </w:rPr>
    </w:lvl>
  </w:abstractNum>
  <w:abstractNum w:abstractNumId="3">
    <w:multiLevelType w:val="hybridMultilevel"/>
    <w:lvl w:ilvl="0">
      <w:start w:val="1"/>
      <w:numFmt w:val="decimal"/>
      <w:lvlText w:val="%1)"/>
      <w:lvlJc w:val="left"/>
      <w:pPr>
        <w:ind w:left="1198" w:hanging="360"/>
        <w:jc w:val="left"/>
      </w:pPr>
      <w:rPr>
        <w:rFonts w:hint="default" w:ascii="Times New Roman" w:hAnsi="Times New Roman" w:eastAsia="Times New Roman" w:cs="Times New Roman"/>
        <w:b w:val="0"/>
        <w:bCs w:val="0"/>
        <w:i w:val="0"/>
        <w:iCs w:val="0"/>
        <w:spacing w:val="0"/>
        <w:w w:val="100"/>
        <w:sz w:val="28"/>
        <w:szCs w:val="28"/>
        <w:lang w:val="en-US" w:eastAsia="en-US" w:bidi="ar-SA"/>
      </w:rPr>
    </w:lvl>
    <w:lvl w:ilvl="1">
      <w:start w:val="0"/>
      <w:numFmt w:val="bullet"/>
      <w:lvlText w:val="•"/>
      <w:lvlJc w:val="left"/>
      <w:pPr>
        <w:ind w:left="2174" w:hanging="360"/>
      </w:pPr>
      <w:rPr>
        <w:rFonts w:hint="default"/>
        <w:lang w:val="en-US" w:eastAsia="en-US" w:bidi="ar-SA"/>
      </w:rPr>
    </w:lvl>
    <w:lvl w:ilvl="2">
      <w:start w:val="0"/>
      <w:numFmt w:val="bullet"/>
      <w:lvlText w:val="•"/>
      <w:lvlJc w:val="left"/>
      <w:pPr>
        <w:ind w:left="3148" w:hanging="360"/>
      </w:pPr>
      <w:rPr>
        <w:rFonts w:hint="default"/>
        <w:lang w:val="en-US" w:eastAsia="en-US" w:bidi="ar-SA"/>
      </w:rPr>
    </w:lvl>
    <w:lvl w:ilvl="3">
      <w:start w:val="0"/>
      <w:numFmt w:val="bullet"/>
      <w:lvlText w:val="•"/>
      <w:lvlJc w:val="left"/>
      <w:pPr>
        <w:ind w:left="4122" w:hanging="360"/>
      </w:pPr>
      <w:rPr>
        <w:rFonts w:hint="default"/>
        <w:lang w:val="en-US" w:eastAsia="en-US" w:bidi="ar-SA"/>
      </w:rPr>
    </w:lvl>
    <w:lvl w:ilvl="4">
      <w:start w:val="0"/>
      <w:numFmt w:val="bullet"/>
      <w:lvlText w:val="•"/>
      <w:lvlJc w:val="left"/>
      <w:pPr>
        <w:ind w:left="5096" w:hanging="360"/>
      </w:pPr>
      <w:rPr>
        <w:rFonts w:hint="default"/>
        <w:lang w:val="en-US" w:eastAsia="en-US" w:bidi="ar-SA"/>
      </w:rPr>
    </w:lvl>
    <w:lvl w:ilvl="5">
      <w:start w:val="0"/>
      <w:numFmt w:val="bullet"/>
      <w:lvlText w:val="•"/>
      <w:lvlJc w:val="left"/>
      <w:pPr>
        <w:ind w:left="6070" w:hanging="360"/>
      </w:pPr>
      <w:rPr>
        <w:rFonts w:hint="default"/>
        <w:lang w:val="en-US" w:eastAsia="en-US" w:bidi="ar-SA"/>
      </w:rPr>
    </w:lvl>
    <w:lvl w:ilvl="6">
      <w:start w:val="0"/>
      <w:numFmt w:val="bullet"/>
      <w:lvlText w:val="•"/>
      <w:lvlJc w:val="left"/>
      <w:pPr>
        <w:ind w:left="7044" w:hanging="360"/>
      </w:pPr>
      <w:rPr>
        <w:rFonts w:hint="default"/>
        <w:lang w:val="en-US" w:eastAsia="en-US" w:bidi="ar-SA"/>
      </w:rPr>
    </w:lvl>
    <w:lvl w:ilvl="7">
      <w:start w:val="0"/>
      <w:numFmt w:val="bullet"/>
      <w:lvlText w:val="•"/>
      <w:lvlJc w:val="left"/>
      <w:pPr>
        <w:ind w:left="8018" w:hanging="360"/>
      </w:pPr>
      <w:rPr>
        <w:rFonts w:hint="default"/>
        <w:lang w:val="en-US" w:eastAsia="en-US" w:bidi="ar-SA"/>
      </w:rPr>
    </w:lvl>
    <w:lvl w:ilvl="8">
      <w:start w:val="0"/>
      <w:numFmt w:val="bullet"/>
      <w:lvlText w:val="•"/>
      <w:lvlJc w:val="left"/>
      <w:pPr>
        <w:ind w:left="8992" w:hanging="360"/>
      </w:pPr>
      <w:rPr>
        <w:rFonts w:hint="default"/>
        <w:lang w:val="en-US" w:eastAsia="en-US" w:bidi="ar-SA"/>
      </w:rPr>
    </w:lvl>
  </w:abstractNum>
  <w:abstractNum w:abstractNumId="2">
    <w:multiLevelType w:val="hybridMultilevel"/>
    <w:lvl w:ilvl="0">
      <w:start w:val="0"/>
      <w:numFmt w:val="bullet"/>
      <w:lvlText w:val=""/>
      <w:lvlJc w:val="left"/>
      <w:pPr>
        <w:ind w:left="1198" w:hanging="360"/>
      </w:pPr>
      <w:rPr>
        <w:rFonts w:hint="default" w:ascii="Wingdings" w:hAnsi="Wingdings" w:eastAsia="Wingdings" w:cs="Wingdings"/>
        <w:b w:val="0"/>
        <w:bCs w:val="0"/>
        <w:i w:val="0"/>
        <w:iCs w:val="0"/>
        <w:w w:val="100"/>
        <w:sz w:val="28"/>
        <w:szCs w:val="28"/>
        <w:lang w:val="en-US" w:eastAsia="en-US" w:bidi="ar-SA"/>
      </w:rPr>
    </w:lvl>
    <w:lvl w:ilvl="1">
      <w:start w:val="0"/>
      <w:numFmt w:val="bullet"/>
      <w:lvlText w:val="•"/>
      <w:lvlJc w:val="left"/>
      <w:pPr>
        <w:ind w:left="2174" w:hanging="360"/>
      </w:pPr>
      <w:rPr>
        <w:rFonts w:hint="default"/>
        <w:lang w:val="en-US" w:eastAsia="en-US" w:bidi="ar-SA"/>
      </w:rPr>
    </w:lvl>
    <w:lvl w:ilvl="2">
      <w:start w:val="0"/>
      <w:numFmt w:val="bullet"/>
      <w:lvlText w:val="•"/>
      <w:lvlJc w:val="left"/>
      <w:pPr>
        <w:ind w:left="3148" w:hanging="360"/>
      </w:pPr>
      <w:rPr>
        <w:rFonts w:hint="default"/>
        <w:lang w:val="en-US" w:eastAsia="en-US" w:bidi="ar-SA"/>
      </w:rPr>
    </w:lvl>
    <w:lvl w:ilvl="3">
      <w:start w:val="0"/>
      <w:numFmt w:val="bullet"/>
      <w:lvlText w:val="•"/>
      <w:lvlJc w:val="left"/>
      <w:pPr>
        <w:ind w:left="4122" w:hanging="360"/>
      </w:pPr>
      <w:rPr>
        <w:rFonts w:hint="default"/>
        <w:lang w:val="en-US" w:eastAsia="en-US" w:bidi="ar-SA"/>
      </w:rPr>
    </w:lvl>
    <w:lvl w:ilvl="4">
      <w:start w:val="0"/>
      <w:numFmt w:val="bullet"/>
      <w:lvlText w:val="•"/>
      <w:lvlJc w:val="left"/>
      <w:pPr>
        <w:ind w:left="5096" w:hanging="360"/>
      </w:pPr>
      <w:rPr>
        <w:rFonts w:hint="default"/>
        <w:lang w:val="en-US" w:eastAsia="en-US" w:bidi="ar-SA"/>
      </w:rPr>
    </w:lvl>
    <w:lvl w:ilvl="5">
      <w:start w:val="0"/>
      <w:numFmt w:val="bullet"/>
      <w:lvlText w:val="•"/>
      <w:lvlJc w:val="left"/>
      <w:pPr>
        <w:ind w:left="6070" w:hanging="360"/>
      </w:pPr>
      <w:rPr>
        <w:rFonts w:hint="default"/>
        <w:lang w:val="en-US" w:eastAsia="en-US" w:bidi="ar-SA"/>
      </w:rPr>
    </w:lvl>
    <w:lvl w:ilvl="6">
      <w:start w:val="0"/>
      <w:numFmt w:val="bullet"/>
      <w:lvlText w:val="•"/>
      <w:lvlJc w:val="left"/>
      <w:pPr>
        <w:ind w:left="7044" w:hanging="360"/>
      </w:pPr>
      <w:rPr>
        <w:rFonts w:hint="default"/>
        <w:lang w:val="en-US" w:eastAsia="en-US" w:bidi="ar-SA"/>
      </w:rPr>
    </w:lvl>
    <w:lvl w:ilvl="7">
      <w:start w:val="0"/>
      <w:numFmt w:val="bullet"/>
      <w:lvlText w:val="•"/>
      <w:lvlJc w:val="left"/>
      <w:pPr>
        <w:ind w:left="8018" w:hanging="360"/>
      </w:pPr>
      <w:rPr>
        <w:rFonts w:hint="default"/>
        <w:lang w:val="en-US" w:eastAsia="en-US" w:bidi="ar-SA"/>
      </w:rPr>
    </w:lvl>
    <w:lvl w:ilvl="8">
      <w:start w:val="0"/>
      <w:numFmt w:val="bullet"/>
      <w:lvlText w:val="•"/>
      <w:lvlJc w:val="left"/>
      <w:pPr>
        <w:ind w:left="8992" w:hanging="360"/>
      </w:pPr>
      <w:rPr>
        <w:rFonts w:hint="default"/>
        <w:lang w:val="en-US" w:eastAsia="en-US" w:bidi="ar-SA"/>
      </w:rPr>
    </w:lvl>
  </w:abstractNum>
  <w:abstractNum w:abstractNumId="1">
    <w:multiLevelType w:val="hybridMultilevel"/>
    <w:lvl w:ilvl="0">
      <w:start w:val="0"/>
      <w:numFmt w:val="bullet"/>
      <w:lvlText w:val=""/>
      <w:lvlJc w:val="left"/>
      <w:pPr>
        <w:ind w:left="478" w:hanging="361"/>
      </w:pPr>
      <w:rPr>
        <w:rFonts w:hint="default" w:ascii="Wingdings" w:hAnsi="Wingdings" w:eastAsia="Wingdings" w:cs="Wingdings"/>
        <w:w w:val="100"/>
        <w:lang w:val="en-US" w:eastAsia="en-US" w:bidi="ar-SA"/>
      </w:rPr>
    </w:lvl>
    <w:lvl w:ilvl="1">
      <w:start w:val="0"/>
      <w:numFmt w:val="bullet"/>
      <w:lvlText w:val="o"/>
      <w:lvlJc w:val="left"/>
      <w:pPr>
        <w:ind w:left="1472" w:hanging="360"/>
      </w:pPr>
      <w:rPr>
        <w:rFonts w:hint="default" w:ascii="Courier New" w:hAnsi="Courier New" w:eastAsia="Courier New" w:cs="Courier New"/>
        <w:b w:val="0"/>
        <w:bCs w:val="0"/>
        <w:i w:val="0"/>
        <w:iCs w:val="0"/>
        <w:w w:val="100"/>
        <w:sz w:val="28"/>
        <w:szCs w:val="28"/>
        <w:lang w:val="en-US" w:eastAsia="en-US" w:bidi="ar-SA"/>
      </w:rPr>
    </w:lvl>
    <w:lvl w:ilvl="2">
      <w:start w:val="0"/>
      <w:numFmt w:val="bullet"/>
      <w:lvlText w:val="•"/>
      <w:lvlJc w:val="left"/>
      <w:pPr>
        <w:ind w:left="2531" w:hanging="360"/>
      </w:pPr>
      <w:rPr>
        <w:rFonts w:hint="default"/>
        <w:lang w:val="en-US" w:eastAsia="en-US" w:bidi="ar-SA"/>
      </w:rPr>
    </w:lvl>
    <w:lvl w:ilvl="3">
      <w:start w:val="0"/>
      <w:numFmt w:val="bullet"/>
      <w:lvlText w:val="•"/>
      <w:lvlJc w:val="left"/>
      <w:pPr>
        <w:ind w:left="3582" w:hanging="360"/>
      </w:pPr>
      <w:rPr>
        <w:rFonts w:hint="default"/>
        <w:lang w:val="en-US" w:eastAsia="en-US" w:bidi="ar-SA"/>
      </w:rPr>
    </w:lvl>
    <w:lvl w:ilvl="4">
      <w:start w:val="0"/>
      <w:numFmt w:val="bullet"/>
      <w:lvlText w:val="•"/>
      <w:lvlJc w:val="left"/>
      <w:pPr>
        <w:ind w:left="4633" w:hanging="360"/>
      </w:pPr>
      <w:rPr>
        <w:rFonts w:hint="default"/>
        <w:lang w:val="en-US" w:eastAsia="en-US" w:bidi="ar-SA"/>
      </w:rPr>
    </w:lvl>
    <w:lvl w:ilvl="5">
      <w:start w:val="0"/>
      <w:numFmt w:val="bullet"/>
      <w:lvlText w:val="•"/>
      <w:lvlJc w:val="left"/>
      <w:pPr>
        <w:ind w:left="5684" w:hanging="360"/>
      </w:pPr>
      <w:rPr>
        <w:rFonts w:hint="default"/>
        <w:lang w:val="en-US" w:eastAsia="en-US" w:bidi="ar-SA"/>
      </w:rPr>
    </w:lvl>
    <w:lvl w:ilvl="6">
      <w:start w:val="0"/>
      <w:numFmt w:val="bullet"/>
      <w:lvlText w:val="•"/>
      <w:lvlJc w:val="left"/>
      <w:pPr>
        <w:ind w:left="6735" w:hanging="360"/>
      </w:pPr>
      <w:rPr>
        <w:rFonts w:hint="default"/>
        <w:lang w:val="en-US" w:eastAsia="en-US" w:bidi="ar-SA"/>
      </w:rPr>
    </w:lvl>
    <w:lvl w:ilvl="7">
      <w:start w:val="0"/>
      <w:numFmt w:val="bullet"/>
      <w:lvlText w:val="•"/>
      <w:lvlJc w:val="left"/>
      <w:pPr>
        <w:ind w:left="7786" w:hanging="360"/>
      </w:pPr>
      <w:rPr>
        <w:rFonts w:hint="default"/>
        <w:lang w:val="en-US" w:eastAsia="en-US" w:bidi="ar-SA"/>
      </w:rPr>
    </w:lvl>
    <w:lvl w:ilvl="8">
      <w:start w:val="0"/>
      <w:numFmt w:val="bullet"/>
      <w:lvlText w:val="•"/>
      <w:lvlJc w:val="left"/>
      <w:pPr>
        <w:ind w:left="8837" w:hanging="360"/>
      </w:pPr>
      <w:rPr>
        <w:rFonts w:hint="default"/>
        <w:lang w:val="en-US" w:eastAsia="en-US" w:bidi="ar-SA"/>
      </w:rPr>
    </w:lvl>
  </w:abstractNum>
  <w:abstractNum w:abstractNumId="0">
    <w:multiLevelType w:val="hybridMultilevel"/>
    <w:lvl w:ilvl="0">
      <w:start w:val="0"/>
      <w:numFmt w:val="bullet"/>
      <w:lvlText w:val=""/>
      <w:lvlJc w:val="left"/>
      <w:pPr>
        <w:ind w:left="478" w:hanging="361"/>
      </w:pPr>
      <w:rPr>
        <w:rFonts w:hint="default" w:ascii="Wingdings" w:hAnsi="Wingdings" w:eastAsia="Wingdings" w:cs="Wingdings"/>
        <w:b w:val="0"/>
        <w:bCs w:val="0"/>
        <w:i w:val="0"/>
        <w:iCs w:val="0"/>
        <w:spacing w:val="3"/>
        <w:w w:val="100"/>
        <w:sz w:val="38"/>
        <w:szCs w:val="38"/>
        <w:lang w:val="en-US" w:eastAsia="en-US" w:bidi="ar-SA"/>
      </w:rPr>
    </w:lvl>
    <w:lvl w:ilvl="1">
      <w:start w:val="0"/>
      <w:numFmt w:val="bullet"/>
      <w:lvlText w:val="•"/>
      <w:lvlJc w:val="left"/>
      <w:pPr>
        <w:ind w:left="1526" w:hanging="361"/>
      </w:pPr>
      <w:rPr>
        <w:rFonts w:hint="default"/>
        <w:lang w:val="en-US" w:eastAsia="en-US" w:bidi="ar-SA"/>
      </w:rPr>
    </w:lvl>
    <w:lvl w:ilvl="2">
      <w:start w:val="0"/>
      <w:numFmt w:val="bullet"/>
      <w:lvlText w:val="•"/>
      <w:lvlJc w:val="left"/>
      <w:pPr>
        <w:ind w:left="2572" w:hanging="361"/>
      </w:pPr>
      <w:rPr>
        <w:rFonts w:hint="default"/>
        <w:lang w:val="en-US" w:eastAsia="en-US" w:bidi="ar-SA"/>
      </w:rPr>
    </w:lvl>
    <w:lvl w:ilvl="3">
      <w:start w:val="0"/>
      <w:numFmt w:val="bullet"/>
      <w:lvlText w:val="•"/>
      <w:lvlJc w:val="left"/>
      <w:pPr>
        <w:ind w:left="3618" w:hanging="361"/>
      </w:pPr>
      <w:rPr>
        <w:rFonts w:hint="default"/>
        <w:lang w:val="en-US" w:eastAsia="en-US" w:bidi="ar-SA"/>
      </w:rPr>
    </w:lvl>
    <w:lvl w:ilvl="4">
      <w:start w:val="0"/>
      <w:numFmt w:val="bullet"/>
      <w:lvlText w:val="•"/>
      <w:lvlJc w:val="left"/>
      <w:pPr>
        <w:ind w:left="4664" w:hanging="361"/>
      </w:pPr>
      <w:rPr>
        <w:rFonts w:hint="default"/>
        <w:lang w:val="en-US" w:eastAsia="en-US" w:bidi="ar-SA"/>
      </w:rPr>
    </w:lvl>
    <w:lvl w:ilvl="5">
      <w:start w:val="0"/>
      <w:numFmt w:val="bullet"/>
      <w:lvlText w:val="•"/>
      <w:lvlJc w:val="left"/>
      <w:pPr>
        <w:ind w:left="5710" w:hanging="361"/>
      </w:pPr>
      <w:rPr>
        <w:rFonts w:hint="default"/>
        <w:lang w:val="en-US" w:eastAsia="en-US" w:bidi="ar-SA"/>
      </w:rPr>
    </w:lvl>
    <w:lvl w:ilvl="6">
      <w:start w:val="0"/>
      <w:numFmt w:val="bullet"/>
      <w:lvlText w:val="•"/>
      <w:lvlJc w:val="left"/>
      <w:pPr>
        <w:ind w:left="6756" w:hanging="361"/>
      </w:pPr>
      <w:rPr>
        <w:rFonts w:hint="default"/>
        <w:lang w:val="en-US" w:eastAsia="en-US" w:bidi="ar-SA"/>
      </w:rPr>
    </w:lvl>
    <w:lvl w:ilvl="7">
      <w:start w:val="0"/>
      <w:numFmt w:val="bullet"/>
      <w:lvlText w:val="•"/>
      <w:lvlJc w:val="left"/>
      <w:pPr>
        <w:ind w:left="7802" w:hanging="361"/>
      </w:pPr>
      <w:rPr>
        <w:rFonts w:hint="default"/>
        <w:lang w:val="en-US" w:eastAsia="en-US" w:bidi="ar-SA"/>
      </w:rPr>
    </w:lvl>
    <w:lvl w:ilvl="8">
      <w:start w:val="0"/>
      <w:numFmt w:val="bullet"/>
      <w:lvlText w:val="•"/>
      <w:lvlJc w:val="left"/>
      <w:pPr>
        <w:ind w:left="8848" w:hanging="361"/>
      </w:pPr>
      <w:rPr>
        <w:rFonts w:hint="default"/>
        <w:lang w:val="en-US" w:eastAsia="en-US" w:bidi="ar-SA"/>
      </w:rPr>
    </w:lvl>
  </w:abstractNum>
  <w:num w:numId="19">
    <w:abstractNumId w:val="18"/>
  </w:num>
  <w:num w:numId="18">
    <w:abstractNumId w:val="17"/>
  </w:num>
  <w:num w:numId="17">
    <w:abstractNumId w:val="16"/>
  </w:num>
  <w:num w:numId="16">
    <w:abstractNumId w:val="15"/>
  </w:num>
  <w:num w:numId="15">
    <w:abstractNumId w:val="14"/>
  </w:num>
  <w:num w:numId="14">
    <w:abstractNumId w:val="13"/>
  </w:num>
  <w:num w:numId="13">
    <w:abstractNumId w:val="12"/>
  </w:num>
  <w:num w:numId="12">
    <w:abstractNumId w:val="11"/>
  </w:num>
  <w:num w:numId="11">
    <w:abstractNumId w:val="10"/>
  </w:num>
  <w:num w:numId="10">
    <w:abstractNumId w:val="9"/>
  </w:num>
  <w:num w:numId="9">
    <w:abstractNumId w:val="8"/>
  </w:num>
  <w:num w:numId="8">
    <w:abstractNumId w:val="7"/>
  </w:num>
  <w:num w:numId="7">
    <w:abstractNumId w:val="6"/>
  </w:num>
  <w:num w:numId="6">
    <w:abstractNumId w:val="5"/>
  </w:num>
  <w:num w:numId="5">
    <w:abstractNumId w:val="4"/>
  </w: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imes New Roman" w:hAnsi="Times New Roman" w:eastAsia="Times New Roman" w:cs="Times New Roman"/>
      <w:lang w:val="en-US" w:eastAsia="en-US" w:bidi="ar-SA"/>
    </w:rPr>
  </w:style>
  <w:style w:styleId="BodyText" w:type="paragraph">
    <w:name w:val="Body Text"/>
    <w:basedOn w:val="Normal"/>
    <w:uiPriority w:val="1"/>
    <w:qFormat/>
    <w:pPr>
      <w:ind w:left="1198" w:hanging="361"/>
    </w:pPr>
    <w:rPr>
      <w:rFonts w:ascii="Times New Roman" w:hAnsi="Times New Roman" w:eastAsia="Times New Roman" w:cs="Times New Roman"/>
      <w:sz w:val="28"/>
      <w:szCs w:val="28"/>
      <w:lang w:val="en-US" w:eastAsia="en-US" w:bidi="ar-SA"/>
    </w:rPr>
  </w:style>
  <w:style w:styleId="Heading1" w:type="paragraph">
    <w:name w:val="Heading 1"/>
    <w:basedOn w:val="Normal"/>
    <w:uiPriority w:val="1"/>
    <w:qFormat/>
    <w:pPr>
      <w:ind w:left="478" w:hanging="361"/>
      <w:outlineLvl w:val="1"/>
    </w:pPr>
    <w:rPr>
      <w:rFonts w:ascii="Times New Roman" w:hAnsi="Times New Roman" w:eastAsia="Times New Roman" w:cs="Times New Roman"/>
      <w:b/>
      <w:bCs/>
      <w:i/>
      <w:iCs/>
      <w:sz w:val="32"/>
      <w:szCs w:val="32"/>
      <w:u w:val="single" w:color="000000"/>
      <w:lang w:val="en-US" w:eastAsia="en-US" w:bidi="ar-SA"/>
    </w:rPr>
  </w:style>
  <w:style w:styleId="Heading2" w:type="paragraph">
    <w:name w:val="Heading 2"/>
    <w:basedOn w:val="Normal"/>
    <w:uiPriority w:val="1"/>
    <w:qFormat/>
    <w:pPr>
      <w:spacing w:before="160"/>
      <w:ind w:left="1198" w:hanging="361"/>
      <w:outlineLvl w:val="2"/>
    </w:pPr>
    <w:rPr>
      <w:rFonts w:ascii="Times New Roman" w:hAnsi="Times New Roman" w:eastAsia="Times New Roman" w:cs="Times New Roman"/>
      <w:b/>
      <w:bCs/>
      <w:sz w:val="28"/>
      <w:szCs w:val="28"/>
      <w:lang w:val="en-US" w:eastAsia="en-US" w:bidi="ar-SA"/>
    </w:rPr>
  </w:style>
  <w:style w:styleId="Heading3" w:type="paragraph">
    <w:name w:val="Heading 3"/>
    <w:basedOn w:val="Normal"/>
    <w:uiPriority w:val="1"/>
    <w:qFormat/>
    <w:pPr>
      <w:spacing w:before="59"/>
      <w:ind w:left="478"/>
      <w:outlineLvl w:val="3"/>
    </w:pPr>
    <w:rPr>
      <w:rFonts w:ascii="Times New Roman" w:hAnsi="Times New Roman" w:eastAsia="Times New Roman" w:cs="Times New Roman"/>
      <w:b/>
      <w:bCs/>
      <w:i/>
      <w:iCs/>
      <w:sz w:val="28"/>
      <w:szCs w:val="28"/>
      <w:u w:val="single" w:color="000000"/>
      <w:lang w:val="en-US" w:eastAsia="en-US" w:bidi="ar-SA"/>
    </w:rPr>
  </w:style>
  <w:style w:styleId="Title" w:type="paragraph">
    <w:name w:val="Title"/>
    <w:basedOn w:val="Normal"/>
    <w:uiPriority w:val="1"/>
    <w:qFormat/>
    <w:pPr>
      <w:spacing w:before="228"/>
      <w:ind w:left="1035"/>
    </w:pPr>
    <w:rPr>
      <w:rFonts w:ascii="Times New Roman" w:hAnsi="Times New Roman" w:eastAsia="Times New Roman" w:cs="Times New Roman"/>
      <w:b/>
      <w:bCs/>
      <w:sz w:val="96"/>
      <w:szCs w:val="96"/>
      <w:lang w:val="en-US" w:eastAsia="en-US" w:bidi="ar-SA"/>
    </w:rPr>
  </w:style>
  <w:style w:styleId="ListParagraph" w:type="paragraph">
    <w:name w:val="List Paragraph"/>
    <w:basedOn w:val="Normal"/>
    <w:uiPriority w:val="1"/>
    <w:qFormat/>
    <w:pPr>
      <w:spacing w:before="160"/>
      <w:ind w:left="1198" w:hanging="361"/>
    </w:pPr>
    <w:rPr>
      <w:rFonts w:ascii="Times New Roman" w:hAnsi="Times New Roman" w:eastAsia="Times New Roman" w:cs="Times New Roman"/>
      <w:lang w:val="en-US" w:eastAsia="en-US" w:bidi="ar-SA"/>
    </w:rPr>
  </w:style>
  <w:style w:styleId="TableParagraph" w:type="paragraph">
    <w:name w:val="Table Paragraph"/>
    <w:basedOn w:val="Normal"/>
    <w:uiPriority w:val="1"/>
    <w:qFormat/>
    <w:pPr>
      <w:ind w:left="107"/>
    </w:pPr>
    <w:rPr>
      <w:rFonts w:ascii="Times New Roman" w:hAnsi="Times New Roman" w:eastAsia="Times New Roman" w:cs="Times New Roman"/>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image" Target="media/image1.png"/><Relationship Id="rId6" Type="http://schemas.openxmlformats.org/officeDocument/2006/relationships/image" Target="media/image2.jpeg"/><Relationship Id="rId7" Type="http://schemas.openxmlformats.org/officeDocument/2006/relationships/image" Target="media/image3.jpeg"/><Relationship Id="rId8" Type="http://schemas.openxmlformats.org/officeDocument/2006/relationships/footer" Target="footer1.xml"/><Relationship Id="rId9" Type="http://schemas.openxmlformats.org/officeDocument/2006/relationships/hyperlink" Target="https://www.kenhub.com/en/library/anatomy/the-digestive-system" TargetMode="External"/><Relationship Id="rId10" Type="http://schemas.openxmlformats.org/officeDocument/2006/relationships/image" Target="media/image4.jpeg"/><Relationship Id="rId11" Type="http://schemas.openxmlformats.org/officeDocument/2006/relationships/image" Target="media/image5.jpeg"/><Relationship Id="rId12" Type="http://schemas.openxmlformats.org/officeDocument/2006/relationships/image" Target="media/image6.jpeg"/><Relationship Id="rId13" Type="http://schemas.openxmlformats.org/officeDocument/2006/relationships/hyperlink" Target="https://teachmesurgery.com/perioperative/general-complications/sepsis/" TargetMode="External"/><Relationship Id="rId14" Type="http://schemas.openxmlformats.org/officeDocument/2006/relationships/hyperlink" Target="https://teachmesurgery.com/skills/surgical/abscess-drainage/" TargetMode="External"/><Relationship Id="rId15" Type="http://schemas.openxmlformats.org/officeDocument/2006/relationships/image" Target="media/image7.jpeg"/><Relationship Id="rId16" Type="http://schemas.openxmlformats.org/officeDocument/2006/relationships/image" Target="media/image8.jpeg"/><Relationship Id="rId17" Type="http://schemas.openxmlformats.org/officeDocument/2006/relationships/image" Target="media/image9.jpeg"/><Relationship Id="rId18" Type="http://schemas.openxmlformats.org/officeDocument/2006/relationships/image" Target="media/image10.jpeg"/><Relationship Id="rId19" Type="http://schemas.openxmlformats.org/officeDocument/2006/relationships/image" Target="media/image11.png"/><Relationship Id="rId20" Type="http://schemas.openxmlformats.org/officeDocument/2006/relationships/hyperlink" Target="https://nurseslabs.com/acute-pain/" TargetMode="External"/><Relationship Id="rId21"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Dr.yasser shalby</dc:creator>
  <dcterms:created xsi:type="dcterms:W3CDTF">2026-02-19T19:50:38Z</dcterms:created>
  <dcterms:modified xsi:type="dcterms:W3CDTF">2026-02-19T19:50:38Z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2022-10-15T00:00:00Z</vt:filetime>
  </property>
  <property fmtid="{D5CDD505-2E9C-101B-9397-08002B2CF9AE}" pid="3" name="Creator">
    <vt:lpwstr>Microsoft® Word 2016</vt:lpwstr>
  </property>
  <property fmtid="{D5CDD505-2E9C-101B-9397-08002B2CF9AE}" pid="4" name="LastSaved">
    <vt:filetime>2026-02-19T00:00:00Z</vt:filetime>
  </property>
</Properties>
</file>