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0" w:firstLine="0"/>
        <w:rPr>
          <w:sz w:val="20"/>
        </w:rPr>
      </w:pPr>
      <w:r>
        <w:rPr/>
        <w:pict>
          <v:group style="position:absolute;margin-left:16.324705pt;margin-top:58.343159pt;width:141.4pt;height:159.7pt;mso-position-horizontal-relative:page;mso-position-vertical-relative:page;z-index:-15954432" id="docshapegroup1" coordorigin="326,1167" coordsize="2828,3194">
            <v:shape style="position:absolute;left:326;top:1166;width:2828;height:3194" type="#_x0000_t75" id="docshape2" alt="Logo  Description automatically generated" stroked="false">
              <v:imagedata r:id="rId5" o:title=""/>
            </v:shape>
            <v:shape style="position:absolute;left:577;top:1416;width:2016;height:2384" type="#_x0000_t75" id="docshape3" alt="Logo  Description automatically generated" stroked="false">
              <v:imagedata r:id="rId6" o:title=""/>
            </v:shape>
            <w10:wrap type="none"/>
          </v:group>
        </w:pic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6"/>
        <w:ind w:left="0" w:firstLine="0"/>
        <w:rPr>
          <w:sz w:val="21"/>
        </w:rPr>
      </w:pPr>
    </w:p>
    <w:p>
      <w:pPr>
        <w:pStyle w:val="BodyText"/>
        <w:spacing w:line="244" w:lineRule="auto" w:before="89"/>
        <w:ind w:left="2987" w:right="4808" w:firstLine="542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6195059</wp:posOffset>
            </wp:positionH>
            <wp:positionV relativeFrom="paragraph">
              <wp:posOffset>-285492</wp:posOffset>
            </wp:positionV>
            <wp:extent cx="1280160" cy="1363979"/>
            <wp:effectExtent l="0" t="0" r="0" b="0"/>
            <wp:wrapNone/>
            <wp:docPr id="1" name="image3.jpeg" descr="C:\Users\DR Azza\Desktop\28233295_1271340249633136_1553563886_n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363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Faculty of nursing</w:t>
      </w:r>
      <w:r>
        <w:rPr>
          <w:spacing w:val="1"/>
        </w:rPr>
        <w:t> </w:t>
      </w:r>
      <w:r>
        <w:rPr/>
        <w:t>Medical Surgical Nursing</w:t>
      </w:r>
      <w:r>
        <w:rPr>
          <w:spacing w:val="1"/>
        </w:rPr>
        <w:t> </w:t>
      </w:r>
      <w:r>
        <w:rPr/>
        <w:t>Medical Surgical II Course</w:t>
      </w:r>
      <w:r>
        <w:rPr>
          <w:spacing w:val="1"/>
        </w:rPr>
        <w:t> </w:t>
      </w:r>
      <w:r>
        <w:rPr/>
        <w:t>Surgical</w:t>
      </w:r>
      <w:r>
        <w:rPr>
          <w:spacing w:val="-7"/>
        </w:rPr>
        <w:t> </w:t>
      </w:r>
      <w:r>
        <w:rPr/>
        <w:t>rotation</w:t>
      </w:r>
      <w:r>
        <w:rPr>
          <w:spacing w:val="-10"/>
        </w:rPr>
        <w:t> </w:t>
      </w:r>
      <w:r>
        <w:rPr/>
        <w:t>2022/2023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Title"/>
      </w:pPr>
      <w:r>
        <w:rPr>
          <w:b w:val="0"/>
          <w:color w:val="0066CC"/>
        </w:rPr>
        <w:t>Anorectal Disorders (Evidence-Based Revised Teaching Edition)</w:t>
      </w:r>
    </w:p>
    <w:p>
      <w:r>
        <w:rPr>
          <w:b/>
          <w:color w:val="009900"/>
        </w:rPr>
        <w:t>REVISION LEGEND</w:t>
      </w:r>
    </w:p>
    <w:p>
      <w:r>
        <w:rPr>
          <w:b w:val="0"/>
          <w:color w:val="009900"/>
        </w:rPr>
        <w:t>Blue text = revised/corrected original content.</w:t>
      </w:r>
    </w:p>
    <w:p>
      <w:r>
        <w:rPr>
          <w:b w:val="0"/>
          <w:color w:val="009900"/>
        </w:rPr>
        <w:t>Green text = newly added/expanded evidence-based content and nursing rationale.</w:t>
      </w:r>
    </w:p>
    <w:p>
      <w:r>
        <w:rPr>
          <w:b w:val="0"/>
          <w:color w:val="009900"/>
        </w:rPr>
        <w:t>Evidence alignment note: updated conservatively per current ASCRS/ACG/ESCP guidance and contemporary nursing standards.</w:t>
      </w:r>
    </w:p>
    <w:p>
      <w:pPr>
        <w:pStyle w:val="BodyText"/>
        <w:spacing w:before="2"/>
        <w:ind w:left="0" w:firstLine="0"/>
        <w:rPr>
          <w:b/>
          <w:sz w:val="112"/>
        </w:rPr>
      </w:pPr>
    </w:p>
    <w:p>
      <w:pPr>
        <w:spacing w:before="1"/>
        <w:ind w:left="118" w:right="0" w:firstLine="0"/>
        <w:jc w:val="left"/>
        <w:rPr>
          <w:b/>
          <w:i/>
          <w:sz w:val="48"/>
        </w:rPr>
      </w:pPr>
      <w:r>
        <w:rPr>
          <w:b/>
          <w:i/>
          <w:sz w:val="48"/>
        </w:rPr>
        <w:t>Prepared</w:t>
      </w:r>
      <w:r>
        <w:rPr>
          <w:b/>
          <w:i/>
          <w:spacing w:val="-1"/>
          <w:sz w:val="48"/>
        </w:rPr>
        <w:t> </w:t>
      </w:r>
      <w:r>
        <w:rPr>
          <w:b/>
          <w:i/>
          <w:sz w:val="48"/>
        </w:rPr>
        <w:t>by:</w:t>
      </w:r>
    </w:p>
    <w:p>
      <w:pPr>
        <w:spacing w:before="320"/>
        <w:ind w:left="1662" w:right="5088" w:firstLine="0"/>
        <w:jc w:val="left"/>
        <w:rPr>
          <w:i/>
          <w:sz w:val="44"/>
        </w:rPr>
      </w:pPr>
      <w:r>
        <w:rPr>
          <w:i/>
          <w:sz w:val="44"/>
        </w:rPr>
        <w:t>Dr/</w:t>
      </w:r>
      <w:r>
        <w:rPr>
          <w:i/>
          <w:spacing w:val="-9"/>
          <w:sz w:val="44"/>
        </w:rPr>
        <w:t> </w:t>
      </w:r>
      <w:r>
        <w:rPr>
          <w:i/>
          <w:sz w:val="44"/>
        </w:rPr>
        <w:t>Asmaa</w:t>
      </w:r>
      <w:r>
        <w:rPr>
          <w:i/>
          <w:spacing w:val="-6"/>
          <w:sz w:val="44"/>
        </w:rPr>
        <w:t> </w:t>
      </w:r>
      <w:r>
        <w:rPr>
          <w:i/>
          <w:sz w:val="44"/>
        </w:rPr>
        <w:t>Abdel</w:t>
      </w:r>
      <w:r>
        <w:rPr>
          <w:i/>
          <w:spacing w:val="-7"/>
          <w:sz w:val="44"/>
        </w:rPr>
        <w:t> </w:t>
      </w:r>
      <w:r>
        <w:rPr>
          <w:i/>
          <w:sz w:val="44"/>
        </w:rPr>
        <w:t>Hafez</w:t>
      </w:r>
      <w:r>
        <w:rPr>
          <w:i/>
          <w:spacing w:val="-107"/>
          <w:sz w:val="44"/>
        </w:rPr>
        <w:t> </w:t>
      </w:r>
      <w:r>
        <w:rPr>
          <w:i/>
          <w:sz w:val="44"/>
        </w:rPr>
        <w:t>Dr/</w:t>
      </w:r>
      <w:r>
        <w:rPr>
          <w:i/>
          <w:spacing w:val="-4"/>
          <w:sz w:val="44"/>
        </w:rPr>
        <w:t> </w:t>
      </w:r>
      <w:r>
        <w:rPr>
          <w:i/>
          <w:sz w:val="44"/>
        </w:rPr>
        <w:t>Yasser Mahmoud</w:t>
      </w: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spacing w:before="8"/>
        <w:ind w:left="0" w:firstLine="0"/>
        <w:rPr>
          <w:i/>
          <w:sz w:val="29"/>
        </w:rPr>
      </w:pPr>
    </w:p>
    <w:p>
      <w:pPr>
        <w:spacing w:before="56"/>
        <w:ind w:left="0" w:right="1052" w:firstLine="0"/>
        <w:jc w:val="right"/>
        <w:rPr>
          <w:rFonts w:ascii="Calibri"/>
          <w:sz w:val="22"/>
        </w:rPr>
      </w:pPr>
      <w:r>
        <w:rPr>
          <w:rFonts w:ascii="Calibri"/>
          <w:w w:val="100"/>
          <w:sz w:val="22"/>
        </w:rPr>
        <w:t>1</w:t>
      </w:r>
    </w:p>
    <w:p>
      <w:pPr>
        <w:spacing w:after="0"/>
        <w:jc w:val="right"/>
        <w:rPr>
          <w:rFonts w:ascii="Calibri"/>
          <w:sz w:val="22"/>
        </w:rPr>
        <w:sectPr>
          <w:type w:val="continuous"/>
          <w:pgSz w:w="12240" w:h="15840"/>
          <w:pgMar w:top="1160" w:bottom="0" w:left="940" w:right="360"/>
        </w:sectPr>
      </w:pP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59" w:after="0"/>
        <w:ind w:left="478" w:right="0" w:hanging="361"/>
        <w:jc w:val="left"/>
        <w:rPr>
          <w:b/>
          <w:i/>
          <w:sz w:val="40"/>
        </w:rPr>
      </w:pPr>
      <w:r>
        <w:rPr>
          <w:b w:val="0"/>
          <w:color w:val="0066CC"/>
        </w:rPr>
        <w:t>Course outline (updated):</w:t>
      </w:r>
    </w:p>
    <w:p>
      <w:pPr>
        <w:pStyle w:val="BodyText"/>
        <w:ind w:left="0" w:firstLine="0"/>
        <w:rPr>
          <w:b/>
          <w:i/>
          <w:sz w:val="20"/>
        </w:rPr>
      </w:pPr>
    </w:p>
    <w:p>
      <w:pPr>
        <w:pStyle w:val="BodyText"/>
        <w:ind w:left="0" w:firstLine="0"/>
        <w:rPr>
          <w:b/>
          <w:i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253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sz w:val="28"/>
        </w:rPr>
        <w:t>Introduction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61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b w:val="0"/>
          <w:color w:val="0066CC"/>
        </w:rPr>
        <w:t>Anatomy and physiology of the anal canal.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60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b w:val="0"/>
          <w:color w:val="0066CC"/>
        </w:rPr>
        <w:t>Epidemiology and burden of benign anorectal disorders.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61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b w:val="0"/>
          <w:color w:val="0066CC"/>
        </w:rPr>
        <w:t>Common anorectal disorders addressed in this chapter: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160" w:after="0"/>
        <w:ind w:left="1472" w:right="0" w:hanging="361"/>
        <w:jc w:val="left"/>
        <w:rPr>
          <w:sz w:val="28"/>
        </w:rPr>
      </w:pPr>
      <w:r>
        <w:rPr>
          <w:sz w:val="28"/>
        </w:rPr>
        <w:t>Anorectal</w:t>
      </w:r>
      <w:r>
        <w:rPr>
          <w:spacing w:val="-7"/>
          <w:sz w:val="28"/>
        </w:rPr>
        <w:t> </w:t>
      </w:r>
      <w:r>
        <w:rPr>
          <w:sz w:val="28"/>
        </w:rPr>
        <w:t>Abscess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140" w:after="0"/>
        <w:ind w:left="1472" w:right="0" w:hanging="361"/>
        <w:jc w:val="left"/>
        <w:rPr>
          <w:sz w:val="28"/>
        </w:rPr>
      </w:pPr>
      <w:r>
        <w:rPr>
          <w:sz w:val="28"/>
        </w:rPr>
        <w:t>Anal</w:t>
      </w:r>
      <w:r>
        <w:rPr>
          <w:spacing w:val="-2"/>
          <w:sz w:val="28"/>
        </w:rPr>
        <w:t> </w:t>
      </w:r>
      <w:r>
        <w:rPr>
          <w:sz w:val="28"/>
        </w:rPr>
        <w:t>Fistula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137" w:after="0"/>
        <w:ind w:left="1472" w:right="0" w:hanging="361"/>
        <w:jc w:val="left"/>
        <w:rPr>
          <w:sz w:val="28"/>
        </w:rPr>
      </w:pPr>
      <w:r>
        <w:rPr>
          <w:sz w:val="28"/>
        </w:rPr>
        <w:t>Anal</w:t>
      </w:r>
      <w:r>
        <w:rPr>
          <w:spacing w:val="-2"/>
          <w:sz w:val="28"/>
        </w:rPr>
        <w:t> </w:t>
      </w:r>
      <w:r>
        <w:rPr>
          <w:sz w:val="28"/>
        </w:rPr>
        <w:t>Fissure</w:t>
      </w:r>
    </w:p>
    <w:p>
      <w:pPr>
        <w:pStyle w:val="ListParagraph"/>
        <w:numPr>
          <w:ilvl w:val="1"/>
          <w:numId w:val="2"/>
        </w:numPr>
        <w:tabs>
          <w:tab w:pos="1473" w:val="left" w:leader="none"/>
        </w:tabs>
        <w:spacing w:line="240" w:lineRule="auto" w:before="137" w:after="0"/>
        <w:ind w:left="1472" w:right="0" w:hanging="361"/>
        <w:jc w:val="left"/>
        <w:rPr>
          <w:sz w:val="28"/>
        </w:rPr>
      </w:pPr>
      <w:r>
        <w:rPr>
          <w:sz w:val="28"/>
        </w:rPr>
        <w:t>Hemorrhoids</w:t>
      </w:r>
      <w:r>
        <w:rPr>
          <w:spacing w:val="-5"/>
          <w:sz w:val="28"/>
        </w:rPr>
        <w:t> </w:t>
      </w:r>
      <w:r>
        <w:rPr>
          <w:sz w:val="28"/>
        </w:rPr>
        <w:t>(piles)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37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b w:val="0"/>
          <w:color w:val="0066CC"/>
        </w:rPr>
        <w:t>Pathophysiology of each condition.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63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b w:val="0"/>
          <w:color w:val="0066CC"/>
        </w:rPr>
        <w:t>Clinical manifestations of each condition.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60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sz w:val="28"/>
        </w:rPr>
        <w:t>Complications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each</w:t>
      </w:r>
      <w:r>
        <w:rPr>
          <w:spacing w:val="-3"/>
          <w:sz w:val="28"/>
        </w:rPr>
        <w:t> </w:t>
      </w:r>
      <w:r>
        <w:rPr>
          <w:sz w:val="28"/>
        </w:rPr>
        <w:t>condition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60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b w:val="0"/>
          <w:color w:val="0066CC"/>
        </w:rPr>
        <w:t>Conservative, office-based, and surgical management of each condition.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61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b w:val="0"/>
          <w:color w:val="0066CC"/>
        </w:rPr>
        <w:t>Nursing care priorities for each condition.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63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b w:val="0"/>
          <w:color w:val="0066CC"/>
        </w:rPr>
        <w:t>Health education and discharge teaching for each condition.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60" w:after="0"/>
        <w:ind w:left="478" w:right="0" w:hanging="361"/>
        <w:jc w:val="left"/>
        <w:rPr>
          <w:rFonts w:ascii="Wingdings" w:hAnsi="Wingdings"/>
          <w:sz w:val="28"/>
        </w:rPr>
      </w:pPr>
      <w:r>
        <w:rPr>
          <w:b w:val="0"/>
          <w:color w:val="0066CC"/>
        </w:rPr>
        <w:t>Common nursing diagnoses in anorectal disorders.</w:t>
      </w:r>
    </w:p>
    <w:p>
      <w:pPr>
        <w:spacing w:after="0" w:line="240" w:lineRule="auto"/>
        <w:jc w:val="left"/>
        <w:rPr>
          <w:rFonts w:ascii="Wingdings" w:hAnsi="Wingdings"/>
          <w:sz w:val="28"/>
        </w:rPr>
        <w:sectPr>
          <w:footerReference w:type="default" r:id="rId8"/>
          <w:pgSz w:w="12240" w:h="15840"/>
          <w:pgMar w:footer="854" w:header="0" w:top="1360" w:bottom="1040" w:left="940" w:right="360"/>
          <w:pgNumType w:start="2"/>
        </w:sectPr>
      </w:pPr>
    </w:p>
    <w:p>
      <w:pPr>
        <w:pStyle w:val="Heading1"/>
        <w:numPr>
          <w:ilvl w:val="0"/>
          <w:numId w:val="2"/>
        </w:numPr>
        <w:tabs>
          <w:tab w:pos="479" w:val="left" w:leader="none"/>
        </w:tabs>
        <w:spacing w:line="240" w:lineRule="auto" w:before="77" w:after="0"/>
        <w:ind w:left="478" w:right="0" w:hanging="361"/>
        <w:jc w:val="both"/>
        <w:rPr>
          <w:rFonts w:ascii="Wingdings" w:hAnsi="Wingdings"/>
          <w:b w:val="0"/>
          <w:i w:val="0"/>
          <w:u w:val="none"/>
        </w:rPr>
      </w:pPr>
      <w:r>
        <w:rPr>
          <w:b w:val="0"/>
          <w:color w:val="0066CC"/>
        </w:rPr>
        <w:t>Introduction</w:t>
      </w:r>
    </w:p>
    <w:p>
      <w:pPr>
        <w:pStyle w:val="BodyText"/>
        <w:spacing w:line="360" w:lineRule="auto" w:before="186"/>
        <w:ind w:left="478" w:right="1054" w:firstLine="719"/>
        <w:jc w:val="both"/>
      </w:pPr>
      <w:r>
        <w:rPr>
          <w:b w:val="0"/>
          <w:color w:val="0066CC"/>
        </w:rPr>
        <w:t>Benign anorectal disorders are common causes of pain, bleeding, discharge, perianal swelling, pruritus, and altered bowel habits. Patients frequently delay care because of embarrassment or fear of examination; therefore, nurses play a key role in assessment, education, symptom relief, and timely referral.</w:t>
      </w:r>
    </w:p>
    <w:p>
      <w:pPr>
        <w:pStyle w:val="BodyText"/>
        <w:spacing w:line="360" w:lineRule="auto"/>
        <w:ind w:left="478" w:right="1056" w:firstLine="719"/>
        <w:jc w:val="both"/>
      </w:pPr>
      <w:r>
        <w:rPr>
          <w:b w:val="0"/>
          <w:color w:val="0066CC"/>
        </w:rPr>
        <w:t>From an evidence-based perspective, symptom pattern and severity should guide triage. Rectal bleeding, severe pain, fever, sepsis signs, fecal incontinence, and unexplained weight loss require prompt clinical evaluation and targeted investigation.</w:t>
      </w:r>
    </w:p>
    <w:p>
      <w:pPr>
        <w:pStyle w:val="BodyText"/>
        <w:spacing w:before="11"/>
        <w:ind w:left="0" w:firstLine="0"/>
        <w:rPr>
          <w:sz w:val="41"/>
        </w:rPr>
      </w:pPr>
    </w:p>
    <w:p>
      <w:pPr>
        <w:pStyle w:val="Heading1"/>
        <w:numPr>
          <w:ilvl w:val="0"/>
          <w:numId w:val="2"/>
        </w:numPr>
        <w:tabs>
          <w:tab w:pos="479" w:val="left" w:leader="none"/>
        </w:tabs>
        <w:spacing w:line="240" w:lineRule="auto" w:before="0" w:after="0"/>
        <w:ind w:left="478" w:right="0" w:hanging="361"/>
        <w:jc w:val="both"/>
        <w:rPr>
          <w:rFonts w:ascii="Wingdings" w:hAnsi="Wingdings"/>
          <w:b w:val="0"/>
          <w:i w:val="0"/>
          <w:u w:val="none"/>
        </w:rPr>
      </w:pPr>
      <w:r>
        <w:rPr>
          <w:b w:val="0"/>
          <w:color w:val="0066CC"/>
        </w:rPr>
        <w:t>Anatomy and physiology of the anal canal</w:t>
      </w:r>
    </w:p>
    <w:p>
      <w:pPr>
        <w:pStyle w:val="ListParagraph"/>
        <w:numPr>
          <w:ilvl w:val="0"/>
          <w:numId w:val="3"/>
        </w:numPr>
        <w:tabs>
          <w:tab w:pos="1199" w:val="left" w:leader="none"/>
        </w:tabs>
        <w:spacing w:line="360" w:lineRule="auto" w:before="186" w:after="0"/>
        <w:ind w:left="1198" w:right="1057" w:hanging="360"/>
        <w:jc w:val="both"/>
        <w:rPr>
          <w:sz w:val="28"/>
        </w:rPr>
      </w:pPr>
      <w:hyperlink r:id="rId9">
        <w:r>
          <w:rPr>
            <w:sz w:val="28"/>
          </w:rPr>
          <w:t>gastrointestinal tract</w:t>
        </w:r>
      </w:hyperlink>
      <w:r>
        <w:rPr>
          <w:b w:val="0"/>
          <w:color w:val="0066CC"/>
        </w:rPr>
        <w:t>The anal canal is the terminal 3–4 cm of the gastrointestinal tract, extending from the anorectal junction to the anal verge.</w:t>
      </w:r>
    </w:p>
    <w:p>
      <w:pPr>
        <w:pStyle w:val="ListParagraph"/>
        <w:numPr>
          <w:ilvl w:val="0"/>
          <w:numId w:val="3"/>
        </w:numPr>
        <w:tabs>
          <w:tab w:pos="1199" w:val="left" w:leader="none"/>
        </w:tabs>
        <w:spacing w:line="362" w:lineRule="auto" w:before="0" w:after="0"/>
        <w:ind w:left="1198" w:right="1065" w:hanging="360"/>
        <w:jc w:val="both"/>
        <w:rPr>
          <w:sz w:val="28"/>
        </w:rPr>
      </w:pPr>
      <w:r>
        <w:rPr>
          <w:b w:val="0"/>
          <w:color w:val="0066CC"/>
        </w:rPr>
        <w:t>Continence depends on coordinated function of the internal anal sphincter (involuntary smooth muscle), external anal sphincter (voluntary striated muscle), puborectalis, rectal compliance, stool consistency, and intact sensory pathways.</w:t>
      </w:r>
    </w:p>
    <w:p>
      <w:pPr>
        <w:pStyle w:val="ListParagraph"/>
        <w:numPr>
          <w:ilvl w:val="0"/>
          <w:numId w:val="3"/>
        </w:numPr>
        <w:tabs>
          <w:tab w:pos="1199" w:val="left" w:leader="none"/>
        </w:tabs>
        <w:spacing w:line="360" w:lineRule="auto" w:before="0" w:after="0"/>
        <w:ind w:left="1198" w:right="1065" w:hanging="360"/>
        <w:jc w:val="both"/>
        <w:rPr>
          <w:sz w:val="28"/>
        </w:rPr>
      </w:pPr>
      <w:r>
        <w:rPr>
          <w:b w:val="0"/>
          <w:color w:val="0066CC"/>
        </w:rPr>
        <w:t>Arterial supply is mainly from superior, middle, and inferior rectal arteries; venous drainage occurs via corresponding rectal venous plexuses with porto-systemic connections.</w:t>
      </w:r>
    </w:p>
    <w:p>
      <w:pPr>
        <w:pStyle w:val="ListParagraph"/>
        <w:numPr>
          <w:ilvl w:val="0"/>
          <w:numId w:val="3"/>
        </w:numPr>
        <w:tabs>
          <w:tab w:pos="1199" w:val="left" w:leader="none"/>
        </w:tabs>
        <w:spacing w:line="321" w:lineRule="exact" w:before="0" w:after="0"/>
        <w:ind w:left="1198" w:right="0" w:hanging="361"/>
        <w:jc w:val="both"/>
        <w:rPr>
          <w:sz w:val="28"/>
        </w:rPr>
      </w:pPr>
      <w:r>
        <w:rPr>
          <w:b w:val="0"/>
          <w:color w:val="0066CC"/>
        </w:rPr>
        <w:t>Innervation is autonomic above the dentate line and somatic below the dentate line (inferior rectal branch of the pudendal nerve), which explains pain differences between internal and external lesions.</w:t>
      </w:r>
    </w:p>
    <w:p>
      <w:pPr>
        <w:pStyle w:val="ListParagraph"/>
        <w:numPr>
          <w:ilvl w:val="0"/>
          <w:numId w:val="3"/>
        </w:numPr>
        <w:tabs>
          <w:tab w:pos="1199" w:val="left" w:leader="none"/>
        </w:tabs>
        <w:spacing w:line="240" w:lineRule="auto" w:before="156" w:after="0"/>
        <w:ind w:left="1198" w:right="0" w:hanging="361"/>
        <w:jc w:val="both"/>
        <w:rPr>
          <w:b/>
          <w:i/>
          <w:sz w:val="28"/>
        </w:rPr>
      </w:pPr>
      <w:r>
        <w:rPr>
          <w:b/>
          <w:i/>
          <w:sz w:val="28"/>
        </w:rPr>
        <w:t>Anal</w:t>
      </w:r>
      <w:r>
        <w:rPr>
          <w:b/>
          <w:i/>
          <w:spacing w:val="-3"/>
          <w:sz w:val="28"/>
        </w:rPr>
        <w:t> </w:t>
      </w:r>
      <w:r>
        <w:rPr>
          <w:b/>
          <w:i/>
          <w:sz w:val="28"/>
        </w:rPr>
        <w:t>sphincters:</w:t>
      </w:r>
    </w:p>
    <w:p>
      <w:pPr>
        <w:pStyle w:val="ListParagraph"/>
        <w:numPr>
          <w:ilvl w:val="0"/>
          <w:numId w:val="4"/>
        </w:numPr>
        <w:tabs>
          <w:tab w:pos="1199" w:val="left" w:leader="none"/>
        </w:tabs>
        <w:spacing w:line="360" w:lineRule="auto" w:before="160" w:after="0"/>
        <w:ind w:left="1198" w:right="1062" w:hanging="360"/>
        <w:jc w:val="both"/>
        <w:rPr>
          <w:sz w:val="28"/>
        </w:rPr>
      </w:pPr>
      <w:r>
        <w:rPr>
          <w:b w:val="0"/>
          <w:color w:val="0066CC"/>
        </w:rPr>
        <w:t>Internal sphincter: continuation of the circular smooth muscle of the rectum; contributes most resting anal pressure.</w:t>
      </w:r>
    </w:p>
    <w:p>
      <w:pPr>
        <w:spacing w:after="0" w:line="360" w:lineRule="auto"/>
        <w:jc w:val="both"/>
        <w:rPr>
          <w:sz w:val="28"/>
        </w:rPr>
        <w:sectPr>
          <w:pgSz w:w="12240" w:h="15840"/>
          <w:pgMar w:header="0" w:footer="854" w:top="1340" w:bottom="1040" w:left="940" w:right="360"/>
        </w:sectPr>
      </w:pPr>
    </w:p>
    <w:p>
      <w:pPr>
        <w:pStyle w:val="BodyText"/>
        <w:spacing w:line="360" w:lineRule="auto" w:before="59"/>
        <w:ind w:right="1055" w:firstLine="0"/>
      </w:pPr>
      <w:r>
        <w:rPr>
          <w:b w:val="0"/>
          <w:color w:val="0066CC"/>
        </w:rPr>
        <w:t>Sphincter hypertonia and ischemia are key mechanisms in chronic anal fissure pathophysiology.</w:t>
      </w:r>
    </w:p>
    <w:p>
      <w:pPr>
        <w:pStyle w:val="ListParagraph"/>
        <w:numPr>
          <w:ilvl w:val="0"/>
          <w:numId w:val="4"/>
        </w:numPr>
        <w:tabs>
          <w:tab w:pos="1199" w:val="left" w:leader="none"/>
        </w:tabs>
        <w:spacing w:line="362" w:lineRule="auto" w:before="0" w:after="7"/>
        <w:ind w:left="1198" w:right="1064" w:hanging="360"/>
        <w:jc w:val="left"/>
        <w:rPr>
          <w:sz w:val="28"/>
        </w:rPr>
      </w:pPr>
      <w:r>
        <w:rPr>
          <w:b w:val="0"/>
          <w:color w:val="0066CC"/>
        </w:rPr>
        <w:t>External sphincter: voluntary striated muscle complex that supports squeeze pressure and continence.</w:t>
      </w:r>
    </w:p>
    <w:p>
      <w:pPr>
        <w:pStyle w:val="BodyText"/>
        <w:ind w:left="934" w:firstLine="0"/>
        <w:rPr>
          <w:sz w:val="20"/>
        </w:rPr>
      </w:pPr>
      <w:r>
        <w:rPr>
          <w:sz w:val="20"/>
        </w:rPr>
        <w:pict>
          <v:group style="width:425.2pt;height:185.45pt;mso-position-horizontal-relative:char;mso-position-vertical-relative:line" id="docshapegroup6" coordorigin="0,0" coordsize="8504,3709">
            <v:shape style="position:absolute;left:208;top:14;width:8280;height:3679" type="#_x0000_t75" id="docshape7" alt="If You Have Anal Cancer" stroked="false">
              <v:imagedata r:id="rId10" o:title=""/>
            </v:shape>
            <v:rect style="position:absolute;left:7;top:7;width:8489;height:3694" id="docshape8" filled="false" stroked="true" strokeweight=".75pt" strokecolor="#000000">
              <v:stroke dashstyle="solid"/>
            </v:rect>
          </v:group>
        </w:pict>
      </w:r>
      <w:r>
        <w:rPr>
          <w:sz w:val="20"/>
        </w:rPr>
      </w:r>
    </w:p>
    <w:p>
      <w:pPr>
        <w:pStyle w:val="BodyText"/>
        <w:ind w:left="0" w:firstLine="0"/>
        <w:rPr>
          <w:sz w:val="30"/>
        </w:rPr>
      </w:pPr>
    </w:p>
    <w:p>
      <w:pPr>
        <w:pStyle w:val="BodyText"/>
        <w:spacing w:before="7"/>
        <w:ind w:left="0" w:firstLine="0"/>
        <w:rPr>
          <w:sz w:val="25"/>
        </w:rPr>
      </w:pPr>
    </w:p>
    <w:p>
      <w:pPr>
        <w:pStyle w:val="Heading1"/>
        <w:numPr>
          <w:ilvl w:val="0"/>
          <w:numId w:val="2"/>
        </w:numPr>
        <w:tabs>
          <w:tab w:pos="479" w:val="left" w:leader="none"/>
        </w:tabs>
        <w:spacing w:line="240" w:lineRule="auto" w:before="1" w:after="0"/>
        <w:ind w:left="478" w:right="0" w:hanging="361"/>
        <w:jc w:val="left"/>
        <w:rPr>
          <w:rFonts w:ascii="Wingdings" w:hAnsi="Wingdings"/>
          <w:b w:val="0"/>
          <w:i w:val="0"/>
          <w:u w:val="none"/>
        </w:rPr>
      </w:pPr>
      <w:r>
        <w:rPr>
          <w:b w:val="0"/>
          <w:color w:val="0066CC"/>
        </w:rPr>
        <w:t>Common anorectal disorders</w:t>
      </w:r>
    </w:p>
    <w:p>
      <w:r>
        <w:rPr>
          <w:b w:val="0"/>
          <w:color w:val="009900"/>
        </w:rPr>
        <w:t>Additional benign anorectal disorders relevant for differential assessment include pruritus ani, pilonidal disease, fecal incontinence, and rectal prolapse.</w:t>
      </w:r>
    </w:p>
    <w:p>
      <w:pPr>
        <w:pStyle w:val="ListParagraph"/>
        <w:numPr>
          <w:ilvl w:val="0"/>
          <w:numId w:val="5"/>
        </w:numPr>
        <w:tabs>
          <w:tab w:pos="1199" w:val="left" w:leader="none"/>
        </w:tabs>
        <w:spacing w:line="240" w:lineRule="auto" w:before="185" w:after="0"/>
        <w:ind w:left="1198" w:right="0" w:hanging="361"/>
        <w:jc w:val="left"/>
        <w:rPr>
          <w:b/>
          <w:sz w:val="28"/>
        </w:rPr>
      </w:pPr>
      <w:r>
        <w:rPr>
          <w:b/>
          <w:sz w:val="28"/>
        </w:rPr>
        <w:t>Anorectal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Abscess</w:t>
      </w:r>
    </w:p>
    <w:p>
      <w:pPr>
        <w:pStyle w:val="ListParagraph"/>
        <w:numPr>
          <w:ilvl w:val="0"/>
          <w:numId w:val="5"/>
        </w:numPr>
        <w:tabs>
          <w:tab w:pos="1199" w:val="left" w:leader="none"/>
        </w:tabs>
        <w:spacing w:line="240" w:lineRule="auto" w:before="161" w:after="0"/>
        <w:ind w:left="1198" w:right="0" w:hanging="361"/>
        <w:jc w:val="left"/>
        <w:rPr>
          <w:b/>
          <w:sz w:val="28"/>
        </w:rPr>
      </w:pPr>
      <w:r>
        <w:rPr>
          <w:b/>
          <w:sz w:val="28"/>
        </w:rPr>
        <w:t>Anal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Fistula</w:t>
      </w:r>
    </w:p>
    <w:p>
      <w:pPr>
        <w:pStyle w:val="ListParagraph"/>
        <w:numPr>
          <w:ilvl w:val="0"/>
          <w:numId w:val="5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b/>
          <w:sz w:val="28"/>
        </w:rPr>
      </w:pPr>
      <w:r>
        <w:rPr>
          <w:b/>
          <w:sz w:val="28"/>
        </w:rPr>
        <w:t>Anal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Fissure</w:t>
      </w:r>
    </w:p>
    <w:p>
      <w:pPr>
        <w:pStyle w:val="ListParagraph"/>
        <w:numPr>
          <w:ilvl w:val="0"/>
          <w:numId w:val="5"/>
        </w:numPr>
        <w:tabs>
          <w:tab w:pos="1199" w:val="left" w:leader="none"/>
        </w:tabs>
        <w:spacing w:line="240" w:lineRule="auto" w:before="161" w:after="0"/>
        <w:ind w:left="1198" w:right="0" w:hanging="361"/>
        <w:jc w:val="left"/>
        <w:rPr>
          <w:b/>
          <w:sz w:val="28"/>
        </w:rPr>
      </w:pPr>
      <w:r>
        <w:rPr>
          <w:b/>
          <w:sz w:val="28"/>
        </w:rPr>
        <w:t>Hemorrhoids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(piles)</w:t>
      </w:r>
    </w:p>
    <w:p>
      <w:pPr>
        <w:pStyle w:val="BodyText"/>
        <w:ind w:left="0" w:firstLine="0"/>
        <w:rPr>
          <w:b/>
          <w:sz w:val="30"/>
        </w:rPr>
      </w:pPr>
    </w:p>
    <w:p>
      <w:pPr>
        <w:pStyle w:val="BodyText"/>
        <w:spacing w:before="11"/>
        <w:ind w:left="0" w:firstLine="0"/>
        <w:rPr>
          <w:b/>
          <w:sz w:val="25"/>
        </w:rPr>
      </w:pPr>
    </w:p>
    <w:p>
      <w:pPr>
        <w:pStyle w:val="Heading1"/>
        <w:numPr>
          <w:ilvl w:val="0"/>
          <w:numId w:val="6"/>
        </w:numPr>
        <w:tabs>
          <w:tab w:pos="1199" w:val="left" w:leader="none"/>
        </w:tabs>
        <w:spacing w:line="240" w:lineRule="auto" w:before="0" w:after="0"/>
        <w:ind w:left="1198" w:right="0" w:hanging="361"/>
        <w:jc w:val="left"/>
        <w:rPr>
          <w:i/>
          <w:u w:val="none"/>
        </w:rPr>
      </w:pPr>
      <w:r>
        <w:rPr>
          <w:b w:val="0"/>
          <w:color w:val="0066CC"/>
        </w:rPr>
        <w:t>Anorectal abscess</w:t>
      </w:r>
    </w:p>
    <w:p>
      <w:pPr>
        <w:pStyle w:val="BodyText"/>
        <w:spacing w:line="360" w:lineRule="auto" w:before="185"/>
        <w:ind w:left="478" w:right="1055" w:firstLine="0"/>
      </w:pPr>
      <w:r>
        <w:rPr>
          <w:b w:val="0"/>
          <w:color w:val="0066CC"/>
        </w:rPr>
        <w:t>An anorectal abscess is an acute suppurative infection in the perianal/perirectal region, most often arising from infected anal glands (cryptoglandular origin).</w:t>
      </w:r>
    </w:p>
    <w:p>
      <w:pPr>
        <w:spacing w:after="0" w:line="360" w:lineRule="auto"/>
        <w:sectPr>
          <w:pgSz w:w="12240" w:h="15840"/>
          <w:pgMar w:header="0" w:footer="854" w:top="1360" w:bottom="1040" w:left="940" w:right="360"/>
        </w:sectPr>
      </w:pPr>
    </w:p>
    <w:p>
      <w:pPr>
        <w:pStyle w:val="BodyText"/>
        <w:ind w:left="2149" w:firstLine="0"/>
        <w:rPr>
          <w:sz w:val="20"/>
        </w:rPr>
      </w:pPr>
      <w:r>
        <w:rPr>
          <w:sz w:val="20"/>
        </w:rPr>
        <w:pict>
          <v:group style="width:302.850pt;height:197.65pt;mso-position-horizontal-relative:char;mso-position-vertical-relative:line" id="docshapegroup9" coordorigin="0,0" coordsize="6057,3953" alt="Anal Fistula Treatment in Dubai | Hemorrhoids Surgery in Dubai Symptoms,  Causes, Diagnosis">
            <v:shape style="position:absolute;left:15;top:15;width:6027;height:3864" type="#_x0000_t75" id="docshape10" alt="Anal Fistula Treatment in Dubai | Hemorrhoids Surgery in Dubai Symptoms,  Causes, Diagnosis" stroked="false">
              <v:imagedata r:id="rId11" o:title=""/>
            </v:shape>
            <v:rect style="position:absolute;left:7;top:7;width:6042;height:3938" id="docshape11" filled="false" stroked="true" strokeweight=".75pt" strokecolor="#000000">
              <v:stroke dashstyle="solid"/>
            </v:rect>
          </v:group>
        </w:pict>
      </w:r>
      <w:r>
        <w:rPr>
          <w:sz w:val="20"/>
        </w:rPr>
      </w:r>
    </w:p>
    <w:p>
      <w:pPr>
        <w:pStyle w:val="Heading3"/>
        <w:spacing w:before="149"/>
        <w:jc w:val="both"/>
        <w:rPr>
          <w:i/>
          <w:u w:val="none"/>
        </w:rPr>
      </w:pPr>
      <w:r>
        <w:rPr>
          <w:b w:val="0"/>
          <w:color w:val="0066CC"/>
        </w:rPr>
        <w:t>Pathophysiology of anorectal abscess</w:t>
      </w:r>
    </w:p>
    <w:p>
      <w:pPr>
        <w:pStyle w:val="BodyText"/>
        <w:spacing w:line="360" w:lineRule="auto" w:before="163"/>
        <w:ind w:left="478" w:right="1068" w:firstLine="719"/>
        <w:jc w:val="both"/>
      </w:pPr>
      <w:r>
        <w:rPr>
          <w:b w:val="0"/>
          <w:color w:val="0066CC"/>
        </w:rPr>
        <w:t>Obstruction and infection of anal glands allow pus to track through intersphincteric and adjacent spaces, producing perianal, ischiorectal, intersphincteric, or supralevator abscess patterns.</w:t>
      </w:r>
    </w:p>
    <w:p>
      <w:pPr>
        <w:pStyle w:val="BodyText"/>
        <w:spacing w:line="320" w:lineRule="exact"/>
        <w:ind w:firstLine="0"/>
        <w:jc w:val="both"/>
      </w:pPr>
      <w:r>
        <w:rPr>
          <w:b w:val="0"/>
          <w:color w:val="0066CC"/>
        </w:rPr>
        <w:t>Delayed drainage increases risk of tissue spread, systemic infection, and later fistula formation.</w:t>
      </w:r>
    </w:p>
    <w:p>
      <w:pPr>
        <w:pStyle w:val="BodyText"/>
        <w:spacing w:before="163"/>
        <w:ind w:left="478" w:firstLine="0"/>
        <w:jc w:val="both"/>
      </w:pPr>
      <w:r>
        <w:rPr>
          <w:b w:val="0"/>
          <w:color w:val="0066CC"/>
        </w:rPr>
        <w:t>Mixed aerobic and anaerobic flora are common; antimicrobial selection, when indicated, should follow local guidance and patient risk profile.</w:t>
      </w:r>
    </w:p>
    <w:p>
      <w:pPr>
        <w:pStyle w:val="BodyText"/>
        <w:spacing w:line="360" w:lineRule="auto" w:before="160"/>
        <w:ind w:left="478" w:right="1063" w:firstLine="0"/>
        <w:jc w:val="both"/>
      </w:pPr>
      <w:r>
        <w:rPr>
          <w:b w:val="0"/>
          <w:color w:val="0066CC"/>
        </w:rPr>
        <w:t>A substantial proportion of patients may later develop fistula-in-ano; follow-up is therefore important after acute treatment.</w:t>
      </w:r>
    </w:p>
    <w:p>
      <w:pPr>
        <w:pStyle w:val="BodyText"/>
        <w:ind w:left="751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04082" cy="2371725"/>
            <wp:effectExtent l="0" t="0" r="0" b="0"/>
            <wp:docPr id="3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082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854" w:top="1440" w:bottom="1040" w:left="940" w:right="360"/>
        </w:sectPr>
      </w:pPr>
    </w:p>
    <w:p>
      <w:pPr>
        <w:pStyle w:val="Heading3"/>
        <w:rPr>
          <w:i/>
          <w:u w:val="none"/>
        </w:rPr>
      </w:pPr>
      <w:r>
        <w:rPr>
          <w:b w:val="0"/>
          <w:color w:val="0066CC"/>
        </w:rPr>
        <w:t>Risk factors</w:t>
      </w:r>
    </w:p>
    <w:p>
      <w:pPr>
        <w:pStyle w:val="BodyText"/>
        <w:spacing w:line="360" w:lineRule="auto" w:before="160"/>
        <w:ind w:left="478" w:right="1055" w:firstLine="0"/>
      </w:pPr>
      <w:r>
        <w:rPr>
          <w:b w:val="0"/>
          <w:color w:val="0066CC"/>
        </w:rPr>
        <w:t>Crohn disease, diabetes, immunosuppression, smoking, prior anorectal infection/surgery, and local trauma increase risk and complexity.</w:t>
      </w:r>
    </w:p>
    <w:p>
      <w:pPr>
        <w:pStyle w:val="Heading3"/>
        <w:spacing w:before="1"/>
        <w:rPr>
          <w:i/>
          <w:u w:val="none"/>
        </w:rPr>
      </w:pPr>
      <w:r>
        <w:rPr>
          <w:b w:val="0"/>
          <w:color w:val="0066CC"/>
        </w:rPr>
        <w:t>Clinical features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Constant throbbing anorectal pain, often worsened by sitting, defecation, or movement.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37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Localized tender swelling, erythema, warmth, and fluctuance (if superficial).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37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Purulent drainage may occur spontaneously if the abscess drains externally.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336" w:lineRule="auto" w:before="137" w:after="0"/>
        <w:ind w:left="1198" w:right="1061" w:hanging="360"/>
        <w:jc w:val="left"/>
        <w:rPr>
          <w:sz w:val="28"/>
        </w:rPr>
      </w:pPr>
      <w:hyperlink r:id="rId13">
        <w:r>
          <w:rPr>
            <w:sz w:val="28"/>
          </w:rPr>
          <w:t>sepsis</w:t>
        </w:r>
      </w:hyperlink>
      <w:r>
        <w:rPr>
          <w:b w:val="0"/>
          <w:color w:val="0066CC"/>
        </w:rPr>
        <w:t>Fever, malaise, tachycardia, or sepsis features suggest deeper infection and require urgent care.</w:t>
      </w:r>
    </w:p>
    <w:p>
      <w:pPr>
        <w:pStyle w:val="Heading3"/>
        <w:spacing w:before="42"/>
        <w:ind w:left="838"/>
        <w:rPr>
          <w:i/>
          <w:u w:val="none"/>
        </w:rPr>
      </w:pPr>
      <w:r>
        <w:rPr>
          <w:b w:val="0"/>
          <w:color w:val="0066CC"/>
        </w:rPr>
        <w:t>Complications</w:t>
      </w:r>
    </w:p>
    <w:p>
      <w:pPr>
        <w:pStyle w:val="ListParagraph"/>
        <w:numPr>
          <w:ilvl w:val="1"/>
          <w:numId w:val="6"/>
        </w:numPr>
        <w:tabs>
          <w:tab w:pos="1559" w:val="left" w:leader="none"/>
        </w:tabs>
        <w:spacing w:line="240" w:lineRule="auto" w:before="161" w:after="0"/>
        <w:ind w:left="1558" w:right="0" w:hanging="361"/>
        <w:jc w:val="left"/>
        <w:rPr>
          <w:color w:val="1F2023"/>
          <w:sz w:val="28"/>
        </w:rPr>
      </w:pPr>
      <w:r>
        <w:rPr>
          <w:b w:val="0"/>
          <w:color w:val="0066CC"/>
        </w:rPr>
        <w:t>Fistula-in-ano</w:t>
      </w:r>
    </w:p>
    <w:p>
      <w:pPr>
        <w:pStyle w:val="ListParagraph"/>
        <w:numPr>
          <w:ilvl w:val="1"/>
          <w:numId w:val="6"/>
        </w:numPr>
        <w:tabs>
          <w:tab w:pos="1559" w:val="left" w:leader="none"/>
        </w:tabs>
        <w:spacing w:line="240" w:lineRule="auto" w:before="47" w:after="0"/>
        <w:ind w:left="1558" w:right="0" w:hanging="361"/>
        <w:jc w:val="left"/>
        <w:rPr>
          <w:color w:val="1F2023"/>
          <w:sz w:val="28"/>
        </w:rPr>
      </w:pPr>
      <w:r>
        <w:rPr>
          <w:b w:val="0"/>
          <w:color w:val="0066CC"/>
        </w:rPr>
        <w:t>Recurrent perianal sepsis</w:t>
      </w:r>
    </w:p>
    <w:p>
      <w:pPr>
        <w:pStyle w:val="ListParagraph"/>
        <w:numPr>
          <w:ilvl w:val="1"/>
          <w:numId w:val="6"/>
        </w:numPr>
        <w:tabs>
          <w:tab w:pos="1559" w:val="left" w:leader="none"/>
        </w:tabs>
        <w:spacing w:line="240" w:lineRule="auto" w:before="50" w:after="0"/>
        <w:ind w:left="1558" w:right="0" w:hanging="361"/>
        <w:jc w:val="left"/>
        <w:rPr>
          <w:color w:val="1F2023"/>
          <w:sz w:val="28"/>
        </w:rPr>
      </w:pPr>
      <w:r>
        <w:rPr>
          <w:b w:val="0"/>
          <w:color w:val="0066CC"/>
        </w:rPr>
        <w:t>Cellulitis or necrotizing soft tissue infection (rare but life-threatening)</w:t>
      </w:r>
    </w:p>
    <w:p>
      <w:pPr>
        <w:pStyle w:val="ListParagraph"/>
        <w:numPr>
          <w:ilvl w:val="1"/>
          <w:numId w:val="6"/>
        </w:numPr>
        <w:tabs>
          <w:tab w:pos="1559" w:val="left" w:leader="none"/>
        </w:tabs>
        <w:spacing w:line="240" w:lineRule="auto" w:before="48" w:after="0"/>
        <w:ind w:left="1558" w:right="0" w:hanging="361"/>
        <w:jc w:val="left"/>
        <w:rPr>
          <w:sz w:val="28"/>
        </w:rPr>
      </w:pPr>
      <w:r>
        <w:rPr>
          <w:b w:val="0"/>
          <w:color w:val="0066CC"/>
        </w:rPr>
        <w:t>Systemic sepsis in high-risk patients</w:t>
      </w:r>
    </w:p>
    <w:p>
      <w:pPr>
        <w:pStyle w:val="Heading3"/>
        <w:spacing w:before="48"/>
        <w:rPr>
          <w:i/>
          <w:u w:val="none"/>
        </w:rPr>
      </w:pPr>
      <w:r>
        <w:rPr>
          <w:b w:val="0"/>
          <w:color w:val="0066CC"/>
        </w:rPr>
        <w:t>Management</w:t>
      </w:r>
    </w:p>
    <w:p>
      <w:pPr>
        <w:pStyle w:val="ListParagraph"/>
        <w:numPr>
          <w:ilvl w:val="0"/>
          <w:numId w:val="8"/>
        </w:numPr>
        <w:tabs>
          <w:tab w:pos="1199" w:val="left" w:leader="none"/>
        </w:tabs>
        <w:spacing w:line="240" w:lineRule="auto" w:before="162" w:after="0"/>
        <w:ind w:left="1198" w:right="0" w:hanging="361"/>
        <w:jc w:val="both"/>
        <w:rPr>
          <w:b/>
          <w:sz w:val="28"/>
        </w:rPr>
      </w:pPr>
      <w:r>
        <w:rPr>
          <w:b w:val="0"/>
          <w:color w:val="0066CC"/>
        </w:rPr>
        <w:t>Assessment includes focused history, perianal inspection, and selective digital rectal examination when tolerated; deep/complex disease may require imaging (often MRI).</w:t>
      </w:r>
    </w:p>
    <w:p>
      <w:pPr>
        <w:pStyle w:val="ListParagraph"/>
        <w:numPr>
          <w:ilvl w:val="0"/>
          <w:numId w:val="8"/>
        </w:numPr>
        <w:tabs>
          <w:tab w:pos="1199" w:val="left" w:leader="none"/>
        </w:tabs>
        <w:spacing w:line="360" w:lineRule="auto" w:before="161" w:after="0"/>
        <w:ind w:left="1198" w:right="1054" w:hanging="360"/>
        <w:jc w:val="both"/>
        <w:rPr>
          <w:b/>
          <w:sz w:val="28"/>
        </w:rPr>
      </w:pPr>
      <w:r>
        <w:rPr>
          <w:b w:val="0"/>
          <w:color w:val="0066CC"/>
        </w:rPr>
        <w:t>Antibiotics are not routine after uncomplicated drainage; they are considered when there is cellulitis, systemic infection, immunosuppression, valvular heart disease risk, or significant comorbidity.</w:t>
      </w:r>
    </w:p>
    <w:p>
      <w:pPr>
        <w:pStyle w:val="ListParagraph"/>
        <w:numPr>
          <w:ilvl w:val="0"/>
          <w:numId w:val="8"/>
        </w:numPr>
        <w:tabs>
          <w:tab w:pos="1199" w:val="left" w:leader="none"/>
        </w:tabs>
        <w:spacing w:line="360" w:lineRule="auto" w:before="0" w:after="0"/>
        <w:ind w:left="1198" w:right="1052" w:hanging="360"/>
        <w:jc w:val="both"/>
        <w:rPr>
          <w:sz w:val="28"/>
        </w:rPr>
      </w:pPr>
      <w:hyperlink r:id="rId14">
        <w:r>
          <w:rPr>
            <w:b/>
            <w:sz w:val="28"/>
          </w:rPr>
          <w:t>incision</w:t>
        </w:r>
        <w:r>
          <w:rPr>
            <w:b/>
            <w:spacing w:val="1"/>
            <w:sz w:val="28"/>
          </w:rPr>
          <w:t> </w:t>
        </w:r>
        <w:r>
          <w:rPr>
            <w:b/>
            <w:sz w:val="28"/>
          </w:rPr>
          <w:t>and</w:t>
        </w:r>
      </w:hyperlink>
      <w:hyperlink r:id="rId14">
        <w:r>
          <w:rPr>
            <w:b/>
            <w:sz w:val="28"/>
          </w:rPr>
          <w:t>abscess</w:t>
        </w:r>
        <w:r>
          <w:rPr>
            <w:b/>
            <w:spacing w:val="1"/>
            <w:sz w:val="28"/>
          </w:rPr>
          <w:t> </w:t>
        </w:r>
        <w:r>
          <w:rPr>
            <w:b/>
            <w:sz w:val="28"/>
          </w:rPr>
          <w:t>drainage</w:t>
        </w:r>
      </w:hyperlink>
      <w:r>
        <w:rPr>
          <w:b w:val="0"/>
          <w:color w:val="0066CC"/>
        </w:rPr>
        <w:t>Definitive treatment is prompt incision and drainage; timing should not be unnecessarily delayed.</w:t>
      </w:r>
    </w:p>
    <w:p>
      <w:pPr>
        <w:pStyle w:val="ListParagraph"/>
        <w:numPr>
          <w:ilvl w:val="0"/>
          <w:numId w:val="8"/>
        </w:numPr>
        <w:tabs>
          <w:tab w:pos="1199" w:val="left" w:leader="none"/>
        </w:tabs>
        <w:spacing w:line="360" w:lineRule="auto" w:before="0" w:after="0"/>
        <w:ind w:left="1198" w:right="1063" w:hanging="360"/>
        <w:jc w:val="both"/>
        <w:rPr>
          <w:sz w:val="28"/>
        </w:rPr>
      </w:pPr>
      <w:r>
        <w:rPr>
          <w:b w:val="0"/>
          <w:color w:val="0066CC"/>
        </w:rPr>
        <w:t>Evaluate for associated fistula during follow-up, especially if symptoms persist or recur.</w:t>
      </w:r>
    </w:p>
    <w:p>
      <w:pPr>
        <w:pStyle w:val="Heading3"/>
        <w:spacing w:line="321" w:lineRule="exact" w:before="0"/>
        <w:jc w:val="both"/>
        <w:rPr>
          <w:i/>
          <w:u w:val="none"/>
        </w:rPr>
      </w:pPr>
      <w:r>
        <w:rPr>
          <w:b w:val="0"/>
          <w:color w:val="0066CC"/>
        </w:rPr>
        <w:t>Nursing care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63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Provide clear hygiene teaching: gentle cleansing, careful drying, frequent pad changes, and skin protection from moisture-associated injury.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37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Recommend breathable, non-restrictive cotton undergarments and avoidance of prolonged moisture exposure.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37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Warm sitz baths may improve comfort; reinforce that they are adjuncts, not definitive treatment for undrained abscess.</w:t>
      </w:r>
    </w:p>
    <w:p>
      <w:pPr>
        <w:spacing w:after="0" w:line="240" w:lineRule="auto"/>
        <w:jc w:val="left"/>
        <w:rPr>
          <w:sz w:val="28"/>
        </w:rPr>
        <w:sectPr>
          <w:pgSz w:w="12240" w:h="15840"/>
          <w:pgMar w:header="0" w:footer="854" w:top="1360" w:bottom="1040" w:left="940" w:right="360"/>
        </w:sectPr>
      </w:pPr>
    </w:p>
    <w:p>
      <w:pPr>
        <w:pStyle w:val="Heading1"/>
        <w:spacing w:before="57"/>
        <w:ind w:firstLine="0"/>
        <w:rPr>
          <w:i/>
          <w:u w:val="none"/>
        </w:rPr>
      </w:pPr>
      <w:r>
        <w:rPr>
          <w:b w:val="0"/>
          <w:color w:val="0066CC"/>
        </w:rPr>
        <w:t>Anal fistula</w:t>
      </w:r>
    </w:p>
    <w:p>
      <w:pPr>
        <w:pStyle w:val="BodyText"/>
        <w:spacing w:line="360" w:lineRule="auto" w:before="186"/>
        <w:ind w:left="478" w:right="1055" w:firstLine="0"/>
      </w:pPr>
      <w:r>
        <w:rPr>
          <w:b w:val="0"/>
          <w:color w:val="0066CC"/>
        </w:rPr>
        <w:t>An anal fistula is an abnormal epithelialized tract connecting the anal canal/rectum to perianal skin (or, less commonly, adjacent organs).</w:t>
      </w:r>
    </w:p>
    <w:p>
      <w:pPr>
        <w:pStyle w:val="Heading3"/>
        <w:spacing w:before="189"/>
        <w:rPr>
          <w:i/>
          <w:u w:val="none"/>
        </w:rPr>
      </w:pPr>
      <w:r>
        <w:rPr>
          <w:b w:val="0"/>
          <w:color w:val="0066CC"/>
        </w:rPr>
        <w:t>Risk factors</w:t>
      </w:r>
    </w:p>
    <w:p>
      <w:pPr>
        <w:pStyle w:val="ListParagraph"/>
        <w:numPr>
          <w:ilvl w:val="0"/>
          <w:numId w:val="9"/>
        </w:numPr>
        <w:tabs>
          <w:tab w:pos="1198" w:val="left" w:leader="none"/>
          <w:tab w:pos="1199" w:val="left" w:leader="none"/>
        </w:tabs>
        <w:spacing w:line="240" w:lineRule="auto" w:before="162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Prior anorectal abscess (most common antecedent)</w:t>
      </w:r>
    </w:p>
    <w:p>
      <w:pPr>
        <w:pStyle w:val="ListParagraph"/>
        <w:numPr>
          <w:ilvl w:val="0"/>
          <w:numId w:val="9"/>
        </w:numPr>
        <w:tabs>
          <w:tab w:pos="1198" w:val="left" w:leader="none"/>
          <w:tab w:pos="1199" w:val="left" w:leader="none"/>
        </w:tabs>
        <w:spacing w:line="240" w:lineRule="auto" w:before="153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Crohn disease and chronic inflammatory conditions</w:t>
      </w:r>
    </w:p>
    <w:p>
      <w:pPr>
        <w:pStyle w:val="ListParagraph"/>
        <w:numPr>
          <w:ilvl w:val="0"/>
          <w:numId w:val="9"/>
        </w:numPr>
        <w:tabs>
          <w:tab w:pos="1198" w:val="left" w:leader="none"/>
          <w:tab w:pos="1199" w:val="left" w:leader="none"/>
        </w:tabs>
        <w:spacing w:line="240" w:lineRule="auto" w:before="153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Anorectal trauma or prior anorectal surgery</w:t>
      </w:r>
    </w:p>
    <w:p>
      <w:pPr>
        <w:pStyle w:val="ListParagraph"/>
        <w:numPr>
          <w:ilvl w:val="0"/>
          <w:numId w:val="9"/>
        </w:numPr>
        <w:tabs>
          <w:tab w:pos="1198" w:val="left" w:leader="none"/>
          <w:tab w:pos="1199" w:val="left" w:leader="none"/>
        </w:tabs>
        <w:spacing w:line="240" w:lineRule="auto" w:before="150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Radiation, malignancy, tuberculosis, or obstetric injury in selected cases</w:t>
      </w:r>
    </w:p>
    <w:p>
      <w:pPr>
        <w:pStyle w:val="Heading3"/>
        <w:spacing w:before="152"/>
        <w:rPr>
          <w:i w:val="0"/>
          <w:u w:val="none"/>
        </w:rPr>
      </w:pPr>
      <w:r>
        <w:rPr>
          <w:b w:val="0"/>
          <w:color w:val="0066CC"/>
        </w:rPr>
        <w:t>Clinical features</w:t>
      </w:r>
    </w:p>
    <w:p>
      <w:pPr>
        <w:pStyle w:val="ListParagraph"/>
        <w:numPr>
          <w:ilvl w:val="0"/>
          <w:numId w:val="10"/>
        </w:numPr>
        <w:tabs>
          <w:tab w:pos="1199" w:val="left" w:leader="none"/>
        </w:tabs>
        <w:spacing w:line="355" w:lineRule="auto" w:before="162" w:after="0"/>
        <w:ind w:left="1198" w:right="1061" w:hanging="360"/>
        <w:jc w:val="both"/>
        <w:rPr>
          <w:rFonts w:ascii="Symbol" w:hAnsi="Symbol"/>
          <w:sz w:val="28"/>
        </w:rPr>
      </w:pPr>
      <w:r>
        <w:rPr>
          <w:b w:val="0"/>
          <w:color w:val="0066CC"/>
        </w:rPr>
        <w:t>Persistent or recurrent purulent drainage, cyclical pain/swelling, perianal irritation, and possible passage of gas/stool through an abnormal opening depending on tract location.</w:t>
      </w:r>
    </w:p>
    <w:p>
      <w:pPr>
        <w:pStyle w:val="Heading3"/>
        <w:spacing w:before="9"/>
        <w:ind w:left="838"/>
        <w:rPr>
          <w:i/>
          <w:u w:val="none"/>
        </w:rPr>
      </w:pPr>
      <w:r>
        <w:rPr>
          <w:b w:val="0"/>
          <w:color w:val="0066CC"/>
        </w:rPr>
        <w:t>Complications</w:t>
      </w:r>
    </w:p>
    <w:p>
      <w:pPr>
        <w:pStyle w:val="ListParagraph"/>
        <w:numPr>
          <w:ilvl w:val="0"/>
          <w:numId w:val="10"/>
        </w:numPr>
        <w:tabs>
          <w:tab w:pos="1198" w:val="left" w:leader="none"/>
          <w:tab w:pos="1199" w:val="left" w:leader="none"/>
        </w:tabs>
        <w:spacing w:line="240" w:lineRule="auto" w:before="162" w:after="0"/>
        <w:ind w:left="1198" w:right="0" w:hanging="361"/>
        <w:jc w:val="left"/>
        <w:rPr>
          <w:rFonts w:ascii="Symbol" w:hAnsi="Symbol"/>
          <w:color w:val="333333"/>
          <w:sz w:val="28"/>
        </w:rPr>
      </w:pPr>
      <w:r>
        <w:rPr>
          <w:b w:val="0"/>
          <w:color w:val="0066CC"/>
        </w:rPr>
        <w:t>Recurrent infection/abscess</w:t>
      </w:r>
    </w:p>
    <w:p>
      <w:pPr>
        <w:pStyle w:val="ListParagraph"/>
        <w:numPr>
          <w:ilvl w:val="0"/>
          <w:numId w:val="10"/>
        </w:numPr>
        <w:tabs>
          <w:tab w:pos="1198" w:val="left" w:leader="none"/>
          <w:tab w:pos="1199" w:val="left" w:leader="none"/>
        </w:tabs>
        <w:spacing w:line="240" w:lineRule="auto" w:before="159" w:after="0"/>
        <w:ind w:left="1198" w:right="0" w:hanging="361"/>
        <w:jc w:val="left"/>
        <w:rPr>
          <w:rFonts w:ascii="Symbol" w:hAnsi="Symbol"/>
          <w:color w:val="333333"/>
          <w:sz w:val="28"/>
        </w:rPr>
      </w:pPr>
      <w:r>
        <w:rPr>
          <w:b w:val="0"/>
          <w:color w:val="0066CC"/>
        </w:rPr>
        <w:t>Continence disturbance if sphincter injury occurs</w:t>
      </w:r>
    </w:p>
    <w:p>
      <w:pPr>
        <w:pStyle w:val="ListParagraph"/>
        <w:numPr>
          <w:ilvl w:val="0"/>
          <w:numId w:val="10"/>
        </w:numPr>
        <w:tabs>
          <w:tab w:pos="1198" w:val="left" w:leader="none"/>
          <w:tab w:pos="1199" w:val="left" w:leader="none"/>
        </w:tabs>
        <w:spacing w:line="240" w:lineRule="auto" w:before="161" w:after="0"/>
        <w:ind w:left="1198" w:right="0" w:hanging="361"/>
        <w:jc w:val="left"/>
        <w:rPr>
          <w:rFonts w:ascii="Symbol" w:hAnsi="Symbol"/>
          <w:color w:val="333333"/>
          <w:sz w:val="28"/>
        </w:rPr>
      </w:pPr>
      <w:r>
        <w:rPr>
          <w:b w:val="0"/>
          <w:color w:val="0066CC"/>
        </w:rPr>
        <w:t>Recurrence after treatment, especially in complex fistulas</w:t>
      </w:r>
    </w:p>
    <w:p>
      <w:pPr>
        <w:pStyle w:val="Heading3"/>
        <w:spacing w:before="160"/>
        <w:rPr>
          <w:i/>
          <w:u w:val="none"/>
        </w:rPr>
      </w:pPr>
      <w:r>
        <w:rPr>
          <w:b w:val="0"/>
          <w:color w:val="0066CC"/>
        </w:rPr>
        <w:t>Management</w:t>
      </w:r>
    </w:p>
    <w:p>
      <w:pPr>
        <w:pStyle w:val="ListParagraph"/>
        <w:numPr>
          <w:ilvl w:val="0"/>
          <w:numId w:val="11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Diagnosis: inspection and examination under anesthesia when needed; MRI pelvis and/or endoanal ultrasound are useful for complex tracts.</w:t>
      </w:r>
    </w:p>
    <w:p>
      <w:pPr>
        <w:spacing w:after="0" w:line="240" w:lineRule="auto"/>
        <w:jc w:val="left"/>
        <w:rPr>
          <w:sz w:val="28"/>
        </w:rPr>
        <w:sectPr>
          <w:pgSz w:w="12240" w:h="15840"/>
          <w:pgMar w:header="0" w:footer="854" w:top="1360" w:bottom="1040" w:left="940" w:right="360"/>
        </w:sectPr>
      </w:pPr>
    </w:p>
    <w:p>
      <w:pPr>
        <w:pStyle w:val="ListParagraph"/>
        <w:numPr>
          <w:ilvl w:val="0"/>
          <w:numId w:val="11"/>
        </w:numPr>
        <w:tabs>
          <w:tab w:pos="1199" w:val="left" w:leader="none"/>
        </w:tabs>
        <w:spacing w:line="360" w:lineRule="auto" w:before="79" w:after="0"/>
        <w:ind w:left="1198" w:right="1051" w:hanging="360"/>
        <w:jc w:val="both"/>
        <w:rPr>
          <w:sz w:val="28"/>
        </w:rPr>
      </w:pPr>
      <w:r>
        <w:rPr>
          <w:b w:val="0"/>
          <w:color w:val="0066CC"/>
        </w:rPr>
        <w:t>Medical therapy has a limited role in cryptoglandular fistula but is important in Crohn-related disease (e.g., biologic-based strategies per specialist guidance).</w:t>
      </w:r>
    </w:p>
    <w:p>
      <w:pPr>
        <w:pStyle w:val="ListParagraph"/>
        <w:numPr>
          <w:ilvl w:val="0"/>
          <w:numId w:val="11"/>
        </w:numPr>
        <w:tabs>
          <w:tab w:pos="1199" w:val="left" w:leader="none"/>
        </w:tabs>
        <w:spacing w:line="360" w:lineRule="auto" w:before="0" w:after="0"/>
        <w:ind w:left="1198" w:right="1056" w:hanging="360"/>
        <w:jc w:val="both"/>
        <w:rPr>
          <w:sz w:val="28"/>
        </w:rPr>
      </w:pPr>
      <w:r>
        <w:rPr>
          <w:b w:val="0"/>
          <w:color w:val="0066CC"/>
        </w:rPr>
        <w:t>Surgery is individualized to eradicate sepsis while preserving continence: options include fistulotomy (selected low/simple tracts), seton techniques, advancement flap, LIFT, and other sphincter-sparing approaches.</w:t>
      </w:r>
    </w:p>
    <w:p>
      <w:pPr>
        <w:pStyle w:val="Heading3"/>
        <w:spacing w:before="0"/>
        <w:jc w:val="both"/>
        <w:rPr>
          <w:i/>
          <w:u w:val="none"/>
        </w:rPr>
      </w:pPr>
      <w:r>
        <w:rPr>
          <w:b w:val="0"/>
          <w:color w:val="0066CC"/>
        </w:rPr>
        <w:t>Nursing care</w:t>
      </w: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240" w:lineRule="auto" w:before="160" w:after="0"/>
        <w:ind w:left="1198" w:right="0" w:hanging="361"/>
        <w:jc w:val="both"/>
        <w:rPr>
          <w:sz w:val="28"/>
        </w:rPr>
      </w:pPr>
      <w:r>
        <w:rPr>
          <w:b w:val="0"/>
          <w:color w:val="0066CC"/>
        </w:rPr>
        <w:t>Monitor drainage characteristics, wound status, pain pattern, and infection signs; escalate worsening findings promptly.</w:t>
      </w: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240" w:lineRule="auto" w:before="160" w:after="0"/>
        <w:ind w:left="1198" w:right="0" w:hanging="361"/>
        <w:jc w:val="both"/>
        <w:rPr>
          <w:sz w:val="28"/>
        </w:rPr>
      </w:pPr>
      <w:r>
        <w:rPr>
          <w:b w:val="0"/>
          <w:color w:val="0066CC"/>
        </w:rPr>
        <w:t>Teach daily perineal cleansing, careful drying, and adherence to follow-up plans.</w:t>
      </w: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240" w:lineRule="auto" w:before="164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Encourage breathable clothing and skin-barrier protection when drainage is persistent.</w:t>
      </w: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Sitz baths may reduce discomfort in the postoperative and chronic-drainage setting.</w:t>
      </w: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After packing/seton procedures, reinforce ordered wound care and return precautions (fever, severe pain, urinary retention, bleeding).</w:t>
      </w: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Promote bowel regularity and avoidance of straining.</w:t>
      </w: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240" w:lineRule="auto" w:before="163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Support high-fiber intake, adequate hydration, and prescribed stool-softening regimens as indicated.</w:t>
      </w: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Discourage unsupervised laxative overuse; tailor bowel plans to stool consistency and symptoms.</w:t>
      </w:r>
    </w:p>
    <w:p>
      <w:pPr>
        <w:pStyle w:val="BodyText"/>
        <w:ind w:left="0" w:firstLine="0"/>
        <w:rPr>
          <w:sz w:val="30"/>
        </w:rPr>
      </w:pPr>
    </w:p>
    <w:p>
      <w:pPr>
        <w:pStyle w:val="BodyText"/>
        <w:spacing w:before="9"/>
        <w:ind w:left="0" w:firstLine="0"/>
        <w:rPr>
          <w:sz w:val="25"/>
        </w:rPr>
      </w:pPr>
    </w:p>
    <w:p>
      <w:pPr>
        <w:pStyle w:val="Heading1"/>
        <w:numPr>
          <w:ilvl w:val="0"/>
          <w:numId w:val="6"/>
        </w:numPr>
        <w:tabs>
          <w:tab w:pos="1199" w:val="left" w:leader="none"/>
        </w:tabs>
        <w:spacing w:line="240" w:lineRule="auto" w:before="1" w:after="0"/>
        <w:ind w:left="1198" w:right="0" w:hanging="361"/>
        <w:jc w:val="left"/>
        <w:rPr>
          <w:i/>
          <w:u w:val="none"/>
        </w:rPr>
      </w:pPr>
      <w:r>
        <w:rPr>
          <w:b w:val="0"/>
          <w:color w:val="0066CC"/>
        </w:rPr>
        <w:t>Anal fissure</w:t>
      </w:r>
    </w:p>
    <w:p>
      <w:pPr>
        <w:pStyle w:val="BodyText"/>
        <w:spacing w:line="362" w:lineRule="auto" w:before="185"/>
        <w:ind w:left="478" w:right="1055" w:firstLine="0"/>
      </w:pPr>
      <w:r>
        <w:rPr>
          <w:b w:val="0"/>
          <w:color w:val="0066CC"/>
        </w:rPr>
        <w:t>An anal fissure is a longitudinal tear in the anoderm, most commonly at the posterior midline. Acute fissure lasts &lt;6 weeks; chronic fissure persists &gt;6 weeks and may show a sentinel tag or exposed internal sphincter fibers.</w:t>
      </w:r>
    </w:p>
    <w:p>
      <w:pPr>
        <w:pStyle w:val="BodyText"/>
        <w:spacing w:line="360" w:lineRule="auto" w:after="8"/>
        <w:ind w:left="478" w:right="6787" w:firstLine="0"/>
      </w:pPr>
      <w:r>
        <w:rPr/>
        <w:t>Acute – present for &lt; 6 weeks.</w:t>
      </w:r>
      <w:r>
        <w:rPr>
          <w:spacing w:val="1"/>
        </w:rPr>
        <w:t> </w:t>
      </w:r>
      <w:r>
        <w:rPr/>
        <w:t>Chronic</w:t>
      </w:r>
      <w:r>
        <w:rPr>
          <w:spacing w:val="-4"/>
        </w:rPr>
        <w:t> </w:t>
      </w:r>
      <w:r>
        <w:rPr/>
        <w:t>–</w:t>
      </w:r>
      <w:r>
        <w:rPr>
          <w:spacing w:val="-1"/>
        </w:rPr>
        <w:t> </w:t>
      </w:r>
      <w:r>
        <w:rPr/>
        <w:t>present for</w:t>
      </w:r>
      <w:r>
        <w:rPr>
          <w:spacing w:val="-4"/>
        </w:rPr>
        <w:t> </w:t>
      </w:r>
      <w:r>
        <w:rPr/>
        <w:t>&gt;</w:t>
      </w:r>
      <w:r>
        <w:rPr>
          <w:spacing w:val="-1"/>
        </w:rPr>
        <w:t> </w:t>
      </w:r>
      <w:r>
        <w:rPr/>
        <w:t>6 weeks.</w:t>
      </w:r>
    </w:p>
    <w:p>
      <w:pPr>
        <w:pStyle w:val="BodyText"/>
        <w:ind w:left="1639" w:firstLine="0"/>
        <w:rPr>
          <w:sz w:val="20"/>
        </w:rPr>
      </w:pPr>
      <w:r>
        <w:rPr>
          <w:sz w:val="20"/>
        </w:rPr>
        <w:pict>
          <v:group style="width:354.7pt;height:126pt;mso-position-horizontal-relative:char;mso-position-vertical-relative:line" id="docshapegroup15" coordorigin="0,0" coordsize="7094,2520" alt="Flight collide comment anal fissure stool No way Management Road making  process">
            <v:shape style="position:absolute;left:15;top:14;width:7023;height:2473" type="#_x0000_t75" id="docshape16" alt="Flight collide comment anal fissure stool No way Management Road making  process" stroked="false">
              <v:imagedata r:id="rId16" o:title=""/>
            </v:shape>
            <v:rect style="position:absolute;left:7;top:7;width:7079;height:2505" id="docshape17" filled="false" stroked="true" strokeweight=".75pt" strokecolor="#000000">
              <v:stroke dashstyle="solid"/>
            </v:rect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854" w:top="1340" w:bottom="1040" w:left="940" w:right="360"/>
        </w:sectPr>
      </w:pPr>
    </w:p>
    <w:p>
      <w:pPr>
        <w:pStyle w:val="Heading3"/>
        <w:rPr>
          <w:i/>
          <w:u w:val="none"/>
        </w:rPr>
      </w:pPr>
      <w:r>
        <w:rPr>
          <w:b w:val="0"/>
          <w:color w:val="0066CC"/>
        </w:rPr>
        <w:t>Risk factors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Constipation and passage of hard stool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37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Low fluid intake and poor stool hydration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39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Inflammatory bowel disease (especially Crohn disease)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37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Childbirth-related trauma and pelvic floor injury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37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Repeated local trauma, including forceful defecation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348" w:lineRule="auto" w:before="137" w:after="0"/>
        <w:ind w:left="1198" w:right="1063" w:hanging="360"/>
        <w:jc w:val="both"/>
        <w:rPr>
          <w:sz w:val="28"/>
        </w:rPr>
      </w:pPr>
      <w:r>
        <w:rPr>
          <w:b w:val="0"/>
          <w:color w:val="0066CC"/>
        </w:rPr>
        <w:t>Frequent stimulant-laxative misuse can worsen bowel dysfunction and should be corrected with supervised bowel management.</w:t>
      </w:r>
    </w:p>
    <w:p>
      <w:pPr>
        <w:pStyle w:val="Heading3"/>
        <w:spacing w:before="26"/>
        <w:jc w:val="both"/>
        <w:rPr>
          <w:i/>
          <w:u w:val="none"/>
        </w:rPr>
      </w:pPr>
      <w:r>
        <w:rPr>
          <w:b w:val="0"/>
          <w:color w:val="0066CC"/>
        </w:rPr>
        <w:t>Clinical features</w:t>
      </w:r>
    </w:p>
    <w:p>
      <w:pPr>
        <w:pStyle w:val="ListParagraph"/>
        <w:numPr>
          <w:ilvl w:val="0"/>
          <w:numId w:val="8"/>
        </w:numPr>
        <w:tabs>
          <w:tab w:pos="1199" w:val="left" w:leader="none"/>
        </w:tabs>
        <w:spacing w:line="240" w:lineRule="auto" w:before="161" w:after="0"/>
        <w:ind w:left="1198" w:right="0" w:hanging="361"/>
        <w:jc w:val="both"/>
        <w:rPr>
          <w:sz w:val="28"/>
        </w:rPr>
      </w:pPr>
      <w:r>
        <w:rPr>
          <w:b w:val="0"/>
          <w:color w:val="0066CC"/>
        </w:rPr>
        <w:t>Severe tearing pain during and after defecation (often lasting minutes to hours).</w:t>
      </w:r>
    </w:p>
    <w:p>
      <w:pPr>
        <w:pStyle w:val="ListParagraph"/>
        <w:numPr>
          <w:ilvl w:val="0"/>
          <w:numId w:val="8"/>
        </w:numPr>
        <w:tabs>
          <w:tab w:pos="1199" w:val="left" w:leader="none"/>
        </w:tabs>
        <w:spacing w:line="240" w:lineRule="auto" w:before="160" w:after="0"/>
        <w:ind w:left="1198" w:right="0" w:hanging="361"/>
        <w:jc w:val="both"/>
        <w:rPr>
          <w:sz w:val="28"/>
        </w:rPr>
      </w:pPr>
      <w:r>
        <w:rPr>
          <w:b w:val="0"/>
          <w:color w:val="0066CC"/>
        </w:rPr>
        <w:t>Small-volume bright red bleeding on wiping or stool surface.</w:t>
      </w:r>
    </w:p>
    <w:p>
      <w:pPr>
        <w:pStyle w:val="ListParagraph"/>
        <w:numPr>
          <w:ilvl w:val="0"/>
          <w:numId w:val="8"/>
        </w:numPr>
        <w:tabs>
          <w:tab w:pos="1198" w:val="left" w:leader="none"/>
          <w:tab w:pos="1199" w:val="left" w:leader="none"/>
        </w:tabs>
        <w:spacing w:line="240" w:lineRule="auto" w:before="163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Post-defecation burning, pruritus, and sphincter spasm may occur.</w:t>
      </w:r>
    </w:p>
    <w:p>
      <w:pPr>
        <w:pStyle w:val="Heading3"/>
        <w:spacing w:before="160"/>
        <w:ind w:left="838"/>
        <w:rPr>
          <w:i/>
          <w:u w:val="none"/>
        </w:rPr>
      </w:pPr>
      <w:r>
        <w:rPr>
          <w:b w:val="0"/>
          <w:color w:val="0066CC"/>
        </w:rPr>
        <w:t>Complications</w:t>
      </w:r>
    </w:p>
    <w:p>
      <w:pPr>
        <w:pStyle w:val="BodyText"/>
        <w:spacing w:before="161"/>
        <w:ind w:left="978" w:firstLine="0"/>
      </w:pPr>
      <w:r>
        <w:rPr>
          <w:b w:val="0"/>
          <w:color w:val="0066CC"/>
        </w:rPr>
        <w:t>Persistence as chronic fissure with recurrent pain and defecation avoidance</w:t>
      </w:r>
    </w:p>
    <w:p>
      <w:pPr>
        <w:pStyle w:val="ListParagraph"/>
        <w:numPr>
          <w:ilvl w:val="0"/>
          <w:numId w:val="13"/>
        </w:numPr>
        <w:tabs>
          <w:tab w:pos="1198" w:val="left" w:leader="none"/>
          <w:tab w:pos="1199" w:val="left" w:leader="none"/>
        </w:tabs>
        <w:spacing w:line="240" w:lineRule="auto" w:before="161" w:after="0"/>
        <w:ind w:left="1198" w:right="0" w:hanging="361"/>
        <w:jc w:val="left"/>
        <w:rPr>
          <w:color w:val="1F2023"/>
          <w:sz w:val="28"/>
        </w:rPr>
      </w:pPr>
      <w:r>
        <w:rPr>
          <w:b w:val="0"/>
          <w:color w:val="0066CC"/>
        </w:rPr>
        <w:t>Secondary local infection (uncommon)</w:t>
      </w:r>
    </w:p>
    <w:p>
      <w:pPr>
        <w:pStyle w:val="ListParagraph"/>
        <w:numPr>
          <w:ilvl w:val="0"/>
          <w:numId w:val="13"/>
        </w:numPr>
        <w:tabs>
          <w:tab w:pos="1198" w:val="left" w:leader="none"/>
          <w:tab w:pos="1199" w:val="left" w:leader="none"/>
        </w:tabs>
        <w:spacing w:line="240" w:lineRule="auto" w:before="162" w:after="0"/>
        <w:ind w:left="1198" w:right="0" w:hanging="361"/>
        <w:jc w:val="left"/>
        <w:rPr>
          <w:color w:val="1F2023"/>
          <w:sz w:val="28"/>
        </w:rPr>
      </w:pPr>
      <w:r>
        <w:rPr>
          <w:b w:val="0"/>
          <w:color w:val="0066CC"/>
        </w:rPr>
        <w:t>Sentinel skin tag and hypertrophied anal papilla in chronic disease</w:t>
      </w:r>
    </w:p>
    <w:p>
      <w:pPr>
        <w:pStyle w:val="ListParagraph"/>
        <w:numPr>
          <w:ilvl w:val="0"/>
          <w:numId w:val="13"/>
        </w:numPr>
        <w:tabs>
          <w:tab w:pos="1198" w:val="left" w:leader="none"/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Rarely, fistula formation</w:t>
      </w:r>
    </w:p>
    <w:p>
      <w:pPr>
        <w:pStyle w:val="Heading3"/>
        <w:spacing w:before="160"/>
        <w:rPr>
          <w:i/>
          <w:u w:val="none"/>
        </w:rPr>
      </w:pPr>
      <w:r>
        <w:rPr>
          <w:b w:val="0"/>
          <w:color w:val="0066CC"/>
        </w:rPr>
        <w:t>Management</w:t>
      </w:r>
    </w:p>
    <w:p>
      <w:pPr>
        <w:pStyle w:val="ListParagraph"/>
        <w:numPr>
          <w:ilvl w:val="0"/>
          <w:numId w:val="10"/>
        </w:numPr>
        <w:tabs>
          <w:tab w:pos="1198" w:val="left" w:leader="none"/>
          <w:tab w:pos="1199" w:val="left" w:leader="none"/>
        </w:tabs>
        <w:spacing w:line="240" w:lineRule="auto" w:before="162" w:after="0"/>
        <w:ind w:left="1198" w:right="0" w:hanging="361"/>
        <w:jc w:val="left"/>
        <w:rPr>
          <w:rFonts w:ascii="Symbol" w:hAnsi="Symbol"/>
          <w:sz w:val="28"/>
        </w:rPr>
      </w:pPr>
      <w:r>
        <w:rPr>
          <w:b w:val="0"/>
          <w:color w:val="0066CC"/>
        </w:rPr>
        <w:t>Diagnosis is primarily clinical by gentle inspection; forceful digital rectal examination is usually deferred in severe acute pain.</w:t>
      </w:r>
    </w:p>
    <w:p>
      <w:pPr>
        <w:pStyle w:val="Heading2"/>
        <w:ind w:left="838" w:firstLine="0"/>
      </w:pPr>
      <w:r>
        <w:rPr>
          <w:b w:val="0"/>
          <w:color w:val="0066CC"/>
        </w:rPr>
        <w:t>Medical management</w:t>
      </w:r>
    </w:p>
    <w:p>
      <w:pPr>
        <w:pStyle w:val="ListParagraph"/>
        <w:numPr>
          <w:ilvl w:val="0"/>
          <w:numId w:val="14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b/>
          <w:sz w:val="28"/>
        </w:rPr>
      </w:pPr>
      <w:r>
        <w:rPr>
          <w:b w:val="0"/>
          <w:color w:val="0066CC"/>
        </w:rPr>
        <w:t>First-line care includes stool normalization (fiber, hydration, osmotic softeners if needed), pain control, and bowel-habit retraining.</w:t>
      </w:r>
    </w:p>
    <w:p>
      <w:pPr>
        <w:pStyle w:val="ListParagraph"/>
        <w:numPr>
          <w:ilvl w:val="0"/>
          <w:numId w:val="14"/>
        </w:numPr>
        <w:tabs>
          <w:tab w:pos="1199" w:val="left" w:leader="none"/>
        </w:tabs>
        <w:spacing w:line="362" w:lineRule="auto" w:before="161" w:after="0"/>
        <w:ind w:left="1198" w:right="1051" w:hanging="360"/>
        <w:jc w:val="left"/>
        <w:rPr>
          <w:sz w:val="28"/>
        </w:rPr>
      </w:pPr>
      <w:r>
        <w:rPr>
          <w:b w:val="0"/>
          <w:color w:val="0066CC"/>
        </w:rPr>
        <w:t>Osmotic laxatives/stool softeners can be used when dietary measures alone are insufficient.</w:t>
      </w:r>
    </w:p>
    <w:p>
      <w:pPr>
        <w:pStyle w:val="ListParagraph"/>
        <w:numPr>
          <w:ilvl w:val="0"/>
          <w:numId w:val="14"/>
        </w:numPr>
        <w:tabs>
          <w:tab w:pos="1199" w:val="left" w:leader="none"/>
        </w:tabs>
        <w:spacing w:line="317" w:lineRule="exact" w:before="0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Short-course topical anesthetic may provide symptom relief before bowel movements.</w:t>
      </w:r>
    </w:p>
    <w:p>
      <w:pPr>
        <w:pStyle w:val="ListParagraph"/>
        <w:numPr>
          <w:ilvl w:val="0"/>
          <w:numId w:val="14"/>
        </w:numPr>
        <w:tabs>
          <w:tab w:pos="1199" w:val="left" w:leader="none"/>
        </w:tabs>
        <w:spacing w:line="360" w:lineRule="auto" w:before="161" w:after="0"/>
        <w:ind w:left="1198" w:right="1053" w:hanging="360"/>
        <w:jc w:val="left"/>
        <w:rPr>
          <w:sz w:val="28"/>
        </w:rPr>
      </w:pPr>
      <w:r>
        <w:rPr>
          <w:b w:val="0"/>
          <w:color w:val="0066CC"/>
        </w:rPr>
        <w:t>Warm sitz baths can reduce internal sphincter spasm and improve comfort.</w:t>
      </w:r>
    </w:p>
    <w:p>
      <w:pPr>
        <w:spacing w:after="0" w:line="360" w:lineRule="auto"/>
        <w:jc w:val="left"/>
        <w:rPr>
          <w:sz w:val="28"/>
        </w:rPr>
        <w:sectPr>
          <w:pgSz w:w="12240" w:h="15840"/>
          <w:pgMar w:header="0" w:footer="854" w:top="1360" w:bottom="1040" w:left="940" w:right="360"/>
        </w:sectPr>
      </w:pPr>
    </w:p>
    <w:p>
      <w:pPr>
        <w:pStyle w:val="ListParagraph"/>
        <w:numPr>
          <w:ilvl w:val="0"/>
          <w:numId w:val="14"/>
        </w:numPr>
        <w:tabs>
          <w:tab w:pos="1199" w:val="left" w:leader="none"/>
        </w:tabs>
        <w:spacing w:line="360" w:lineRule="auto" w:before="59" w:after="0"/>
        <w:ind w:left="1198" w:right="1053" w:hanging="360"/>
        <w:jc w:val="both"/>
        <w:rPr>
          <w:sz w:val="28"/>
        </w:rPr>
      </w:pPr>
      <w:r>
        <w:rPr>
          <w:b w:val="0"/>
          <w:color w:val="0066CC"/>
        </w:rPr>
        <w:t>If symptoms persist, topical vasodilator therapy (e.g., glyceryl trinitrate or diltiazem) is recommended per current guidance; monitor for adverse effects such as headache with GTN.</w:t>
      </w:r>
    </w:p>
    <w:p>
      <w:pPr>
        <w:pStyle w:val="Heading2"/>
        <w:numPr>
          <w:ilvl w:val="0"/>
          <w:numId w:val="10"/>
        </w:numPr>
        <w:tabs>
          <w:tab w:pos="1199" w:val="left" w:leader="none"/>
        </w:tabs>
        <w:spacing w:line="240" w:lineRule="auto" w:before="1" w:after="0"/>
        <w:ind w:left="1198" w:right="0" w:hanging="361"/>
        <w:jc w:val="both"/>
        <w:rPr>
          <w:rFonts w:ascii="Symbol" w:hAnsi="Symbol"/>
          <w:b w:val="0"/>
        </w:rPr>
      </w:pPr>
      <w:r>
        <w:rPr>
          <w:b w:val="0"/>
          <w:color w:val="0066CC"/>
        </w:rPr>
        <w:t>Surgical management</w:t>
      </w:r>
    </w:p>
    <w:p>
      <w:pPr>
        <w:pStyle w:val="BodyText"/>
        <w:spacing w:line="362" w:lineRule="auto" w:before="157"/>
        <w:ind w:left="478" w:right="1064" w:firstLine="0"/>
        <w:jc w:val="both"/>
      </w:pPr>
      <w:r>
        <w:rPr>
          <w:b w:val="0"/>
          <w:color w:val="0066CC"/>
        </w:rPr>
        <w:t>Surgery is considered for chronic or refractory fissure after optimized medical therapy.</w:t>
      </w:r>
    </w:p>
    <w:p>
      <w:pPr>
        <w:pStyle w:val="BodyText"/>
        <w:spacing w:line="317" w:lineRule="exact"/>
        <w:ind w:left="478" w:firstLine="0"/>
        <w:jc w:val="both"/>
      </w:pPr>
      <w:r>
        <w:rPr>
          <w:b w:val="0"/>
          <w:color w:val="0066CC"/>
        </w:rPr>
        <w:t>Lateral internal sphincterotomy is effective in selected patients; continence risk must be discussed and individualized alternatives considered.</w:t>
      </w:r>
    </w:p>
    <w:p>
      <w:pPr>
        <w:pStyle w:val="Heading3"/>
        <w:spacing w:before="161"/>
        <w:jc w:val="both"/>
        <w:rPr>
          <w:i/>
          <w:u w:val="none"/>
        </w:rPr>
      </w:pPr>
      <w:r>
        <w:rPr>
          <w:b w:val="0"/>
          <w:color w:val="0066CC"/>
        </w:rPr>
        <w:t>Nursing care</w:t>
      </w:r>
    </w:p>
    <w:p>
      <w:pPr>
        <w:pStyle w:val="ListParagraph"/>
        <w:numPr>
          <w:ilvl w:val="0"/>
          <w:numId w:val="15"/>
        </w:numPr>
        <w:tabs>
          <w:tab w:pos="1199" w:val="left" w:leader="none"/>
        </w:tabs>
        <w:spacing w:line="240" w:lineRule="auto" w:before="161" w:after="0"/>
        <w:ind w:left="1198" w:right="0" w:hanging="361"/>
        <w:jc w:val="both"/>
        <w:rPr>
          <w:sz w:val="28"/>
        </w:rPr>
      </w:pPr>
      <w:r>
        <w:rPr>
          <w:b w:val="0"/>
          <w:color w:val="0066CC"/>
        </w:rPr>
        <w:t>Assess pain trend, bowel pattern, and hydration; reinforce adherence to the bowel plan to prevent re-tearing.</w:t>
      </w:r>
    </w:p>
    <w:p>
      <w:pPr>
        <w:pStyle w:val="ListParagraph"/>
        <w:numPr>
          <w:ilvl w:val="0"/>
          <w:numId w:val="15"/>
        </w:numPr>
        <w:tabs>
          <w:tab w:pos="1199" w:val="left" w:leader="none"/>
        </w:tabs>
        <w:spacing w:line="240" w:lineRule="auto" w:before="163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Teach gentle cleansing, drying, and avoidance of irritant products.</w:t>
      </w:r>
    </w:p>
    <w:p>
      <w:pPr>
        <w:pStyle w:val="ListParagraph"/>
        <w:numPr>
          <w:ilvl w:val="0"/>
          <w:numId w:val="15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Encourage breathable cotton undergarments and moisture control.</w:t>
      </w:r>
    </w:p>
    <w:p>
      <w:pPr>
        <w:pStyle w:val="ListParagraph"/>
        <w:numPr>
          <w:ilvl w:val="0"/>
          <w:numId w:val="15"/>
        </w:numPr>
        <w:tabs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Reinforce safe sitz-bath use (clean basin, warm—not hot—water, timed sessions).</w:t>
      </w:r>
    </w:p>
    <w:p>
      <w:pPr>
        <w:pStyle w:val="ListParagraph"/>
        <w:numPr>
          <w:ilvl w:val="0"/>
          <w:numId w:val="15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Teach medication adherence and adverse-effect monitoring.</w:t>
      </w:r>
    </w:p>
    <w:p>
      <w:pPr>
        <w:pStyle w:val="ListParagraph"/>
        <w:numPr>
          <w:ilvl w:val="0"/>
          <w:numId w:val="15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Coach straining avoidance and correct toileting posture/habits.</w:t>
      </w:r>
    </w:p>
    <w:p>
      <w:pPr>
        <w:pStyle w:val="ListParagraph"/>
        <w:numPr>
          <w:ilvl w:val="0"/>
          <w:numId w:val="15"/>
        </w:numPr>
        <w:tabs>
          <w:tab w:pos="1199" w:val="left" w:leader="none"/>
        </w:tabs>
        <w:spacing w:line="240" w:lineRule="auto" w:before="164" w:after="0"/>
        <w:ind w:left="1198" w:right="0" w:hanging="361"/>
        <w:jc w:val="both"/>
        <w:rPr>
          <w:sz w:val="28"/>
        </w:rPr>
      </w:pPr>
      <w:r>
        <w:rPr>
          <w:b w:val="0"/>
          <w:color w:val="0066CC"/>
        </w:rPr>
        <w:t>Promote sustained fiber and fluid intake based on tolerance.</w:t>
      </w:r>
    </w:p>
    <w:p>
      <w:pPr>
        <w:pStyle w:val="ListParagraph"/>
        <w:numPr>
          <w:ilvl w:val="0"/>
          <w:numId w:val="15"/>
        </w:numPr>
        <w:tabs>
          <w:tab w:pos="1199" w:val="left" w:leader="none"/>
        </w:tabs>
        <w:spacing w:line="240" w:lineRule="auto" w:before="160" w:after="0"/>
        <w:ind w:left="1198" w:right="0" w:hanging="361"/>
        <w:jc w:val="both"/>
        <w:rPr>
          <w:sz w:val="28"/>
        </w:rPr>
      </w:pPr>
      <w:r>
        <w:rPr>
          <w:b w:val="0"/>
          <w:color w:val="0066CC"/>
        </w:rPr>
        <w:t>Discourage self-directed prolonged laxative use without clinical follow-up.</w:t>
      </w:r>
    </w:p>
    <w:p>
      <w:pPr>
        <w:pStyle w:val="Heading1"/>
        <w:spacing w:before="159"/>
        <w:ind w:firstLine="0"/>
        <w:jc w:val="both"/>
        <w:rPr>
          <w:i/>
          <w:u w:val="none"/>
        </w:rPr>
      </w:pPr>
      <w:r>
        <w:rPr>
          <w:b w:val="0"/>
          <w:color w:val="0066CC"/>
        </w:rPr>
        <w:t>Hemorrhoidal disease</w:t>
      </w:r>
    </w:p>
    <w:p>
      <w:pPr>
        <w:pStyle w:val="BodyText"/>
        <w:spacing w:line="360" w:lineRule="auto" w:before="186"/>
        <w:ind w:left="478" w:right="1054" w:firstLine="0"/>
        <w:jc w:val="both"/>
      </w:pPr>
      <w:r>
        <w:rPr>
          <w:b w:val="0"/>
          <w:color w:val="0066CC"/>
        </w:rPr>
        <w:t>Hemorrhoidal disease refers to symptomatic enlargement and distal displacement of normal anal vascular cushions.</w:t>
      </w:r>
    </w:p>
    <w:p>
      <w:pPr>
        <w:spacing w:after="0" w:line="360" w:lineRule="auto"/>
        <w:jc w:val="both"/>
        <w:sectPr>
          <w:pgSz w:w="12240" w:h="15840"/>
          <w:pgMar w:header="0" w:footer="854" w:top="1360" w:bottom="1040" w:left="940" w:right="360"/>
        </w:sectPr>
      </w:pPr>
    </w:p>
    <w:p>
      <w:pPr>
        <w:pStyle w:val="Heading3"/>
        <w:rPr>
          <w:i/>
          <w:u w:val="none"/>
        </w:rPr>
      </w:pPr>
      <w:r>
        <w:rPr>
          <w:b w:val="0"/>
          <w:color w:val="0066CC"/>
        </w:rPr>
        <w:t>Hemorrhoids are classified as:</w:t>
      </w:r>
    </w:p>
    <w:p>
      <w:pPr>
        <w:pStyle w:val="BodyText"/>
        <w:spacing w:before="160"/>
        <w:ind w:left="478" w:firstLine="0"/>
      </w:pPr>
      <w:r>
        <w:rPr>
          <w:b w:val="0"/>
          <w:color w:val="0066CC"/>
        </w:rPr>
        <w:t>Internal hemorrhoids: originate above the dentate line and are graded by prolapse severity.</w:t>
      </w:r>
    </w:p>
    <w:p>
      <w:pPr>
        <w:pStyle w:val="BodyText"/>
        <w:spacing w:line="362" w:lineRule="auto" w:before="161"/>
        <w:ind w:left="478" w:right="2044" w:firstLine="0"/>
      </w:pPr>
      <w:r>
        <w:rPr>
          <w:b w:val="0"/>
          <w:color w:val="0066CC"/>
        </w:rPr>
        <w:t>External hemorrhoids: arise below the dentate line and may present with painful thrombosis.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5"/>
        <w:ind w:left="0" w:firstLine="0"/>
        <w:rPr>
          <w:sz w:val="21"/>
        </w:rPr>
      </w:pPr>
    </w:p>
    <w:tbl>
      <w:tblPr>
        <w:tblW w:w="0" w:type="auto"/>
        <w:jc w:val="left"/>
        <w:tblInd w:w="3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8"/>
        <w:gridCol w:w="8108"/>
      </w:tblGrid>
      <w:tr>
        <w:trPr>
          <w:trHeight w:val="482" w:hRule="atLeast"/>
        </w:trPr>
        <w:tc>
          <w:tcPr>
            <w:tcW w:w="1958" w:type="dxa"/>
            <w:shd w:val="clear" w:color="auto" w:fill="E7E6E6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color w:val="0066CC"/>
              </w:rPr>
              <w:t>Goligher grade (internal hemorrhoids)</w:t>
            </w:r>
          </w:p>
        </w:tc>
        <w:tc>
          <w:tcPr>
            <w:tcW w:w="8108" w:type="dxa"/>
            <w:shd w:val="clear" w:color="auto" w:fill="E7E6E6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color w:val="0066CC"/>
              </w:rPr>
              <w:t>Description</w:t>
            </w:r>
          </w:p>
        </w:tc>
      </w:tr>
      <w:tr>
        <w:trPr>
          <w:trHeight w:val="484" w:hRule="atLeast"/>
        </w:trPr>
        <w:tc>
          <w:tcPr>
            <w:tcW w:w="1958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color w:val="0066CC"/>
              </w:rPr>
              <w:t>Grade I</w:t>
            </w:r>
          </w:p>
        </w:tc>
        <w:tc>
          <w:tcPr>
            <w:tcW w:w="8108" w:type="dxa"/>
          </w:tcPr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color w:val="0066CC"/>
              </w:rPr>
              <w:t>Remain in the anal canal (no prolapse).</w:t>
            </w:r>
          </w:p>
        </w:tc>
      </w:tr>
      <w:tr>
        <w:trPr>
          <w:trHeight w:val="482" w:hRule="atLeast"/>
        </w:trPr>
        <w:tc>
          <w:tcPr>
            <w:tcW w:w="195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color w:val="0066CC"/>
              </w:rPr>
              <w:t>Grade II</w:t>
            </w:r>
          </w:p>
        </w:tc>
        <w:tc>
          <w:tcPr>
            <w:tcW w:w="8108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color w:val="0066CC"/>
              </w:rPr>
              <w:t>Prolapse with straining/defecation and reduce spontaneously.</w:t>
            </w:r>
          </w:p>
        </w:tc>
      </w:tr>
      <w:tr>
        <w:trPr>
          <w:trHeight w:val="484" w:hRule="atLeast"/>
        </w:trPr>
        <w:tc>
          <w:tcPr>
            <w:tcW w:w="195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color w:val="0066CC"/>
              </w:rPr>
              <w:t>Grade III</w:t>
            </w:r>
          </w:p>
        </w:tc>
        <w:tc>
          <w:tcPr>
            <w:tcW w:w="8108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color w:val="0066CC"/>
              </w:rPr>
              <w:t>Prolapse with straining/defecation and require manual reduction.</w:t>
            </w:r>
          </w:p>
        </w:tc>
      </w:tr>
      <w:tr>
        <w:trPr>
          <w:trHeight w:val="482" w:hRule="atLeast"/>
        </w:trPr>
        <w:tc>
          <w:tcPr>
            <w:tcW w:w="195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color w:val="0066CC"/>
              </w:rPr>
              <w:t>Grade IV</w:t>
            </w:r>
          </w:p>
        </w:tc>
        <w:tc>
          <w:tcPr>
            <w:tcW w:w="8108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color w:val="0066CC"/>
              </w:rPr>
              <w:t>Irreducible prolapse; may become incarcerated/strangulated.</w:t>
            </w:r>
          </w:p>
        </w:tc>
      </w:tr>
    </w:tbl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2"/>
        <w:ind w:left="0" w:firstLine="0"/>
        <w:rPr>
          <w:sz w:val="21"/>
        </w:rPr>
      </w:pPr>
      <w:r>
        <w:rPr/>
        <w:pict>
          <v:group style="position:absolute;margin-left:121.495003pt;margin-top:13.415977pt;width:369.55pt;height:168pt;mso-position-horizontal-relative:page;mso-position-vertical-relative:paragraph;z-index:-15725056;mso-wrap-distance-left:0;mso-wrap-distance-right:0" id="docshapegroup23" coordorigin="2430,268" coordsize="7391,3360" alt="Can Grade 2 And 3 Hemorrhoids Go Away on Their own">
            <v:shape style="position:absolute;left:2445;top:283;width:7361;height:3330" type="#_x0000_t75" id="docshape24" alt="Can Grade 2 And 3 Hemorrhoids Go Away on Their own" stroked="false">
              <v:imagedata r:id="rId19" o:title=""/>
            </v:shape>
            <v:rect style="position:absolute;left:2437;top:275;width:7376;height:3345" id="docshape25" filled="false" stroked="true" strokeweight=".75pt" strokecolor="#000000">
              <v:stroke dashstyle="solid"/>
            </v:rect>
            <w10:wrap type="topAndBottom"/>
          </v:group>
        </w:pict>
      </w:r>
    </w:p>
    <w:p>
      <w:pPr>
        <w:pStyle w:val="BodyText"/>
        <w:spacing w:before="8"/>
        <w:ind w:left="0" w:firstLine="0"/>
        <w:rPr>
          <w:sz w:val="7"/>
        </w:rPr>
      </w:pPr>
    </w:p>
    <w:p>
      <w:pPr>
        <w:pStyle w:val="Heading3"/>
        <w:spacing w:before="89"/>
        <w:rPr>
          <w:i/>
          <w:u w:val="none"/>
        </w:rPr>
      </w:pPr>
      <w:r>
        <w:rPr>
          <w:b w:val="0"/>
          <w:color w:val="0066CC"/>
        </w:rPr>
        <w:t>Risk factors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Excessive straining and chronic constipation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240" w:lineRule="auto" w:before="137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Advancing age and connective-tissue support changes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336" w:lineRule="auto" w:before="140" w:after="0"/>
        <w:ind w:left="1198" w:right="1057" w:hanging="360"/>
        <w:jc w:val="left"/>
        <w:rPr>
          <w:sz w:val="28"/>
        </w:rPr>
      </w:pPr>
      <w:r>
        <w:rPr>
          <w:b w:val="0"/>
          <w:color w:val="0066CC"/>
        </w:rPr>
        <w:t>Increased intra-abdominal pressure (e.g., pregnancy, chronic cough, ascites)</w:t>
      </w:r>
    </w:p>
    <w:p>
      <w:pPr>
        <w:pStyle w:val="ListParagraph"/>
        <w:numPr>
          <w:ilvl w:val="0"/>
          <w:numId w:val="7"/>
        </w:numPr>
        <w:tabs>
          <w:tab w:pos="1199" w:val="left" w:leader="none"/>
        </w:tabs>
        <w:spacing w:line="336" w:lineRule="auto" w:before="40" w:after="0"/>
        <w:ind w:left="1198" w:right="1054" w:hanging="360"/>
        <w:jc w:val="left"/>
        <w:rPr>
          <w:sz w:val="28"/>
        </w:rPr>
      </w:pPr>
      <w:r>
        <w:rPr>
          <w:b w:val="0"/>
          <w:color w:val="0066CC"/>
        </w:rPr>
        <w:t>Low-fiber dietary pattern, prolonged toilet sitting, and other contributors to bowel dysfunction</w:t>
      </w:r>
    </w:p>
    <w:p>
      <w:pPr>
        <w:spacing w:after="0" w:line="336" w:lineRule="auto"/>
        <w:jc w:val="left"/>
        <w:rPr>
          <w:sz w:val="28"/>
        </w:rPr>
        <w:sectPr>
          <w:pgSz w:w="12240" w:h="15840"/>
          <w:pgMar w:header="0" w:footer="854" w:top="1360" w:bottom="1040" w:left="940" w:right="360"/>
        </w:sectPr>
      </w:pPr>
    </w:p>
    <w:p>
      <w:pPr>
        <w:pStyle w:val="Heading3"/>
        <w:rPr>
          <w:i/>
          <w:u w:val="none"/>
        </w:rPr>
      </w:pPr>
      <w:r>
        <w:rPr>
          <w:b w:val="0"/>
          <w:color w:val="0066CC"/>
        </w:rPr>
        <w:t>Clinical features</w:t>
      </w:r>
    </w:p>
    <w:p>
      <w:pPr>
        <w:pStyle w:val="ListParagraph"/>
        <w:numPr>
          <w:ilvl w:val="0"/>
          <w:numId w:val="10"/>
        </w:numPr>
        <w:tabs>
          <w:tab w:pos="1198" w:val="left" w:leader="none"/>
          <w:tab w:pos="1199" w:val="left" w:leader="none"/>
          <w:tab w:pos="2431" w:val="left" w:leader="none"/>
          <w:tab w:pos="3416" w:val="left" w:leader="none"/>
          <w:tab w:pos="4087" w:val="left" w:leader="none"/>
          <w:tab w:pos="5025" w:val="left" w:leader="none"/>
          <w:tab w:pos="6370" w:val="left" w:leader="none"/>
          <w:tab w:pos="7883" w:val="left" w:leader="none"/>
          <w:tab w:pos="8711" w:val="left" w:leader="none"/>
        </w:tabs>
        <w:spacing w:line="350" w:lineRule="auto" w:before="162" w:after="0"/>
        <w:ind w:left="1198" w:right="1061" w:hanging="360"/>
        <w:jc w:val="left"/>
        <w:rPr>
          <w:rFonts w:ascii="Symbol" w:hAnsi="Symbol"/>
          <w:sz w:val="28"/>
        </w:rPr>
      </w:pPr>
      <w:r>
        <w:rPr>
          <w:b w:val="0"/>
          <w:color w:val="0066CC"/>
        </w:rPr>
        <w:t>Painless bright red bleeding during or after defecation (typically coating stool or on tissue rather than mixed within stool).</w:t>
      </w:r>
    </w:p>
    <w:p>
      <w:pPr>
        <w:pStyle w:val="ListParagraph"/>
        <w:numPr>
          <w:ilvl w:val="0"/>
          <w:numId w:val="10"/>
        </w:numPr>
        <w:tabs>
          <w:tab w:pos="1198" w:val="left" w:leader="none"/>
          <w:tab w:pos="1199" w:val="left" w:leader="none"/>
        </w:tabs>
        <w:spacing w:line="240" w:lineRule="auto" w:before="15" w:after="0"/>
        <w:ind w:left="1198" w:right="0" w:hanging="361"/>
        <w:jc w:val="left"/>
        <w:rPr>
          <w:rFonts w:ascii="Symbol" w:hAnsi="Symbol"/>
          <w:sz w:val="28"/>
        </w:rPr>
      </w:pPr>
      <w:r>
        <w:rPr>
          <w:b w:val="0"/>
          <w:color w:val="0066CC"/>
        </w:rPr>
        <w:t>Pruritus/soiling related to mucus leakage and irritation.</w:t>
      </w:r>
    </w:p>
    <w:p>
      <w:pPr>
        <w:pStyle w:val="ListParagraph"/>
        <w:numPr>
          <w:ilvl w:val="0"/>
          <w:numId w:val="10"/>
        </w:numPr>
        <w:tabs>
          <w:tab w:pos="1198" w:val="left" w:leader="none"/>
          <w:tab w:pos="1199" w:val="left" w:leader="none"/>
        </w:tabs>
        <w:spacing w:line="240" w:lineRule="auto" w:before="161" w:after="0"/>
        <w:ind w:left="1198" w:right="0" w:hanging="361"/>
        <w:jc w:val="left"/>
        <w:rPr>
          <w:rFonts w:ascii="Symbol" w:hAnsi="Symbol"/>
          <w:sz w:val="28"/>
        </w:rPr>
      </w:pPr>
      <w:r>
        <w:rPr>
          <w:b w:val="0"/>
          <w:color w:val="0066CC"/>
        </w:rPr>
        <w:t>Sensation of prolapse, fullness, or palpable perianal lump.</w:t>
      </w:r>
    </w:p>
    <w:p>
      <w:pPr>
        <w:pStyle w:val="ListParagraph"/>
        <w:numPr>
          <w:ilvl w:val="0"/>
          <w:numId w:val="10"/>
        </w:numPr>
        <w:tabs>
          <w:tab w:pos="1198" w:val="left" w:leader="none"/>
          <w:tab w:pos="1199" w:val="left" w:leader="none"/>
        </w:tabs>
        <w:spacing w:line="350" w:lineRule="auto" w:before="159" w:after="0"/>
        <w:ind w:left="1198" w:right="1063" w:hanging="360"/>
        <w:jc w:val="left"/>
        <w:rPr>
          <w:rFonts w:ascii="Symbol" w:hAnsi="Symbol"/>
          <w:sz w:val="28"/>
        </w:rPr>
      </w:pPr>
      <w:r>
        <w:rPr>
          <w:b w:val="0"/>
          <w:color w:val="0066CC"/>
        </w:rPr>
        <w:t>Acute thrombosed external hemorrhoid causes severe localized pain and tender swelling; urgent assessment may be required.</w:t>
      </w:r>
    </w:p>
    <w:p>
      <w:pPr>
        <w:pStyle w:val="Heading3"/>
        <w:spacing w:before="14"/>
        <w:rPr>
          <w:i/>
          <w:u w:val="none"/>
        </w:rPr>
      </w:pPr>
      <w:r>
        <w:rPr>
          <w:b w:val="0"/>
          <w:color w:val="0066CC"/>
        </w:rPr>
        <w:t>Complications</w:t>
      </w:r>
    </w:p>
    <w:p>
      <w:pPr>
        <w:pStyle w:val="ListParagraph"/>
        <w:numPr>
          <w:ilvl w:val="0"/>
          <w:numId w:val="11"/>
        </w:numPr>
        <w:tabs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Iron-deficiency anemia from chronic bleeding (uncommon)</w:t>
      </w:r>
    </w:p>
    <w:p>
      <w:pPr>
        <w:pStyle w:val="ListParagraph"/>
        <w:numPr>
          <w:ilvl w:val="0"/>
          <w:numId w:val="11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Thrombosis of external hemorrhoids</w:t>
      </w:r>
    </w:p>
    <w:p>
      <w:pPr>
        <w:pStyle w:val="ListParagraph"/>
        <w:numPr>
          <w:ilvl w:val="0"/>
          <w:numId w:val="11"/>
        </w:numPr>
        <w:tabs>
          <w:tab w:pos="1199" w:val="left" w:leader="none"/>
        </w:tabs>
        <w:spacing w:line="240" w:lineRule="auto" w:before="163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Incarceration/strangulation in prolapsed internal hemorrhoids</w:t>
      </w:r>
    </w:p>
    <w:p>
      <w:pPr>
        <w:pStyle w:val="ListParagraph"/>
        <w:numPr>
          <w:ilvl w:val="0"/>
          <w:numId w:val="11"/>
        </w:numPr>
        <w:tabs>
          <w:tab w:pos="1199" w:val="left" w:leader="none"/>
        </w:tabs>
        <w:spacing w:line="360" w:lineRule="auto" w:before="160" w:after="0"/>
        <w:ind w:left="1198" w:right="1061" w:hanging="360"/>
        <w:jc w:val="left"/>
        <w:rPr>
          <w:sz w:val="28"/>
        </w:rPr>
      </w:pPr>
      <w:r>
        <w:rPr>
          <w:b w:val="0"/>
          <w:color w:val="0066CC"/>
        </w:rPr>
        <w:t>Ulceration or secondary infection in advanced untreated disease</w:t>
      </w:r>
    </w:p>
    <w:p>
      <w:pPr>
        <w:pStyle w:val="Heading3"/>
        <w:spacing w:line="321" w:lineRule="exact" w:before="0"/>
        <w:rPr>
          <w:i/>
          <w:u w:val="none"/>
        </w:rPr>
      </w:pPr>
      <w:r>
        <w:rPr>
          <w:b w:val="0"/>
          <w:color w:val="0066CC"/>
        </w:rPr>
        <w:t>Management</w:t>
      </w:r>
    </w:p>
    <w:p>
      <w:pPr>
        <w:pStyle w:val="BodyText"/>
        <w:tabs>
          <w:tab w:pos="1845" w:val="left" w:leader="none"/>
          <w:tab w:pos="2965" w:val="left" w:leader="none"/>
          <w:tab w:pos="4432" w:val="left" w:leader="none"/>
          <w:tab w:pos="5396" w:val="left" w:leader="none"/>
          <w:tab w:pos="6268" w:val="left" w:leader="none"/>
          <w:tab w:pos="7966" w:val="left" w:leader="none"/>
          <w:tab w:pos="9649" w:val="left" w:leader="none"/>
        </w:tabs>
        <w:spacing w:line="360" w:lineRule="auto" w:before="163"/>
        <w:ind w:left="478" w:right="1055" w:firstLine="0"/>
      </w:pPr>
      <w:r>
        <w:rPr>
          <w:b w:val="0"/>
          <w:color w:val="0066CC"/>
        </w:rPr>
        <w:t>Evaluation includes focused history and anorectal examination; endoscopic assessment is considered when bleeding pattern or risk profile suggests alternate pathology.</w:t>
      </w:r>
    </w:p>
    <w:p>
      <w:pPr>
        <w:spacing w:line="360" w:lineRule="auto" w:before="0"/>
        <w:ind w:left="478" w:right="0" w:firstLine="0"/>
        <w:jc w:val="left"/>
        <w:rPr>
          <w:sz w:val="28"/>
        </w:rPr>
      </w:pPr>
      <w:r>
        <w:rPr>
          <w:b w:val="0"/>
          <w:color w:val="0066CC"/>
        </w:rPr>
        <w:t>Office-based procedures (for selected internal hemorrhoids) include rubber band ligation, infrared coagulation, and sclerotherapy.</w:t>
      </w:r>
    </w:p>
    <w:p>
      <w:pPr>
        <w:pStyle w:val="ListParagraph"/>
        <w:numPr>
          <w:ilvl w:val="0"/>
          <w:numId w:val="8"/>
        </w:numPr>
        <w:tabs>
          <w:tab w:pos="1198" w:val="left" w:leader="none"/>
          <w:tab w:pos="1199" w:val="left" w:leader="none"/>
        </w:tabs>
        <w:spacing w:line="240" w:lineRule="auto" w:before="1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Infrared coagulation</w:t>
      </w:r>
    </w:p>
    <w:p>
      <w:pPr>
        <w:pStyle w:val="ListParagraph"/>
        <w:numPr>
          <w:ilvl w:val="0"/>
          <w:numId w:val="8"/>
        </w:numPr>
        <w:tabs>
          <w:tab w:pos="1198" w:val="left" w:leader="none"/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Bipolar or related coagulation methods (where available)</w:t>
      </w:r>
    </w:p>
    <w:p>
      <w:pPr>
        <w:pStyle w:val="ListParagraph"/>
        <w:numPr>
          <w:ilvl w:val="0"/>
          <w:numId w:val="8"/>
        </w:numPr>
        <w:tabs>
          <w:tab w:pos="1198" w:val="left" w:leader="none"/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Sclerotherapy can be considered for selected bleeding internal hemorrhoids.</w:t>
      </w:r>
    </w:p>
    <w:p>
      <w:pPr>
        <w:pStyle w:val="ListParagraph"/>
        <w:numPr>
          <w:ilvl w:val="0"/>
          <w:numId w:val="8"/>
        </w:numPr>
        <w:tabs>
          <w:tab w:pos="1198" w:val="left" w:leader="none"/>
          <w:tab w:pos="1199" w:val="left" w:leader="none"/>
          <w:tab w:pos="2419" w:val="left" w:leader="none"/>
          <w:tab w:pos="2874" w:val="left" w:leader="none"/>
          <w:tab w:pos="4234" w:val="left" w:leader="none"/>
          <w:tab w:pos="5174" w:val="left" w:leader="none"/>
          <w:tab w:pos="5584" w:val="left" w:leader="none"/>
          <w:tab w:pos="6258" w:val="left" w:leader="none"/>
          <w:tab w:pos="7464" w:val="left" w:leader="none"/>
          <w:tab w:pos="8013" w:val="left" w:leader="none"/>
          <w:tab w:pos="8915" w:val="left" w:leader="none"/>
        </w:tabs>
        <w:spacing w:line="360" w:lineRule="auto" w:before="160" w:after="0"/>
        <w:ind w:left="1198" w:right="1062" w:hanging="360"/>
        <w:jc w:val="left"/>
        <w:rPr>
          <w:sz w:val="28"/>
        </w:rPr>
      </w:pPr>
      <w:r>
        <w:rPr>
          <w:b w:val="0"/>
          <w:color w:val="0066CC"/>
        </w:rPr>
        <w:t>Procedure choice depends on symptom pattern, hemorrhoid grade, and local expertise.</w:t>
      </w:r>
    </w:p>
    <w:p>
      <w:pPr>
        <w:pStyle w:val="Heading3"/>
        <w:spacing w:before="2"/>
        <w:rPr>
          <w:i/>
          <w:u w:val="none"/>
        </w:rPr>
      </w:pPr>
      <w:r>
        <w:rPr>
          <w:b w:val="0"/>
          <w:color w:val="0066CC"/>
        </w:rPr>
        <w:t>Surgical treatment</w:t>
      </w:r>
    </w:p>
    <w:p>
      <w:pPr>
        <w:pStyle w:val="ListParagraph"/>
        <w:numPr>
          <w:ilvl w:val="0"/>
          <w:numId w:val="8"/>
        </w:numPr>
        <w:tabs>
          <w:tab w:pos="1198" w:val="left" w:leader="none"/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Rubber band ligation is typically an office procedure for grade I–III internal hemorrhoids.</w:t>
      </w:r>
    </w:p>
    <w:p>
      <w:pPr>
        <w:pStyle w:val="ListParagraph"/>
        <w:numPr>
          <w:ilvl w:val="0"/>
          <w:numId w:val="8"/>
        </w:numPr>
        <w:tabs>
          <w:tab w:pos="1198" w:val="left" w:leader="none"/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Excisional hemorrhoidectomy is generally reserved for high-grade prolapse, substantial external disease, or failure of office procedures.</w:t>
      </w:r>
    </w:p>
    <w:p>
      <w:pPr>
        <w:pStyle w:val="ListParagraph"/>
        <w:numPr>
          <w:ilvl w:val="0"/>
          <w:numId w:val="8"/>
        </w:numPr>
        <w:tabs>
          <w:tab w:pos="1198" w:val="left" w:leader="none"/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Stapled hemorrhoidopexy and hemorrhoidal artery ligation may be options in selected patients; discuss recurrence and pain profiles during shared decision-making.</w:t>
      </w:r>
    </w:p>
    <w:p>
      <w:pPr>
        <w:spacing w:after="0" w:line="240" w:lineRule="auto"/>
        <w:jc w:val="left"/>
        <w:rPr>
          <w:sz w:val="28"/>
        </w:rPr>
        <w:sectPr>
          <w:pgSz w:w="12240" w:h="15840"/>
          <w:pgMar w:header="0" w:footer="854" w:top="1360" w:bottom="1040" w:left="940" w:right="360"/>
        </w:sectPr>
      </w:pPr>
    </w:p>
    <w:p>
      <w:pPr>
        <w:pStyle w:val="Heading3"/>
        <w:rPr>
          <w:i/>
          <w:u w:val="none"/>
        </w:rPr>
      </w:pPr>
      <w:r>
        <w:rPr>
          <w:b w:val="0"/>
          <w:color w:val="0066CC"/>
        </w:rPr>
        <w:t>Nursing care</w:t>
      </w:r>
    </w:p>
    <w:p>
      <w:pPr>
        <w:pStyle w:val="ListParagraph"/>
        <w:numPr>
          <w:ilvl w:val="0"/>
          <w:numId w:val="16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Teach perianal hygiene and moisture control to reduce irritation.</w:t>
      </w:r>
    </w:p>
    <w:p>
      <w:pPr>
        <w:pStyle w:val="ListParagraph"/>
        <w:numPr>
          <w:ilvl w:val="0"/>
          <w:numId w:val="16"/>
        </w:numPr>
        <w:tabs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Coach patients to avoid prolonged straining and excessive time on the toilet.</w:t>
      </w:r>
    </w:p>
    <w:p>
      <w:pPr>
        <w:pStyle w:val="ListParagraph"/>
        <w:numPr>
          <w:ilvl w:val="0"/>
          <w:numId w:val="16"/>
        </w:numPr>
        <w:tabs>
          <w:tab w:pos="1199" w:val="left" w:leader="none"/>
        </w:tabs>
        <w:spacing w:line="240" w:lineRule="auto" w:before="162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Promote high-fiber eating patterns (whole grains, fruits, vegetables) and individualized bowel plans.</w:t>
      </w:r>
    </w:p>
    <w:p>
      <w:pPr>
        <w:pStyle w:val="ListParagraph"/>
        <w:numPr>
          <w:ilvl w:val="0"/>
          <w:numId w:val="16"/>
        </w:numPr>
        <w:tabs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Encourage adequate daily fluid intake unless contraindicated.</w:t>
      </w:r>
    </w:p>
    <w:p>
      <w:pPr>
        <w:pStyle w:val="ListParagraph"/>
        <w:numPr>
          <w:ilvl w:val="0"/>
          <w:numId w:val="16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Prevent constipation using diet, activity, and prescribed agents as needed.</w:t>
      </w:r>
    </w:p>
    <w:p>
      <w:pPr>
        <w:pStyle w:val="ListParagraph"/>
        <w:numPr>
          <w:ilvl w:val="0"/>
          <w:numId w:val="16"/>
        </w:numPr>
        <w:tabs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Use warm sitz baths for comfort; avoid very hot water and over-cleansing.</w:t>
      </w:r>
    </w:p>
    <w:p>
      <w:pPr>
        <w:pStyle w:val="ListParagraph"/>
        <w:numPr>
          <w:ilvl w:val="0"/>
          <w:numId w:val="16"/>
        </w:numPr>
        <w:tabs>
          <w:tab w:pos="1199" w:val="left" w:leader="none"/>
        </w:tabs>
        <w:spacing w:line="362" w:lineRule="auto" w:before="160" w:after="0"/>
        <w:ind w:left="1198" w:right="1063" w:hanging="360"/>
        <w:jc w:val="left"/>
        <w:rPr>
          <w:sz w:val="28"/>
        </w:rPr>
      </w:pPr>
      <w:r>
        <w:rPr>
          <w:b w:val="0"/>
          <w:color w:val="0066CC"/>
        </w:rPr>
        <w:t>Topical agents may provide short-term symptom relief; avoid prolonged unsupervised steroid preparations due to skin effects.</w:t>
      </w:r>
    </w:p>
    <w:p>
      <w:pPr>
        <w:pStyle w:val="ListParagraph"/>
        <w:numPr>
          <w:ilvl w:val="0"/>
          <w:numId w:val="16"/>
        </w:numPr>
        <w:tabs>
          <w:tab w:pos="1199" w:val="left" w:leader="none"/>
        </w:tabs>
        <w:spacing w:line="317" w:lineRule="exact" w:before="0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Encourage early ambulation and activity as tolerated unless a specific postoperative order limits activity.</w:t>
      </w:r>
    </w:p>
    <w:p>
      <w:pPr>
        <w:pStyle w:val="Heading1"/>
        <w:numPr>
          <w:ilvl w:val="0"/>
          <w:numId w:val="2"/>
        </w:numPr>
        <w:tabs>
          <w:tab w:pos="479" w:val="left" w:leader="none"/>
        </w:tabs>
        <w:spacing w:line="240" w:lineRule="auto" w:before="159" w:after="0"/>
        <w:ind w:left="478" w:right="0" w:hanging="361"/>
        <w:jc w:val="left"/>
        <w:rPr>
          <w:rFonts w:ascii="Wingdings" w:hAnsi="Wingdings"/>
          <w:b w:val="0"/>
          <w:i w:val="0"/>
          <w:u w:val="none"/>
        </w:rPr>
      </w:pPr>
      <w:r>
        <w:rPr>
          <w:b w:val="0"/>
          <w:color w:val="0066CC"/>
        </w:rPr>
        <w:t>General patient education for anorectal conditions</w:t>
      </w:r>
    </w:p>
    <w:p>
      <w:pPr>
        <w:pStyle w:val="ListParagraph"/>
        <w:numPr>
          <w:ilvl w:val="0"/>
          <w:numId w:val="17"/>
        </w:numPr>
        <w:tabs>
          <w:tab w:pos="1199" w:val="left" w:leader="none"/>
        </w:tabs>
        <w:spacing w:line="240" w:lineRule="auto" w:before="186" w:after="0"/>
        <w:ind w:left="1198" w:right="0" w:hanging="361"/>
        <w:jc w:val="both"/>
        <w:rPr>
          <w:sz w:val="28"/>
        </w:rPr>
      </w:pPr>
      <w:r>
        <w:rPr>
          <w:b w:val="0"/>
          <w:color w:val="0066CC"/>
        </w:rPr>
        <w:t>Patient education improves symptom control, treatment adherence, and confidence in self-management at home.</w:t>
      </w:r>
    </w:p>
    <w:p>
      <w:pPr>
        <w:pStyle w:val="ListParagraph"/>
        <w:numPr>
          <w:ilvl w:val="0"/>
          <w:numId w:val="17"/>
        </w:numPr>
        <w:tabs>
          <w:tab w:pos="1199" w:val="left" w:leader="none"/>
        </w:tabs>
        <w:spacing w:line="360" w:lineRule="auto" w:before="160" w:after="0"/>
        <w:ind w:left="1198" w:right="1052" w:hanging="360"/>
        <w:jc w:val="both"/>
        <w:rPr>
          <w:sz w:val="28"/>
        </w:rPr>
      </w:pPr>
      <w:r>
        <w:rPr>
          <w:b w:val="0"/>
          <w:color w:val="0066CC"/>
        </w:rPr>
        <w:t>Teach gentle cleansing with lukewarm water and careful drying; avoid fragranced wipes and harsh soaps.</w:t>
      </w:r>
    </w:p>
    <w:p>
      <w:pPr>
        <w:pStyle w:val="ListParagraph"/>
        <w:numPr>
          <w:ilvl w:val="0"/>
          <w:numId w:val="17"/>
        </w:numPr>
        <w:tabs>
          <w:tab w:pos="1199" w:val="left" w:leader="none"/>
        </w:tabs>
        <w:spacing w:line="240" w:lineRule="auto" w:before="1" w:after="0"/>
        <w:ind w:left="1198" w:right="0" w:hanging="361"/>
        <w:jc w:val="both"/>
        <w:rPr>
          <w:sz w:val="28"/>
        </w:rPr>
      </w:pPr>
      <w:r>
        <w:rPr>
          <w:b w:val="0"/>
          <w:color w:val="0066CC"/>
        </w:rPr>
        <w:t>Avoid vigorous rubbing with toilet tissue; use soft, non-irritating materials.</w:t>
      </w:r>
    </w:p>
    <w:p>
      <w:pPr>
        <w:pStyle w:val="ListParagraph"/>
        <w:numPr>
          <w:ilvl w:val="0"/>
          <w:numId w:val="17"/>
        </w:numPr>
        <w:tabs>
          <w:tab w:pos="1199" w:val="left" w:leader="none"/>
        </w:tabs>
        <w:spacing w:line="362" w:lineRule="auto" w:before="161" w:after="0"/>
        <w:ind w:left="1198" w:right="1055" w:hanging="360"/>
        <w:jc w:val="both"/>
        <w:rPr>
          <w:sz w:val="28"/>
        </w:rPr>
      </w:pPr>
      <w:r>
        <w:rPr>
          <w:b w:val="0"/>
          <w:color w:val="0066CC"/>
        </w:rPr>
        <w:t>Explain safe sitz-bath technique and temperature checks to prevent thermal injury.</w:t>
      </w:r>
    </w:p>
    <w:p>
      <w:pPr>
        <w:pStyle w:val="ListParagraph"/>
        <w:numPr>
          <w:ilvl w:val="0"/>
          <w:numId w:val="17"/>
        </w:numPr>
        <w:tabs>
          <w:tab w:pos="1199" w:val="left" w:leader="none"/>
        </w:tabs>
        <w:spacing w:line="360" w:lineRule="auto" w:before="0" w:after="0"/>
        <w:ind w:left="1198" w:right="1052" w:hanging="360"/>
        <w:jc w:val="both"/>
        <w:rPr>
          <w:sz w:val="28"/>
        </w:rPr>
      </w:pPr>
      <w:r>
        <w:rPr>
          <w:b w:val="0"/>
          <w:color w:val="0066CC"/>
        </w:rPr>
        <w:t>After anorectal surgery, transient sphincter spasm and pain may occur, especially in the first 24–48 hours.</w:t>
      </w:r>
    </w:p>
    <w:p>
      <w:pPr>
        <w:pStyle w:val="ListParagraph"/>
        <w:numPr>
          <w:ilvl w:val="0"/>
          <w:numId w:val="17"/>
        </w:numPr>
        <w:tabs>
          <w:tab w:pos="1199" w:val="left" w:leader="none"/>
        </w:tabs>
        <w:spacing w:line="360" w:lineRule="auto" w:before="0" w:after="0"/>
        <w:ind w:left="1198" w:right="1058" w:hanging="360"/>
        <w:jc w:val="both"/>
        <w:rPr>
          <w:sz w:val="28"/>
        </w:rPr>
      </w:pPr>
      <w:r>
        <w:rPr>
          <w:b w:val="0"/>
          <w:color w:val="0066CC"/>
        </w:rPr>
        <w:t>Teach multimodal pain strategies (prescribed analgesics, local comfort measures, and bowel-softening plans) to reduce pain-related stool withholding.</w:t>
      </w:r>
    </w:p>
    <w:p>
      <w:pPr>
        <w:pStyle w:val="ListParagraph"/>
        <w:numPr>
          <w:ilvl w:val="0"/>
          <w:numId w:val="17"/>
        </w:numPr>
        <w:tabs>
          <w:tab w:pos="1199" w:val="left" w:leader="none"/>
        </w:tabs>
        <w:spacing w:line="360" w:lineRule="auto" w:before="0" w:after="0"/>
        <w:ind w:left="1198" w:right="1061" w:hanging="360"/>
        <w:jc w:val="both"/>
        <w:rPr>
          <w:sz w:val="28"/>
        </w:rPr>
      </w:pPr>
      <w:r>
        <w:rPr>
          <w:b w:val="0"/>
          <w:color w:val="0066CC"/>
        </w:rPr>
        <w:t>Sitz baths 2–4 times daily may reduce soreness and sphincter spasm in many patients.</w:t>
      </w:r>
    </w:p>
    <w:p>
      <w:pPr>
        <w:pStyle w:val="ListParagraph"/>
        <w:numPr>
          <w:ilvl w:val="0"/>
          <w:numId w:val="17"/>
        </w:numPr>
        <w:tabs>
          <w:tab w:pos="1199" w:val="left" w:leader="none"/>
        </w:tabs>
        <w:spacing w:line="362" w:lineRule="auto" w:before="0" w:after="0"/>
        <w:ind w:left="1198" w:right="1054" w:hanging="360"/>
        <w:jc w:val="both"/>
        <w:rPr>
          <w:sz w:val="28"/>
        </w:rPr>
      </w:pPr>
      <w:r>
        <w:rPr>
          <w:b w:val="0"/>
          <w:color w:val="0066CC"/>
        </w:rPr>
        <w:t>Topical anesthetics can be used selectively for short-term local discomfort as prescribed.</w:t>
      </w:r>
    </w:p>
    <w:p>
      <w:pPr>
        <w:spacing w:after="0" w:line="362" w:lineRule="auto"/>
        <w:jc w:val="both"/>
        <w:rPr>
          <w:sz w:val="28"/>
        </w:rPr>
        <w:sectPr>
          <w:pgSz w:w="12240" w:h="15840"/>
          <w:pgMar w:header="0" w:footer="854" w:top="1360" w:bottom="1040" w:left="940" w:right="360"/>
        </w:sectPr>
      </w:pPr>
    </w:p>
    <w:p>
      <w:r>
        <w:rPr>
          <w:b/>
          <w:color w:val="009900"/>
        </w:rPr>
        <w:t>Nursing practice points (added):</w:t>
      </w:r>
    </w:p>
    <w:p>
      <w:r>
        <w:rPr>
          <w:b w:val="0"/>
          <w:color w:val="009900"/>
        </w:rPr>
        <w:t>• Prioritize red-flag triage: hemodynamic instability, sepsis signs, uncontrolled pain, urinary retention, or significant ongoing bleeding require urgent escalation.</w:t>
      </w:r>
    </w:p>
    <w:p>
      <w:r>
        <w:rPr>
          <w:b/>
          <w:color w:val="009900"/>
        </w:rPr>
        <w:t>Suggested further reading / guideline sources</w:t>
      </w:r>
    </w:p>
    <w:p>
      <w:r>
        <w:rPr>
          <w:b w:val="0"/>
          <w:color w:val="009900"/>
        </w:rPr>
        <w:t>• ASCRS Clinical Practice Guideline: Management of Hemorrhoids (2024 update).</w:t>
      </w:r>
    </w:p>
    <w:p>
      <w:r>
        <w:rPr>
          <w:b w:val="0"/>
          <w:color w:val="009900"/>
        </w:rPr>
        <w:t>• ASCRS Clinical Practice Guideline: Anal Fissure (2023).</w:t>
      </w:r>
    </w:p>
    <w:p>
      <w:r>
        <w:rPr>
          <w:b w:val="0"/>
          <w:color w:val="009900"/>
        </w:rPr>
        <w:t>• ASCRS Clinical Practice Guideline: Anorectal Abscess, Fistula-in-Ano, and Rectovaginal Fistula (2022).</w:t>
      </w:r>
    </w:p>
    <w:p>
      <w:r>
        <w:rPr>
          <w:b w:val="0"/>
          <w:color w:val="009900"/>
        </w:rPr>
        <w:t>• ACG Clinical Guideline: Management of Benign Anorectal Disorders (2021).</w:t>
      </w:r>
    </w:p>
    <w:p>
      <w:r>
        <w:rPr>
          <w:b w:val="0"/>
          <w:color w:val="009900"/>
        </w:rPr>
        <w:t>• Additional ASCRS/ESCP guidance on fecal incontinence, rectal prolapse, and pilonidal disease.</w:t>
      </w:r>
    </w:p>
    <w:p>
      <w:r>
        <w:rPr>
          <w:b w:val="0"/>
          <w:color w:val="009900"/>
        </w:rPr>
        <w:t>• Document stool pattern (frequency, Bristol stool type, straining, urgency) and response to bowel regimen at each contact.</w:t>
      </w:r>
    </w:p>
    <w:p>
      <w:r>
        <w:rPr>
          <w:b w:val="0"/>
          <w:color w:val="009900"/>
        </w:rPr>
        <w:t>• Use trauma-informed communication to reduce embarrassment and improve follow-up adherence.</w:t>
      </w:r>
    </w:p>
    <w:p>
      <w:pPr>
        <w:pStyle w:val="ListParagraph"/>
        <w:numPr>
          <w:ilvl w:val="0"/>
          <w:numId w:val="17"/>
        </w:numPr>
        <w:tabs>
          <w:tab w:pos="1199" w:val="left" w:leader="none"/>
        </w:tabs>
        <w:spacing w:line="360" w:lineRule="auto" w:before="59" w:after="0"/>
        <w:ind w:left="1198" w:right="1059" w:hanging="360"/>
        <w:jc w:val="left"/>
        <w:rPr>
          <w:sz w:val="28"/>
        </w:rPr>
      </w:pPr>
      <w:r>
        <w:rPr>
          <w:b w:val="0"/>
          <w:color w:val="0066CC"/>
        </w:rPr>
        <w:t>Medication teaching should prioritize evidence-based bowel regimens, safe analgesia, and condition-specific topical agents; avoid unnecessary sedatives.</w:t>
      </w:r>
    </w:p>
    <w:p>
      <w:pPr>
        <w:pStyle w:val="ListParagraph"/>
        <w:numPr>
          <w:ilvl w:val="0"/>
          <w:numId w:val="17"/>
        </w:numPr>
        <w:tabs>
          <w:tab w:pos="1199" w:val="left" w:leader="none"/>
        </w:tabs>
        <w:spacing w:line="362" w:lineRule="auto" w:before="0" w:after="0"/>
        <w:ind w:left="838" w:right="1053" w:firstLine="0"/>
        <w:jc w:val="left"/>
        <w:rPr>
          <w:sz w:val="28"/>
        </w:rPr>
      </w:pPr>
      <w:r>
        <w:rPr>
          <w:b w:val="0"/>
          <w:color w:val="0066CC"/>
        </w:rPr>
        <w:t>Patients are usually more adherent when pain is adequately controlled and clear return precautions are provided.</w:t>
      </w:r>
    </w:p>
    <w:p>
      <w:pPr>
        <w:pStyle w:val="BodyText"/>
        <w:spacing w:line="317" w:lineRule="exact"/>
        <w:ind w:firstLine="0"/>
      </w:pPr>
      <w:r>
        <w:rPr>
          <w:b w:val="0"/>
          <w:color w:val="0066CC"/>
        </w:rPr>
        <w:t>Escalate care for fever, increasing pain/swelling, urinary retention, heavy bleeding, purulent discharge, or inability to pass stool/gas.</w:t>
      </w:r>
    </w:p>
    <w:p>
      <w:pPr>
        <w:pStyle w:val="ListParagraph"/>
        <w:numPr>
          <w:ilvl w:val="0"/>
          <w:numId w:val="18"/>
        </w:numPr>
        <w:tabs>
          <w:tab w:pos="1199" w:val="left" w:leader="none"/>
        </w:tabs>
        <w:spacing w:line="360" w:lineRule="auto" w:before="159" w:after="0"/>
        <w:ind w:left="1198" w:right="1056" w:hanging="360"/>
        <w:jc w:val="left"/>
        <w:rPr>
          <w:sz w:val="28"/>
        </w:rPr>
      </w:pPr>
      <w:r>
        <w:rPr>
          <w:b w:val="0"/>
          <w:color w:val="0066CC"/>
        </w:rPr>
        <w:t>When wet dressings are used, protect surrounding skin with barrier ointment to reduce maceration.</w:t>
      </w:r>
    </w:p>
    <w:p>
      <w:pPr>
        <w:pStyle w:val="ListParagraph"/>
        <w:numPr>
          <w:ilvl w:val="0"/>
          <w:numId w:val="18"/>
        </w:numPr>
        <w:tabs>
          <w:tab w:pos="1199" w:val="left" w:leader="none"/>
        </w:tabs>
        <w:spacing w:line="362" w:lineRule="auto" w:before="0" w:after="0"/>
        <w:ind w:left="1198" w:right="1063" w:hanging="360"/>
        <w:jc w:val="left"/>
        <w:rPr>
          <w:sz w:val="28"/>
        </w:rPr>
      </w:pPr>
      <w:r>
        <w:rPr>
          <w:b w:val="0"/>
          <w:color w:val="0066CC"/>
        </w:rPr>
        <w:t>Positioning, short walks, and pressure relief can reduce edema and discomfort based on patient tolerance.</w:t>
      </w:r>
    </w:p>
    <w:p>
      <w:pPr>
        <w:pStyle w:val="BodyText"/>
        <w:spacing w:before="4"/>
        <w:ind w:left="0" w:firstLine="0"/>
        <w:rPr>
          <w:sz w:val="41"/>
        </w:rPr>
      </w:pPr>
    </w:p>
    <w:p>
      <w:pPr>
        <w:pStyle w:val="Heading1"/>
        <w:numPr>
          <w:ilvl w:val="0"/>
          <w:numId w:val="2"/>
        </w:numPr>
        <w:tabs>
          <w:tab w:pos="479" w:val="left" w:leader="none"/>
        </w:tabs>
        <w:spacing w:line="240" w:lineRule="auto" w:before="0" w:after="0"/>
        <w:ind w:left="478" w:right="0" w:hanging="361"/>
        <w:jc w:val="left"/>
        <w:rPr>
          <w:rFonts w:ascii="Wingdings" w:hAnsi="Wingdings"/>
          <w:b w:val="0"/>
          <w:i w:val="0"/>
          <w:u w:val="none"/>
        </w:rPr>
      </w:pPr>
      <w:r>
        <w:rPr>
          <w:b w:val="0"/>
          <w:color w:val="0066CC"/>
        </w:rPr>
        <w:t>Common nursing diagnoses with anorectal disorders</w:t>
      </w:r>
    </w:p>
    <w:p>
      <w:pPr>
        <w:pStyle w:val="Heading2"/>
        <w:numPr>
          <w:ilvl w:val="0"/>
          <w:numId w:val="19"/>
        </w:numPr>
        <w:tabs>
          <w:tab w:pos="1199" w:val="left" w:leader="none"/>
        </w:tabs>
        <w:spacing w:line="240" w:lineRule="auto" w:before="185" w:after="0"/>
        <w:ind w:left="1198" w:right="0" w:hanging="361"/>
        <w:jc w:val="left"/>
        <w:rPr>
          <w:b w:val="0"/>
        </w:rPr>
      </w:pPr>
      <w:r>
        <w:rPr>
          <w:b w:val="0"/>
          <w:color w:val="0066CC"/>
        </w:rPr>
        <w:t>Constipation related to</w:t>
      </w:r>
    </w:p>
    <w:p>
      <w:pPr>
        <w:pStyle w:val="BodyText"/>
        <w:spacing w:before="161"/>
        <w:ind w:left="478" w:firstLine="0"/>
      </w:pPr>
      <w:r>
        <w:rPr>
          <w:b w:val="0"/>
          <w:color w:val="0066CC"/>
        </w:rPr>
        <w:t>Pain-related defecation avoidance, fear of painful stool passage, and inadequate bowel-habit support.</w:t>
      </w:r>
    </w:p>
    <w:p>
      <w:pPr>
        <w:pStyle w:val="Heading2"/>
        <w:spacing w:before="163"/>
        <w:ind w:firstLine="0"/>
      </w:pPr>
      <w:r>
        <w:rPr>
          <w:b w:val="0"/>
          <w:color w:val="0066CC"/>
        </w:rPr>
        <w:t>As evidenced by</w:t>
      </w:r>
    </w:p>
    <w:p>
      <w:pPr>
        <w:pStyle w:val="BodyText"/>
        <w:spacing w:line="360" w:lineRule="auto" w:before="160"/>
        <w:ind w:left="478" w:firstLine="0"/>
      </w:pPr>
      <w:r>
        <w:rPr>
          <w:b w:val="0"/>
          <w:color w:val="0066CC"/>
        </w:rPr>
        <w:t>Reduced stool frequency, passage of hard stool, abdominal distention, straining, and sensation of incomplete evacuation.</w:t>
      </w:r>
    </w:p>
    <w:p>
      <w:pPr>
        <w:pStyle w:val="Heading2"/>
        <w:spacing w:line="321" w:lineRule="exact" w:before="0"/>
        <w:ind w:firstLine="0"/>
      </w:pPr>
      <w:r>
        <w:rPr>
          <w:b w:val="0"/>
          <w:color w:val="0066CC"/>
        </w:rPr>
        <w:t>Nursing goal</w:t>
      </w:r>
    </w:p>
    <w:p>
      <w:pPr>
        <w:pStyle w:val="BodyText"/>
        <w:spacing w:before="163"/>
        <w:ind w:left="478" w:firstLine="0"/>
      </w:pPr>
      <w:r>
        <w:rPr>
          <w:b w:val="0"/>
          <w:color w:val="0066CC"/>
        </w:rPr>
        <w:t>Patient reestablishes and maintains a regular, comfortable elimination pattern.</w:t>
      </w:r>
    </w:p>
    <w:p>
      <w:pPr>
        <w:pStyle w:val="Heading2"/>
        <w:numPr>
          <w:ilvl w:val="0"/>
          <w:numId w:val="19"/>
        </w:numPr>
        <w:tabs>
          <w:tab w:pos="1199" w:val="left" w:leader="none"/>
        </w:tabs>
        <w:spacing w:line="240" w:lineRule="auto" w:before="160" w:after="0"/>
        <w:ind w:left="1198" w:right="0" w:hanging="361"/>
        <w:jc w:val="left"/>
      </w:pPr>
      <w:hyperlink r:id="rId20">
        <w:r>
          <w:rPr>
            <w:b w:val="0"/>
          </w:rPr>
          <w:t>Pain</w:t>
        </w:r>
      </w:hyperlink>
      <w:r>
        <w:rPr>
          <w:b w:val="0"/>
          <w:color w:val="0066CC"/>
        </w:rPr>
        <w:t>Acute or chronic pain related to</w:t>
      </w:r>
    </w:p>
    <w:p>
      <w:pPr>
        <w:pStyle w:val="BodyText"/>
        <w:spacing w:before="161"/>
        <w:ind w:left="838" w:firstLine="0"/>
      </w:pPr>
      <w:r>
        <w:rPr>
          <w:b w:val="0"/>
          <w:color w:val="0066CC"/>
        </w:rPr>
        <w:t>Rectal tissue inflammation, edema, thrombosis, sphincter spasm, or postoperative tissue injury.</w:t>
      </w:r>
    </w:p>
    <w:p>
      <w:pPr>
        <w:pStyle w:val="Heading2"/>
        <w:ind w:firstLine="0"/>
      </w:pPr>
      <w:r>
        <w:rPr>
          <w:b w:val="0"/>
          <w:color w:val="0066CC"/>
        </w:rPr>
        <w:t>As evidenced by</w:t>
      </w:r>
    </w:p>
    <w:p>
      <w:pPr>
        <w:pStyle w:val="BodyText"/>
        <w:spacing w:before="161"/>
        <w:ind w:left="478" w:firstLine="0"/>
      </w:pPr>
      <w:r>
        <w:rPr>
          <w:b w:val="0"/>
          <w:color w:val="0066CC"/>
        </w:rPr>
        <w:t>Patient verbal report of pain, guarding behavior, facial grimacing, and activity limitation.</w:t>
      </w:r>
    </w:p>
    <w:p>
      <w:pPr>
        <w:pStyle w:val="Heading2"/>
        <w:spacing w:before="163"/>
        <w:ind w:left="478" w:firstLine="0"/>
      </w:pPr>
      <w:r>
        <w:rPr>
          <w:b w:val="0"/>
          <w:color w:val="0066CC"/>
        </w:rPr>
        <w:t>Nursing goal</w:t>
      </w:r>
    </w:p>
    <w:p>
      <w:pPr>
        <w:pStyle w:val="BodyText"/>
        <w:spacing w:before="160"/>
        <w:ind w:firstLine="0"/>
      </w:pPr>
      <w:r>
        <w:rPr>
          <w:b w:val="0"/>
          <w:color w:val="0066CC"/>
        </w:rPr>
        <w:t>Patient reports clinically meaningful pain reduction and improved functional comfort.</w:t>
      </w:r>
    </w:p>
    <w:p>
      <w:pPr>
        <w:pStyle w:val="ListParagraph"/>
        <w:numPr>
          <w:ilvl w:val="0"/>
          <w:numId w:val="19"/>
        </w:numPr>
        <w:tabs>
          <w:tab w:pos="1199" w:val="left" w:leader="none"/>
        </w:tabs>
        <w:spacing w:line="240" w:lineRule="auto" w:before="161" w:after="0"/>
        <w:ind w:left="1198" w:right="0" w:hanging="361"/>
        <w:jc w:val="left"/>
        <w:rPr>
          <w:sz w:val="28"/>
        </w:rPr>
      </w:pPr>
      <w:r>
        <w:rPr>
          <w:b w:val="0"/>
          <w:color w:val="0066CC"/>
        </w:rPr>
        <w:t>Impaired comfort related to</w:t>
      </w:r>
    </w:p>
    <w:p>
      <w:pPr>
        <w:pStyle w:val="BodyText"/>
        <w:spacing w:before="160"/>
        <w:ind w:left="478" w:firstLine="0"/>
      </w:pPr>
      <w:r>
        <w:rPr>
          <w:b w:val="0"/>
          <w:color w:val="0066CC"/>
        </w:rPr>
        <w:t>Persistent anorectal pain, drainage, pruritus, and sleep disruption secondary to anorectal disease.</w:t>
      </w:r>
    </w:p>
    <w:p>
      <w:pPr>
        <w:pStyle w:val="Heading2"/>
        <w:spacing w:before="163"/>
        <w:ind w:left="687" w:firstLine="0"/>
      </w:pPr>
      <w:r>
        <w:rPr>
          <w:b w:val="0"/>
          <w:color w:val="0066CC"/>
        </w:rPr>
        <w:t>As evidenced by</w:t>
      </w:r>
    </w:p>
    <w:p>
      <w:pPr>
        <w:spacing w:after="0"/>
        <w:sectPr>
          <w:pgSz w:w="12240" w:h="15840"/>
          <w:pgMar w:header="0" w:footer="854" w:top="1360" w:bottom="1040" w:left="940" w:right="360"/>
        </w:sectPr>
      </w:pPr>
    </w:p>
    <w:p>
      <w:pPr>
        <w:pStyle w:val="BodyText"/>
        <w:spacing w:before="59"/>
        <w:ind w:left="478" w:firstLine="0"/>
      </w:pPr>
      <w:r>
        <w:rPr>
          <w:b w:val="0"/>
          <w:color w:val="0066CC"/>
        </w:rPr>
        <w:t>Irritability, fatigue, restlessness, anxiety, and reduced participation in self-care activities.</w:t>
      </w:r>
    </w:p>
    <w:p>
      <w:pPr>
        <w:pStyle w:val="Heading2"/>
        <w:ind w:left="757" w:firstLine="0"/>
      </w:pPr>
      <w:r>
        <w:rPr>
          <w:b w:val="0"/>
          <w:color w:val="0066CC"/>
        </w:rPr>
        <w:t>Nursing goal</w:t>
      </w:r>
    </w:p>
    <w:p>
      <w:pPr>
        <w:pStyle w:val="BodyText"/>
        <w:spacing w:before="161"/>
        <w:ind w:left="478" w:firstLine="0"/>
      </w:pPr>
      <w:r>
        <w:rPr>
          <w:b w:val="0"/>
          <w:color w:val="0066CC"/>
        </w:rPr>
        <w:t>Patient reports improved comfort and ability to perform daily self-care.</w:t>
      </w:r>
    </w:p>
    <w:p>
      <w:pPr>
        <w:pStyle w:val="BodyText"/>
        <w:spacing w:before="162"/>
        <w:ind w:left="478" w:firstLine="0"/>
      </w:pPr>
      <w:r>
        <w:rPr>
          <w:b w:val="0"/>
          <w:color w:val="0066CC"/>
        </w:rPr>
        <w:t>Patient demonstrates knowledge of individualized comfort measures and warning symptoms requiring reassessment.</w:t>
      </w:r>
    </w:p>
    <w:sectPr>
      <w:pgSz w:w="12240" w:h="15840"/>
      <w:pgMar w:header="0" w:footer="854" w:top="1360" w:bottom="1040" w:left="9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Wingdings">
    <w:altName w:val="Wingdings"/>
    <w:charset w:val="2"/>
    <w:family w:val="auto"/>
    <w:pitch w:val="variable"/>
  </w:font>
  <w:font w:name="Courier New">
    <w:altName w:val="Courier New"/>
    <w:charset w:val="0"/>
    <w:family w:val="modern"/>
    <w:pitch w:val="fixed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rPr>
        <w:sz w:val="20"/>
      </w:rPr>
    </w:pPr>
    <w:r>
      <w:rPr/>
      <w:pict>
        <v:shape style="position:absolute;margin-left:72.402pt;margin-top:735.279968pt;width:504.7pt;height:25.2pt;mso-position-horizontal-relative:page;mso-position-vertical-relative:page;z-index:-15954432" id="docshape4" coordorigin="1448,14706" coordsize="10094,504" path="m11542,14706l10822,14706,1448,14706,1448,14735,10822,14735,10822,15210,11542,15210,11542,14706xe" filled="true" fillcolor="#000000" stroked="false">
          <v:path arrowok="t"/>
          <v:fill type="solid"/>
          <w10:wrap type="none"/>
        </v:shap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51.380005pt;margin-top:742.286011pt;width:21.2pt;height:16.05pt;mso-position-horizontal-relative:page;mso-position-vertical-relative:page;z-index:-15953920" type="#_x0000_t202" id="docshape5" filled="false" stroked="false">
          <v:textbox inset="0,0,0,0">
            <w:txbxContent>
              <w:p>
                <w:pPr>
                  <w:pStyle w:val="BodyText"/>
                  <w:spacing w:line="306" w:lineRule="exact"/>
                  <w:ind w:left="60" w:firstLine="0"/>
                  <w:rPr>
                    <w:rFonts w:ascii="Calibri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color w:val="FFFFFF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8">
    <w:multiLevelType w:val="hybridMultilevel"/>
    <w:lvl w:ilvl="0">
      <w:start w:val="1"/>
      <w:numFmt w:val="decimal"/>
      <w:lvlText w:val="%1."/>
      <w:lvlJc w:val="left"/>
      <w:pPr>
        <w:ind w:left="1198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2"/>
      <w:numFmt w:val="decimal"/>
      <w:lvlText w:val="%1."/>
      <w:lvlJc w:val="left"/>
      <w:pPr>
        <w:ind w:left="119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19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19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19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."/>
      <w:lvlJc w:val="left"/>
      <w:pPr>
        <w:ind w:left="1198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1198" w:hanging="360"/>
      </w:pPr>
      <w:rPr>
        <w:rFonts w:hint="default" w:ascii="Times New Roman" w:hAnsi="Times New Roman" w:eastAsia="Times New Roman" w:cs="Times New Roman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19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"/>
      <w:lvlJc w:val="left"/>
      <w:pPr>
        <w:ind w:left="119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1198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198" w:hanging="360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"/>
      <w:lvlJc w:val="left"/>
      <w:pPr>
        <w:ind w:left="119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o"/>
      <w:lvlJc w:val="left"/>
      <w:pPr>
        <w:ind w:left="119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1198" w:hanging="360"/>
        <w:jc w:val="left"/>
      </w:pPr>
      <w:rPr>
        <w:rFonts w:hint="default" w:ascii="Times New Roman" w:hAnsi="Times New Roman" w:eastAsia="Times New Roman" w:cs="Times New Roman"/>
        <w:b/>
        <w:bCs/>
        <w:i/>
        <w:iCs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58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1198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119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119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478" w:hanging="361"/>
      </w:pPr>
      <w:rPr>
        <w:rFonts w:hint="default" w:ascii="Wingdings" w:hAnsi="Wingdings" w:eastAsia="Wingdings" w:cs="Wingdings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7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"/>
      <w:lvlJc w:val="left"/>
      <w:pPr>
        <w:ind w:left="478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3"/>
        <w:w w:val="100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8" w:hanging="361"/>
      </w:pPr>
      <w:rPr>
        <w:rFonts w:hint="default"/>
        <w:lang w:val="en-US" w:eastAsia="en-US" w:bidi="ar-SA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98" w:hanging="36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8" w:hanging="361"/>
      <w:outlineLvl w:val="1"/>
    </w:pPr>
    <w:rPr>
      <w:rFonts w:ascii="Times New Roman" w:hAnsi="Times New Roman" w:eastAsia="Times New Roman" w:cs="Times New Roman"/>
      <w:b/>
      <w:bCs/>
      <w:i/>
      <w:iCs/>
      <w:sz w:val="32"/>
      <w:szCs w:val="3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0"/>
      <w:ind w:left="1198" w:hanging="361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9"/>
      <w:ind w:left="478"/>
      <w:outlineLvl w:val="3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8"/>
      <w:ind w:left="1035"/>
    </w:pPr>
    <w:rPr>
      <w:rFonts w:ascii="Times New Roman" w:hAnsi="Times New Roman" w:eastAsia="Times New Roman" w:cs="Times New Roman"/>
      <w:b/>
      <w:bCs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1198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footer" Target="footer1.xml"/><Relationship Id="rId9" Type="http://schemas.openxmlformats.org/officeDocument/2006/relationships/hyperlink" Target="https://www.kenhub.com/en/library/anatomy/the-digestive-system" TargetMode="External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hyperlink" Target="https://teachmesurgery.com/perioperative/general-complications/sepsis/" TargetMode="External"/><Relationship Id="rId14" Type="http://schemas.openxmlformats.org/officeDocument/2006/relationships/hyperlink" Target="https://teachmesurgery.com/skills/surgical/abscess-drainage/" TargetMode="External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png"/><Relationship Id="rId20" Type="http://schemas.openxmlformats.org/officeDocument/2006/relationships/hyperlink" Target="https://nurseslabs.com/acute-pain/" TargetMode="External"/><Relationship Id="rId2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Dr.yasser shalby</dc:creator>
  <dcterms:created xsi:type="dcterms:W3CDTF">2026-02-19T19:50:38Z</dcterms:created>
  <dcterms:modified xsi:type="dcterms:W3CDTF">2026-02-19T19:50:38Z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</Properties>
</file>