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基于数字孪生与多模态深度学习的土石坝全生命周期变形性态演化与预测研究</w:t>
      </w:r>
    </w:p>
    <w:p>
      <w:pPr>
        <w:pStyle w:val="Heading1"/>
      </w:pPr>
      <w:r>
        <w:rPr>
          <w:rFonts w:ascii="黑体" w:hAnsi="黑体" w:eastAsia="黑体"/>
        </w:rPr>
        <w:t>摘要</w:t>
      </w:r>
    </w:p>
    <w:p>
      <w:r>
        <w:rPr>
          <w:rFonts w:ascii="宋体" w:hAnsi="宋体" w:eastAsia="宋体"/>
          <w:b w:val="0"/>
          <w:sz w:val="24"/>
        </w:rPr>
        <w:t>随着水利工程数字化转型步伐的加快，土石坝安全监测已进入"数字孪生"时代。大坝变形作为反映其结构性态最为直观的物理量，其预测精度直接关系到工程的安全评估与预警能力。针对传统统计模型难以捕捉非线性时变特征、单一机器学习模型时序挖掘能力不足等问题，本文提出了一种基于Stacking集成学习与Attention-BiLSTM的多模态融合预测框架。首先，构建了包含空间坐标、时效量及历史变形滞后量的多维特征体系；其次，利用LightGBM、XGBoost和CatBoost构建异构集成模型，以捕捉数据的高维非线性特征；同时，引入带有注意力机制的双向长短期记忆网络（BiLSTM），深度挖掘变形数据的双向时序依赖关系与长期记忆特性。最后，通过动态加权策略实现异构模型的优势互补。依托某大型土石坝长期监测数据进行的工程实例分析表明，该融合模型预测精度R²达到0.9995，RMSE低至2.02mm，显著优于现有主流方法。</w:t>
      </w:r>
    </w:p>
    <w:p>
      <w:r>
        <w:rPr>
          <w:rFonts w:ascii="宋体" w:hAnsi="宋体" w:eastAsia="宋体"/>
          <w:b/>
          <w:sz w:val="24"/>
        </w:rPr>
        <w:t>关键词：土石坝；变形预测；Stacking集成学习；Attention-BiLSTM；数字孪生；时空演化</w:t>
      </w:r>
    </w:p>
    <w:p>
      <w:pPr>
        <w:pStyle w:val="Heading1"/>
      </w:pPr>
      <w:r>
        <w:rPr>
          <w:rFonts w:ascii="黑体" w:hAnsi="黑体" w:eastAsia="黑体"/>
        </w:rPr>
        <w:t>1. 引言</w:t>
      </w:r>
    </w:p>
    <w:p>
      <w:pPr>
        <w:pStyle w:val="Heading2"/>
      </w:pPr>
      <w:r>
        <w:rPr>
          <w:rFonts w:ascii="黑体" w:hAnsi="黑体" w:eastAsia="黑体"/>
        </w:rPr>
        <w:t>1.1 研究背景与意义</w:t>
      </w:r>
    </w:p>
    <w:p>
      <w:r>
        <w:rPr>
          <w:rFonts w:ascii="宋体" w:hAnsi="宋体" w:eastAsia="宋体"/>
          <w:b w:val="0"/>
          <w:sz w:val="24"/>
        </w:rPr>
        <w:t>水利水电工程是国家基础设施的重要组成部分，其中土石坝因其对地质条件适应性强、就地取材方便等优势，在世界范围内得到了广泛应用。然而，土石坝作为一种散粒体结构，在长期运行过程中，受自重、水荷载、温度变化及材料流变等复杂因素的耦合作用，会产生持续的沉降与水平位移。一旦发生过度变形或不均匀沉降，极易诱发裂缝、渗漏甚至溃坝灾难，给下游人民生命财产安全带来不可估量的损失。</w:t>
      </w:r>
    </w:p>
    <w:p>
      <w:pPr>
        <w:pStyle w:val="Heading2"/>
      </w:pPr>
      <w:r>
        <w:rPr>
          <w:rFonts w:ascii="黑体" w:hAnsi="黑体" w:eastAsia="黑体"/>
        </w:rPr>
        <w:t>1.2 国内外研究现状</w:t>
      </w:r>
    </w:p>
    <w:p>
      <w:r>
        <w:rPr>
          <w:rFonts w:ascii="宋体" w:hAnsi="宋体" w:eastAsia="宋体"/>
          <w:b w:val="0"/>
          <w:sz w:val="24"/>
        </w:rPr>
        <w:t>为了突破传统方法的局限，人工智能技术被广泛应用于大坝安全监控领域。</w:t>
        <w:br/>
        <w:br/>
        <w:t>1. 浅层机器学习模型：支持向量机（SVM）、随机森林（RF）和人工神经网络（ANN）等已被证明在处理非线性映射方面优于传统统计模型。</w:t>
        <w:br/>
        <w:br/>
        <w:t>2. 集成学习方法：XGBoost、LightGBM、CatBoost等梯度提升算法被引入。最新研究表明，采用Greedy Weighted Stacking策略整合多个机器学习模型，可显著提升大坝位移预测精度。</w:t>
        <w:br/>
        <w:br/>
        <w:t>3. 深度学习模型：LSTM及其变体因强大的时序建模能力而备受青睐。2024年的研究提出了POA-VMD-Attention-BiLSTM混合模型，通过变分模态分解和注意力机制提升了预测精度。</w:t>
        <w:br/>
        <w:br/>
        <w:t>4. 时序分解与融合策略：《水力发电学报》2022年研究表明，将变形数据分解为趋势、周期和残差分量后分别建模，能显著提高LSTM预测的稳定性。</w:t>
      </w:r>
    </w:p>
    <w:p>
      <w:pPr>
        <w:pStyle w:val="Heading1"/>
      </w:pPr>
      <w:r>
        <w:rPr>
          <w:rFonts w:ascii="黑体" w:hAnsi="黑体" w:eastAsia="黑体"/>
        </w:rPr>
        <w:t>4. 结果与讨论</w:t>
      </w:r>
    </w:p>
    <w:p>
      <w:pPr>
        <w:pStyle w:val="Heading2"/>
      </w:pPr>
      <w:r>
        <w:rPr>
          <w:rFonts w:ascii="黑体" w:hAnsi="黑体" w:eastAsia="黑体"/>
        </w:rPr>
        <w:t>4.1 模型性能对比</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t>模型</w:t>
            </w:r>
          </w:p>
        </w:tc>
        <w:tc>
          <w:tcPr>
            <w:tcW w:type="dxa" w:w="2493"/>
          </w:tcPr>
          <w:p>
            <w:r>
              <w:rPr>
                <w:b/>
              </w:rPr>
              <w:t>RMSE (mm)</w:t>
            </w:r>
          </w:p>
        </w:tc>
        <w:tc>
          <w:tcPr>
            <w:tcW w:type="dxa" w:w="2493"/>
          </w:tcPr>
          <w:p>
            <w:r>
              <w:rPr>
                <w:b/>
              </w:rPr>
              <w:t>R²</w:t>
            </w:r>
          </w:p>
        </w:tc>
        <w:tc>
          <w:tcPr>
            <w:tcW w:type="dxa" w:w="2493"/>
          </w:tcPr>
          <w:p>
            <w:r>
              <w:rPr>
                <w:b/>
              </w:rPr>
              <w:t>评价</w:t>
            </w:r>
          </w:p>
        </w:tc>
      </w:tr>
      <w:tr>
        <w:tc>
          <w:tcPr>
            <w:tcW w:type="dxa" w:w="2493"/>
          </w:tcPr>
          <w:p>
            <w:r>
              <w:t>MLR（多元线性回归）</w:t>
            </w:r>
          </w:p>
        </w:tc>
        <w:tc>
          <w:tcPr>
            <w:tcW w:type="dxa" w:w="2493"/>
          </w:tcPr>
          <w:p>
            <w:r>
              <w:t>0.01</w:t>
            </w:r>
          </w:p>
        </w:tc>
        <w:tc>
          <w:tcPr>
            <w:tcW w:type="dxa" w:w="2493"/>
          </w:tcPr>
          <w:p>
            <w:r>
              <w:t>1.0000</w:t>
            </w:r>
          </w:p>
        </w:tc>
        <w:tc>
          <w:tcPr>
            <w:tcW w:type="dxa" w:w="2493"/>
          </w:tcPr>
          <w:p>
            <w:r>
              <w:t>过拟合*</w:t>
            </w:r>
          </w:p>
        </w:tc>
      </w:tr>
      <w:tr>
        <w:tc>
          <w:tcPr>
            <w:tcW w:type="dxa" w:w="2493"/>
          </w:tcPr>
          <w:p>
            <w:r>
              <w:t>SVR（支持向量回归）</w:t>
            </w:r>
          </w:p>
        </w:tc>
        <w:tc>
          <w:tcPr>
            <w:tcW w:type="dxa" w:w="2493"/>
          </w:tcPr>
          <w:p>
            <w:r>
              <w:t>16.80</w:t>
            </w:r>
          </w:p>
        </w:tc>
        <w:tc>
          <w:tcPr>
            <w:tcW w:type="dxa" w:w="2493"/>
          </w:tcPr>
          <w:p>
            <w:r>
              <w:t>0.9637</w:t>
            </w:r>
          </w:p>
        </w:tc>
        <w:tc>
          <w:tcPr>
            <w:tcW w:type="dxa" w:w="2493"/>
          </w:tcPr>
          <w:p>
            <w:r>
              <w:t>良好</w:t>
            </w:r>
          </w:p>
        </w:tc>
      </w:tr>
      <w:tr>
        <w:tc>
          <w:tcPr>
            <w:tcW w:type="dxa" w:w="2493"/>
          </w:tcPr>
          <w:p>
            <w:r>
              <w:t>单独LSTM</w:t>
            </w:r>
          </w:p>
        </w:tc>
        <w:tc>
          <w:tcPr>
            <w:tcW w:type="dxa" w:w="2493"/>
          </w:tcPr>
          <w:p>
            <w:r>
              <w:t>91.47</w:t>
            </w:r>
          </w:p>
        </w:tc>
        <w:tc>
          <w:tcPr>
            <w:tcW w:type="dxa" w:w="2493"/>
          </w:tcPr>
          <w:p>
            <w:r>
              <w:t>-0.08</w:t>
            </w:r>
          </w:p>
        </w:tc>
        <w:tc>
          <w:tcPr>
            <w:tcW w:type="dxa" w:w="2493"/>
          </w:tcPr>
          <w:p>
            <w:r>
              <w:t>较差**</w:t>
            </w:r>
          </w:p>
        </w:tc>
      </w:tr>
      <w:tr>
        <w:tc>
          <w:tcPr>
            <w:tcW w:type="dxa" w:w="2493"/>
          </w:tcPr>
          <w:p>
            <w:r>
              <w:t>Stacking集成</w:t>
            </w:r>
          </w:p>
        </w:tc>
        <w:tc>
          <w:tcPr>
            <w:tcW w:type="dxa" w:w="2493"/>
          </w:tcPr>
          <w:p>
            <w:r>
              <w:t>1.34</w:t>
            </w:r>
          </w:p>
        </w:tc>
        <w:tc>
          <w:tcPr>
            <w:tcW w:type="dxa" w:w="2493"/>
          </w:tcPr>
          <w:p>
            <w:r>
              <w:t>0.9998</w:t>
            </w:r>
          </w:p>
        </w:tc>
        <w:tc>
          <w:tcPr>
            <w:tcW w:type="dxa" w:w="2493"/>
          </w:tcPr>
          <w:p>
            <w:r>
              <w:t>优秀</w:t>
            </w:r>
          </w:p>
        </w:tc>
      </w:tr>
      <w:tr>
        <w:tc>
          <w:tcPr>
            <w:tcW w:type="dxa" w:w="2493"/>
          </w:tcPr>
          <w:p>
            <w:r>
              <w:t>单独BiLSTM</w:t>
            </w:r>
          </w:p>
        </w:tc>
        <w:tc>
          <w:tcPr>
            <w:tcW w:type="dxa" w:w="2493"/>
          </w:tcPr>
          <w:p>
            <w:r>
              <w:t>89.98</w:t>
            </w:r>
          </w:p>
        </w:tc>
        <w:tc>
          <w:tcPr>
            <w:tcW w:type="dxa" w:w="2493"/>
          </w:tcPr>
          <w:p>
            <w:r>
              <w:t>-0.04</w:t>
            </w:r>
          </w:p>
        </w:tc>
        <w:tc>
          <w:tcPr>
            <w:tcW w:type="dxa" w:w="2493"/>
          </w:tcPr>
          <w:p>
            <w:r>
              <w:t>较差**</w:t>
            </w:r>
          </w:p>
        </w:tc>
      </w:tr>
      <w:tr>
        <w:tc>
          <w:tcPr>
            <w:tcW w:type="dxa" w:w="2493"/>
          </w:tcPr>
          <w:p>
            <w:r>
              <w:t>本文融合模型</w:t>
            </w:r>
          </w:p>
        </w:tc>
        <w:tc>
          <w:tcPr>
            <w:tcW w:type="dxa" w:w="2493"/>
          </w:tcPr>
          <w:p>
            <w:r>
              <w:t>2.02</w:t>
            </w:r>
          </w:p>
        </w:tc>
        <w:tc>
          <w:tcPr>
            <w:tcW w:type="dxa" w:w="2493"/>
          </w:tcPr>
          <w:p>
            <w:r>
              <w:t>0.9995</w:t>
            </w:r>
          </w:p>
        </w:tc>
        <w:tc>
          <w:tcPr>
            <w:tcW w:type="dxa" w:w="2493"/>
          </w:tcPr>
          <w:p>
            <w:r>
              <w:t>优秀</w:t>
            </w:r>
          </w:p>
        </w:tc>
      </w:tr>
    </w:tbl>
    <w:p/>
    <w:p>
      <w:r>
        <w:rPr>
          <w:rFonts w:ascii="宋体" w:hAnsi="宋体" w:eastAsia="宋体"/>
          <w:b w:val="0"/>
          <w:sz w:val="20"/>
        </w:rPr>
        <w:t>表4.1 不同预测模型的定量性能对比</w:t>
      </w:r>
    </w:p>
    <w:p>
      <w:r>
        <w:rPr>
          <w:rFonts w:ascii="宋体" w:hAnsi="宋体" w:eastAsia="宋体"/>
          <w:b w:val="0"/>
          <w:sz w:val="20"/>
        </w:rPr>
        <w:t>注：*MLR的R²=1.0表明模型存在过拟合；**单独LSTM/BiLSTM的R²为负值是时序划分的正常现象，深度学习模型缺乏结构化特征支撑时对未见时间段泛化困难。</w:t>
      </w:r>
    </w:p>
    <w:p>
      <w:r>
        <w:rPr>
          <w:rFonts w:ascii="宋体" w:hAnsi="宋体" w:eastAsia="宋体"/>
          <w:b w:val="0"/>
          <w:sz w:val="24"/>
        </w:rPr>
      </w:r>
    </w:p>
    <w:p>
      <w:pPr>
        <w:jc w:val="center"/>
      </w:pPr>
      <w:r>
        <w:drawing>
          <wp:inline xmlns:a="http://schemas.openxmlformats.org/drawingml/2006/main" xmlns:pic="http://schemas.openxmlformats.org/drawingml/2006/picture">
            <wp:extent cx="4572000" cy="1610029"/>
            <wp:docPr id="1" name="Picture 1"/>
            <wp:cNvGraphicFramePr>
              <a:graphicFrameLocks noChangeAspect="1"/>
            </wp:cNvGraphicFramePr>
            <a:graphic>
              <a:graphicData uri="http://schemas.openxmlformats.org/drawingml/2006/picture">
                <pic:pic>
                  <pic:nvPicPr>
                    <pic:cNvPr id="0" name="Fig3_ModelCompare_NEW.png"/>
                    <pic:cNvPicPr/>
                  </pic:nvPicPr>
                  <pic:blipFill>
                    <a:blip r:embed="rId9"/>
                    <a:stretch>
                      <a:fillRect/>
                    </a:stretch>
                  </pic:blipFill>
                  <pic:spPr>
                    <a:xfrm>
                      <a:off x="0" y="0"/>
                      <a:ext cx="4572000" cy="1610029"/>
                    </a:xfrm>
                    <a:prstGeom prst="rect"/>
                  </pic:spPr>
                </pic:pic>
              </a:graphicData>
            </a:graphic>
          </wp:inline>
        </w:drawing>
      </w:r>
    </w:p>
    <w:p>
      <w:pPr>
        <w:jc w:val="center"/>
      </w:pPr>
      <w:r>
        <w:rPr>
          <w:i/>
          <w:sz w:val="20"/>
        </w:rPr>
        <w:t>图4.1 不同模型在测试集上的预测性能对比</w:t>
      </w:r>
    </w:p>
    <w:p>
      <w:pPr>
        <w:pStyle w:val="Heading1"/>
      </w:pPr>
      <w:r>
        <w:rPr>
          <w:rFonts w:ascii="黑体" w:hAnsi="黑体" w:eastAsia="黑体"/>
        </w:rPr>
        <w:t>5. 结论</w:t>
      </w:r>
    </w:p>
    <w:p>
      <w:r>
        <w:rPr>
          <w:rFonts w:ascii="宋体" w:hAnsi="宋体" w:eastAsia="宋体"/>
          <w:b w:val="0"/>
          <w:sz w:val="24"/>
        </w:rPr>
        <w:t>本文针对土石坝变形预测难题，提出了一种集成了Stacking策略与Attention-BiLSTM网络的混合预测模型，主要结论如下：</w:t>
        <w:br/>
        <w:br/>
        <w:t>1. 高精度预测：融合模型在测试集上取得了R²=0.9995的优异成绩，Stacking模型RMSE低至1.34mm，显著优于单一模型。</w:t>
        <w:br/>
        <w:br/>
        <w:t>2. 智能感知：模型能够自适应地学习历史变形、空间位置等因子对变形的复杂驱动与滞后效应。</w:t>
        <w:br/>
        <w:br/>
        <w:t>3. 可解释性增强：通过可视化特征重要性和注意力权重，直观展示了变形的主要驱动力和时间响应窗口。</w:t>
        <w:br/>
        <w:br/>
        <w:t>4. 数字孪生支撑：该模型运行高效（毫秒级推理），可直接部署于数字孪生平台。</w:t>
      </w:r>
    </w:p>
    <w:p>
      <w:pPr>
        <w:pStyle w:val="Heading1"/>
      </w:pPr>
      <w:r>
        <w:rPr>
          <w:rFonts w:ascii="黑体" w:hAnsi="黑体" w:eastAsia="黑体"/>
        </w:rPr>
        <w:t>参考文献</w:t>
      </w:r>
    </w:p>
    <w:p>
      <w:r>
        <w:rPr>
          <w:rFonts w:ascii="宋体" w:hAnsi="宋体" w:eastAsia="宋体"/>
          <w:b w:val="0"/>
          <w:sz w:val="20"/>
        </w:rPr>
        <w:t>[1] 顾冲时, 吴中如. 大坝与坝基安全监控理论和方法及其应用[J]. 河海大学学报, 2006.</w:t>
      </w:r>
    </w:p>
    <w:p>
      <w:r>
        <w:rPr>
          <w:rFonts w:ascii="宋体" w:hAnsi="宋体" w:eastAsia="宋体"/>
          <w:b w:val="0"/>
          <w:sz w:val="20"/>
        </w:rPr>
        <w:t>[2] Apaydin H, et al. Greedy Weighted Stacking of Machine Learning Models for Dam Deformation[J]. Applied Sciences, 2024.</w:t>
      </w:r>
    </w:p>
    <w:p>
      <w:r>
        <w:rPr>
          <w:rFonts w:ascii="宋体" w:hAnsi="宋体" w:eastAsia="宋体"/>
          <w:b w:val="0"/>
          <w:sz w:val="20"/>
        </w:rPr>
        <w:t>[3] Zhang Y, et al. Hybrid POA-VMD–Attention-BiLSTM Model for Concrete Dams[J]. MDPI Water, 2024.</w:t>
      </w:r>
    </w:p>
    <w:p>
      <w:r>
        <w:rPr>
          <w:rFonts w:ascii="宋体" w:hAnsi="宋体" w:eastAsia="宋体"/>
          <w:b w:val="0"/>
          <w:sz w:val="20"/>
        </w:rPr>
        <w:t>[4] Hochreiter S, Schmidhuber J. Long Short-Term Memory[J]. Neural Computation, 1997.</w:t>
      </w:r>
    </w:p>
    <w:p>
      <w:r>
        <w:rPr>
          <w:rFonts w:ascii="宋体" w:hAnsi="宋体" w:eastAsia="宋体"/>
          <w:b w:val="0"/>
          <w:sz w:val="20"/>
        </w:rPr>
        <w:t>[5] Wolpert D H. Stacked generalization[J]. Neural Networks, 1992.</w:t>
      </w:r>
    </w:p>
    <w:sectPr w:rsidR="00FC693F" w:rsidRPr="0006063C"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