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n7c5s4jmtze" w:id="0"/>
      <w:bookmarkEnd w:id="0"/>
      <w:r w:rsidDel="00000000" w:rsidR="00000000" w:rsidRPr="00000000">
        <w:rPr>
          <w:rtl w:val="0"/>
        </w:rPr>
        <w:t xml:space="preserve">Motivation</w:t>
      </w:r>
    </w:p>
    <w:p w:rsidR="00000000" w:rsidDel="00000000" w:rsidP="00000000" w:rsidRDefault="00000000" w:rsidRPr="00000000" w14:paraId="00000002">
      <w:pPr>
        <w:rPr/>
      </w:pPr>
      <w:r w:rsidDel="00000000" w:rsidR="00000000" w:rsidRPr="00000000">
        <w:rPr>
          <w:rtl w:val="0"/>
        </w:rPr>
        <w:t xml:space="preserve">We have annotations on a minute long video that had to be split into 2 second chunks for labeling sake. We need to make sure the annotations of the first chunk are consistent with the annotations of all the other 29 chunks. In our case, it’s the classification of each bbox. We need a way to quickly go through all 30 chunks and make sure the same classification from chunk number 1 persists in chunk 2, chunk 3,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Please download this sample set of jsons to refer to</w:t>
        </w:r>
      </w:hyperlink>
      <w:r w:rsidDel="00000000" w:rsidR="00000000" w:rsidRPr="00000000">
        <w:rPr>
          <w:rtl w:val="0"/>
        </w:rPr>
        <w:t xml:space="preserve">. Should make the following instructions a little more clear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fq1v4y5fn9f4" w:id="1"/>
      <w:bookmarkEnd w:id="1"/>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t xml:space="preserve">Create a python script that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ingests a folder of jsons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Reads them in sorted order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Downloads and displays the corresponding videos in order (under the “video_url” key)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Displays the each frame with corresponding annotations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Bounding box aka bbox</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classification[“answer”][“value”]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user of the script should be able to control frame by frame using arrow keys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last frame of video 1 should lead into the first frame of video 2 with the use of the arrow key (basically, display all the videos as 1 large video)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If the user taps inside a bounding box, they should be prompted with a text box to input a new number to change the classification</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That new number should then be propagated throughout the corresponding chunk. For example, if the user changes the classification from 3 to 8,</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loop through all the annotations in the chunk corresponding to that frame</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Change any other classifications that match the old classification of 3 into 8</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Save a set of new jsons corresponding to the initial folder of jsons. Except with updated classifications if the user made edits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a template on visualization of video, refer to: </w:t>
      </w:r>
      <w:hyperlink r:id="rId7">
        <w:r w:rsidDel="00000000" w:rsidR="00000000" w:rsidRPr="00000000">
          <w:rPr>
            <w:color w:val="1155cc"/>
            <w:u w:val="single"/>
            <w:rtl w:val="0"/>
          </w:rPr>
          <w:t xml:space="preserve">https://colab.research.google.com/github/Labelbox/labelbox-python/blob/develop/examples/label_export/video.ipynb#scrollTo=uMFffzIKY_jc</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v6H68-3Qq95202jUoz343QpjmsZO8LIm/view?usp=sharing" TargetMode="External"/><Relationship Id="rId7" Type="http://schemas.openxmlformats.org/officeDocument/2006/relationships/hyperlink" Target="https://colab.research.google.com/github/Labelbox/labelbox-python/blob/develop/examples/label_export/video.ipynb#scrollTo=uMFffzIKY_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