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dyText"/>
      </w:pPr>
      <w:r>
        <w:t xml:space="preserve"/>
      </w:r>
    </w:p>
    <w:p>
      <w:pPr>
        <w:pStyle w:val="Title"/>
        <w:jc w:val="center"/>
      </w:pPr>
      <w:r>
        <w:t xml:space="preserve">How Project-Based Learning Enhances Pre-Service Science Teachers' Integrative Lesson Planning Competence: A Structural Equation Modeling Approach</w:t>
      </w:r>
    </w:p>
    <w:p>
      <w:pPr>
        <w:pStyle w:val="BodyText"/>
      </w:pPr>
      <w:r>
        <w:t xml:space="preserve"/>
      </w:r>
    </w:p>
    <w:p>
      <w:pPr>
        <w:pStyle w:val="MetaText"/>
        <w:jc w:val="center"/>
      </w:pPr>
      <w:r>
        <w:rPr>
          <w:b/>
          <w:bCs/>
        </w:rPr>
        <w:t xml:space="preserve">Authors:</w:t>
      </w:r>
      <w:r>
        <w:t xml:space="preserve"> [Author names with ORCID]</w:t>
      </w:r>
    </w:p>
    <w:p>
      <w:pPr>
        <w:pStyle w:val="BodyText"/>
      </w:pPr>
      <w:r>
        <w:t xml:space="preserve"/>
      </w:r>
    </w:p>
    <w:p>
      <w:pPr>
        <w:pStyle w:val="MetaText"/>
        <w:jc w:val="center"/>
      </w:pPr>
      <w:r>
        <w:rPr>
          <w:b/>
          <w:bCs/>
        </w:rPr>
        <w:t xml:space="preserve">Affiliations:</w:t>
      </w:r>
      <w:r>
        <w:t xml:space="preserve"> [Institution, City, Country]</w:t>
      </w:r>
    </w:p>
    <w:p>
      <w:pPr>
        <w:pStyle w:val="BodyText"/>
      </w:pPr>
      <w:r>
        <w:t xml:space="preserve"/>
      </w:r>
    </w:p>
    <w:p>
      <w:pPr>
        <w:pStyle w:val="MetaText"/>
        <w:jc w:val="center"/>
      </w:pPr>
      <w:r>
        <w:t xml:space="preserve">*</w:t>
      </w:r>
      <w:r>
        <w:rPr>
          <w:b/>
          <w:bCs/>
        </w:rPr>
        <w:t xml:space="preserve">Corresponding author:</w:t>
      </w:r>
      <w:r>
        <w:t xml:space="preserve"> [email]</w:t>
      </w:r>
    </w:p>
    <w:p>
      <w:pPr>
        <w:pStyle w:val="BodyText"/>
      </w:pPr>
      <w:r>
        <w:t xml:space="preserve"/>
      </w:r>
    </w:p>
    <w:p>
      <w:pPr>
        <w:pStyle w:val="MetaText"/>
        <w:jc w:val="both"/>
      </w:pPr>
      <w:r>
        <w:rPr>
          <w:b/>
          <w:bCs/>
        </w:rPr>
        <w:t xml:space="preserve">Keywords:</w:t>
      </w:r>
      <w:r>
        <w:t xml:space="preserve"> Project-Based Learning, TPACK, STEM Education, Education for Sustainable Development, Integrative Lesson Planning, Pre-Service Science Teachers, PLS-SEM, Teacher Design Competence</w:t>
      </w:r>
    </w:p>
    <w:p>
      <w:pPr>
        <w:pStyle w:val="BodyText"/>
      </w:pPr>
      <w:r>
        <w:t xml:space="preserve"/>
      </w:r>
    </w:p>
    <w:p>
      <w:pPr>
        <w:pStyle w:val="Heading1"/>
        <w:jc w:val="left"/>
      </w:pPr>
      <w:r>
        <w:t xml:space="preserve">Abstract</w:t>
      </w:r>
    </w:p>
    <w:p>
      <w:pPr>
        <w:pStyle w:val="BodyText"/>
      </w:pPr>
      <w:r>
        <w:t xml:space="preserve"/>
      </w:r>
    </w:p>
    <w:p>
      <w:pPr>
        <w:pStyle w:val="BodyText"/>
      </w:pPr>
      <w:r>
        <w:t xml:space="preserve">Preparing pre-service science teachers to design lesson plans that simultaneously integrate Technological Pedagogical Content Knowledge (TPACK), Science-Technology-Engineering-Mathematics (STEM), and Education for Sustainable Development (ESD) remains a critical yet under-researched challenge in teacher education. This study examined the effect of Project-Based Learning (PjBL) on the development of these three integration dimensions and overall integrative lesson plan quality, and modeled the structural relationships among them. A pre-experimental one-group pretest-posttest design was employed with 95 pre-service science teachers at a public university in Indonesia. Data were collected through rubric-based assessments of lesson plans across 14 indicators and a PjBL implementation quality questionnaire, then analyzed using paired tests, normalized gain (N-Gain) analysis, and Partial Least Squares Structural Equation Modeling (PLS-SEM) with bootstrap resampling. All constructs improved significantly following the PjBL intervention, with large effect sizes (Cohen's </w:t>
      </w:r>
      <w:r>
        <w:rPr>
          <w:i/>
          <w:iCs/>
        </w:rPr>
        <w:t xml:space="preserve">d</w:t>
      </w:r>
      <w:r>
        <w:t xml:space="preserve"> &gt; 2.3) and Medium N-Gain values; however, ESD exhibited the weakest gains, with no participant reaching High N-Gain. PLS-SEM results revealed that PjBL significantly predicted STEM (β = 0.291, </w:t>
      </w:r>
      <w:r>
        <w:rPr>
          <w:i/>
          <w:iCs/>
        </w:rPr>
        <w:t xml:space="preserve">p</w:t>
      </w:r>
      <w:r>
        <w:t xml:space="preserve"> &lt; .001) and TPACK (β = 0.199, </w:t>
      </w:r>
      <w:r>
        <w:rPr>
          <w:i/>
          <w:iCs/>
        </w:rPr>
        <w:t xml:space="preserve">p</w:t>
      </w:r>
      <w:r>
        <w:t xml:space="preserve"> = .027) integration but not ESD (β = 0.188, </w:t>
      </w:r>
      <w:r>
        <w:rPr>
          <w:i/>
          <w:iCs/>
        </w:rPr>
        <w:t xml:space="preserve">p</w:t>
      </w:r>
      <w:r>
        <w:t xml:space="preserve"> = .109). All three dimensions contributed significantly to integrative lesson plan quality with large effect sizes (</w:t>
      </w:r>
      <w:r>
        <w:rPr>
          <w:i/>
          <w:iCs/>
        </w:rPr>
        <w:t xml:space="preserve">f</w:t>
      </w:r>
      <w:r>
        <w:t xml:space="preserve">² &gt; 5.5). A full mediation pattern was observed: PjBL influenced lesson plan quality through the enhancement of integration competences, predominantly via the STEM pathway (VAF = 46.1%), while the ESD pathway was not significant. These findings provide the first empirical test of a structural model positioning TPACK, STEM, and ESD as simultaneous mediating dimensions between PjBL and integrative lesson planning competence, and suggest that PjBL effectively activates STEM and TPACK integration but requires explicit supplementary scaffolding for ESD competence development.</w:t>
      </w:r>
    </w:p>
    <w:p>
      <w:pPr>
        <w:pStyle w:val="BodyText"/>
      </w:pPr>
      <w:r>
        <w:t xml:space="preserve"/>
      </w:r>
    </w:p>
    <w:p>
      <w:pPr>
        <w:pStyle w:val="BodyText"/>
      </w:pPr>
      <w:r>
        <w:t xml:space="preserve"/>
      </w:r>
    </w:p>
    <w:p>
      <w:pPr>
        <w:pStyle w:val="Heading1"/>
        <w:jc w:val="left"/>
      </w:pPr>
      <w:r>
        <w:t xml:space="preserve">1. Introduction</w:t>
      </w:r>
    </w:p>
    <w:p>
      <w:pPr>
        <w:pStyle w:val="BodyText"/>
      </w:pPr>
      <w:r>
        <w:t xml:space="preserve"/>
      </w:r>
    </w:p>
    <w:p>
      <w:pPr>
        <w:pStyle w:val="BodyText"/>
      </w:pPr>
      <w:r>
        <w:t xml:space="preserve">The landscape of science education in the twenty-first century demands that teachers possess a multifaceted competence extending well beyond disciplinary content mastery. Science teachers are now expected to design instruction that meaningfully integrates digital technology, fosters interdisciplinary reasoning, and addresses pressing sustainability challenges (UNESCO, 2017; Kelley &amp; Knowles, 2016). This expectation is particularly acute for pre-service science teachers, whose professional preparation must equip them not merely with theoretical knowledge of individual pedagogical frameworks, but with the practical capacity to weave multiple frameworks into coherent lesson plans. Yet, existing teacher education programs often treat these dimensions—Technological Pedagogical Content Knowledge (TPACK), Science-Technology-Engineering-Mathematics (STEM) integration, and Education for Sustainable Development (ESD)—as separate curricular silos, leaving aspiring teachers to navigate the complexity of integrative lesson design largely on their own.</w:t>
      </w:r>
    </w:p>
    <w:p>
      <w:pPr>
        <w:pStyle w:val="BodyText"/>
      </w:pPr>
      <w:r>
        <w:t xml:space="preserve"/>
      </w:r>
    </w:p>
    <w:p>
      <w:pPr>
        <w:pStyle w:val="BodyText"/>
      </w:pPr>
      <w:r>
        <w:t xml:space="preserve">The ability to design integrative lesson plans—lesson plans that simultaneously embed technology-enhanced pedagogy, interdisciplinary STEM connections, and sustainability perspectives—represents a higher-order professional competence that Brown (2009) termed </w:t>
      </w:r>
      <w:r>
        <w:rPr>
          <w:i/>
          <w:iCs/>
        </w:rPr>
        <w:t xml:space="preserve">teacher design capacity</w:t>
      </w:r>
      <w:r>
        <w:t xml:space="preserve">. This capacity is not a sum of isolated skills but an emergent competence that requires teachers to orchestrate multiple forms of knowledge in concert (McKenney et al., 2015). Mishra and Koehler (2006) articulated one critical component of this orchestration through the TPACK framework, which describes the intersecting knowledge domains that enable teachers to leverage technology for content-specific pedagogy. Subsequent scholarship has extended this integrative logic to STEM education, where effective lesson design demands the purposeful blending of scientific inquiry, technological application, engineering design, and mathematical reasoning (Kelley &amp; Knowles, 2016). More recently, the global imperative for sustainability education has introduced a third integration dimension: ESD competences require teachers to embed sustainability issues, inquiry-based approaches to environmental challenges, and evaluative thinking about socio-scientific dilemmas into their science instruction (UNESCO, 2017; Purwianingsih et al., 2022).</w:t>
      </w:r>
    </w:p>
    <w:p>
      <w:pPr>
        <w:pStyle w:val="BodyText"/>
      </w:pPr>
      <w:r>
        <w:t xml:space="preserve"/>
      </w:r>
    </w:p>
    <w:p>
      <w:pPr>
        <w:pStyle w:val="BodyText"/>
      </w:pPr>
      <w:r>
        <w:t xml:space="preserve">Despite the recognized importance of each dimension, the empirical literature reveals a fragmented landscape. Studies examining TPACK development among pre-service science teachers are abundant (e.g., Offermann et al., 2025; Salleh et al., 2025), as are investigations of STEM integration competence (Tucker et al., 2024; Mansour et al., 2024) and, to a lesser extent, ESD pedagogical capabilities (Purwianingsih et al., 2022; Shumba &amp; Kampamba, 2013). However, these research streams have developed largely in isolation from one another. Few studies have examined how pre-service teachers develop the ability to integrate all three dimensions simultaneously, and no study to date has modeled the structural relationships among TPACK, STEM, and ESD as mediating pathways through which an instructional intervention influences the quality of integrative lesson plans.</w:t>
      </w:r>
    </w:p>
    <w:p>
      <w:pPr>
        <w:pStyle w:val="BodyText"/>
      </w:pPr>
      <w:r>
        <w:t xml:space="preserve"/>
      </w:r>
    </w:p>
    <w:p>
      <w:pPr>
        <w:pStyle w:val="BodyText"/>
      </w:pPr>
      <w:r>
        <w:t xml:space="preserve">Project-Based Learning (PjBL) offers a theoretically compelling intervention for fostering integrative lesson design competence. PjBL, defined as an extended inquiry process structured around authentic driving questions and culminating in publicly shared artifacts (Krajcik &amp; Shin, 2014), naturally elicits the simultaneous activation of multiple knowledge domains. When pre-service science teachers are tasked with designing lesson plans through a PjBL process, they must engage with technology to support inquiry (activating TPACK), draw upon interdisciplinary connections to address authentic problems (activating STEM integration), and consider sustainability dimensions of scientific issues (activating ESD competences). Empirical evidence supports PjBL's effectiveness in developing individual dimensions: Dewi et al. (2022) demonstrated that a PjBL scaffolding model improved pre-service teachers' TPACK, while Novallyan and Nehru (2025) found PjBL to be effective in teacher profession courses. Yet, the mechanism through which PjBL influences integrative lesson planning quality—whether directly or through the mediating enhancement of TPACK, STEM, and ESD competences—remains empirically untested.</w:t>
      </w:r>
    </w:p>
    <w:p>
      <w:pPr>
        <w:pStyle w:val="BodyText"/>
      </w:pPr>
      <w:r>
        <w:t xml:space="preserve"/>
      </w:r>
    </w:p>
    <w:p>
      <w:pPr>
        <w:pStyle w:val="BodyText"/>
      </w:pPr>
      <w:r>
        <w:t xml:space="preserve">This gap is consequential for both theory and practice. Theoretically, understanding whether PjBL operates through dimensional mediation (i.e., PjBL → TPACK/STEM/ESD → lesson plan quality) rather than through direct effects on lesson plan quality would advance our understanding of how pedagogical interventions translate into design competence. Such evidence would refine the Teacher Design Capacity framework (Brown, 2009) by specifying the compositional pathways through which design competence is constructed. Practically, identifying which integration dimension is most responsive to PjBL would enable teacher educators to calibrate their instructional emphasis and scaffolding strategies accordingly—for instance, providing additional support for dimensions that PjBL alone does not sufficiently develop.</w:t>
      </w:r>
    </w:p>
    <w:p>
      <w:pPr>
        <w:pStyle w:val="BodyText"/>
      </w:pPr>
      <w:r>
        <w:t xml:space="preserve"/>
      </w:r>
    </w:p>
    <w:p>
      <w:pPr>
        <w:pStyle w:val="BodyText"/>
      </w:pPr>
      <w:r>
        <w:t xml:space="preserve">The present study addresses these gaps by proposing and testing a structural model in which PjBL serves as the exogenous predictor of three integration dimensions (TPACK, STEM, and ESD), which in turn contribute to the quality of integrative lesson plans. The model is evaluated using Partial Least Squares Structural Equation Modeling (PLS-SEM), a variance-based approach well suited to the exploratory-confirmatory nature of this investigation, the modest sample size (N = 95), and the formative characteristics of several constructs (Hair et al., 2022). Five research questions guide the investigation:</w:t>
      </w:r>
    </w:p>
    <w:p>
      <w:pPr>
        <w:pStyle w:val="BodyText"/>
      </w:pPr>
      <w:r>
        <w:t xml:space="preserve"/>
      </w:r>
    </w:p>
    <w:p>
      <w:pPr>
        <w:pStyle w:val="QuoteText"/>
      </w:pPr>
      <w:r>
        <w:rPr>
          <w:b/>
          <w:bCs/>
        </w:rPr>
        <w:t xml:space="preserve">RQ1.</w:t>
      </w:r>
      <w:r>
        <w:t xml:space="preserve"> How do pre-service science teachers' TPACK, STEM, and ESD integration competences in lesson planning change from pre- to post-PjBL intervention?</w:t>
      </w:r>
    </w:p>
    <w:p>
      <w:pPr>
        <w:pStyle w:val="BodyText"/>
      </w:pPr>
      <w:r>
        <w:t xml:space="preserve"/>
      </w:r>
    </w:p>
    <w:p>
      <w:pPr>
        <w:pStyle w:val="QuoteText"/>
      </w:pPr>
      <w:r>
        <w:rPr>
          <w:b/>
          <w:bCs/>
        </w:rPr>
        <w:t xml:space="preserve">RQ2.</w:t>
      </w:r>
      <w:r>
        <w:t xml:space="preserve"> Does PjBL implementation significantly influence the quality of lesson plan design across the TPACK, STEM, and ESD integration dimensions?</w:t>
      </w:r>
    </w:p>
    <w:p>
      <w:pPr>
        <w:pStyle w:val="BodyText"/>
      </w:pPr>
      <w:r>
        <w:t xml:space="preserve"/>
      </w:r>
    </w:p>
    <w:p>
      <w:pPr>
        <w:pStyle w:val="QuoteText"/>
      </w:pPr>
      <w:r>
        <w:rPr>
          <w:b/>
          <w:bCs/>
        </w:rPr>
        <w:t xml:space="preserve">RQ3.</w:t>
      </w:r>
      <w:r>
        <w:t xml:space="preserve"> Which integration dimension (TPACK, STEM, or ESD) is most strongly influenced by PjBL?</w:t>
      </w:r>
    </w:p>
    <w:p>
      <w:pPr>
        <w:pStyle w:val="BodyText"/>
      </w:pPr>
      <w:r>
        <w:t xml:space="preserve"/>
      </w:r>
    </w:p>
    <w:p>
      <w:pPr>
        <w:pStyle w:val="QuoteText"/>
      </w:pPr>
      <w:r>
        <w:rPr>
          <w:b/>
          <w:bCs/>
        </w:rPr>
        <w:t xml:space="preserve">RQ4.</w:t>
      </w:r>
      <w:r>
        <w:t xml:space="preserve"> How do TPACK, STEM, and ESD integration competences contribute to overall integrative lesson plan quality after PjBL implementation?</w:t>
      </w:r>
    </w:p>
    <w:p>
      <w:pPr>
        <w:pStyle w:val="BodyText"/>
      </w:pPr>
      <w:r>
        <w:t xml:space="preserve"/>
      </w:r>
    </w:p>
    <w:p>
      <w:pPr>
        <w:pStyle w:val="QuoteText"/>
      </w:pPr>
      <w:r>
        <w:rPr>
          <w:b/>
          <w:bCs/>
        </w:rPr>
        <w:t xml:space="preserve">RQ5.</w:t>
      </w:r>
      <w:r>
        <w:t xml:space="preserve"> Do TPACK, STEM, and ESD improvements mediate the effect of PjBL on integrative lesson plan quality?</w:t>
      </w:r>
    </w:p>
    <w:p>
      <w:pPr>
        <w:pStyle w:val="BodyText"/>
      </w:pPr>
      <w:r>
        <w:t xml:space="preserve"/>
      </w:r>
    </w:p>
    <w:p>
      <w:pPr>
        <w:pStyle w:val="BodyText"/>
      </w:pPr>
      <w:r>
        <w:t xml:space="preserve">The following hypotheses are advanced based on the theoretical framework:</w:t>
      </w:r>
    </w:p>
    <w:p>
      <w:pPr>
        <w:pStyle w:val="BodyText"/>
      </w:pPr>
      <w:r>
        <w:t xml:space="preserve"/>
      </w:r>
    </w:p>
    <w:p>
      <w:pPr>
        <w:pStyle w:val="BodyText"/>
        <w:numPr>
          <w:ilvl w:val="0"/>
          <w:numId w:val="2"/>
        </w:numPr>
      </w:pPr>
      <w:r>
        <w:rPr>
          <w:b/>
          <w:bCs/>
        </w:rPr>
        <w:t xml:space="preserve">H1:</w:t>
      </w:r>
      <w:r>
        <w:t xml:space="preserve"> PjBL positively and significantly influences TPACK, STEM, and ESD integration competences.</w:t>
      </w:r>
    </w:p>
    <w:p>
      <w:pPr>
        <w:pStyle w:val="BodyText"/>
        <w:numPr>
          <w:ilvl w:val="0"/>
          <w:numId w:val="2"/>
        </w:numPr>
      </w:pPr>
      <w:r>
        <w:rPr>
          <w:b/>
          <w:bCs/>
        </w:rPr>
        <w:t xml:space="preserve">H2:</w:t>
      </w:r>
      <w:r>
        <w:t xml:space="preserve"> TPACK, STEM, and ESD integration competences significantly contribute to integrative lesson plan quality.</w:t>
      </w:r>
    </w:p>
    <w:p>
      <w:pPr>
        <w:pStyle w:val="BodyText"/>
        <w:numPr>
          <w:ilvl w:val="0"/>
          <w:numId w:val="2"/>
        </w:numPr>
      </w:pPr>
      <w:r>
        <w:rPr>
          <w:b/>
          <w:bCs/>
        </w:rPr>
        <w:t xml:space="preserve">H3:</w:t>
      </w:r>
      <w:r>
        <w:t xml:space="preserve"> TPACK, STEM, and ESD mediate the relationship between PjBL and integrative lesson plan quality.</w:t>
      </w:r>
    </w:p>
    <w:p>
      <w:pPr>
        <w:pStyle w:val="BodyText"/>
      </w:pPr>
      <w:r>
        <w:t xml:space="preserve"/>
      </w:r>
    </w:p>
    <w:p>
      <w:pPr>
        <w:pStyle w:val="BodyText"/>
      </w:pPr>
      <w:r>
        <w:t xml:space="preserve">This study contributes to the literature in three ways. First, it offers the first empirical test of an integrative model that simultaneously positions TPACK, STEM, and ESD as mediating dimensions between a pedagogical intervention and lesson plan quality. Second, it operationalizes integrative lesson plan quality as a higher-order construct assessed through rubric-based evaluation rather than self-report, enhancing the ecological validity of measurement. Third, by employing PLS-SEM to decompose direct, indirect, and total effects, the study provides granular insight into the mechanisms through which PjBL shapes pre-service science teachers' design competence—insight that has direct implications for curriculum design in teacher education institutions.</w:t>
      </w:r>
    </w:p>
    <w:p>
      <w:pPr>
        <w:pStyle w:val="BodyText"/>
      </w:pPr>
      <w:r>
        <w:t xml:space="preserve"/>
      </w:r>
    </w:p>
    <w:p>
      <w:pPr>
        <w:pStyle w:val="BodyText"/>
      </w:pPr>
      <w:r>
        <w:t xml:space="preserve"/>
      </w:r>
    </w:p>
    <w:p>
      <w:pPr>
        <w:pStyle w:val="Heading1"/>
        <w:jc w:val="left"/>
      </w:pPr>
      <w:r>
        <w:t xml:space="preserve">2. Literature Review</w:t>
      </w:r>
    </w:p>
    <w:p>
      <w:pPr>
        <w:pStyle w:val="BodyText"/>
      </w:pPr>
      <w:r>
        <w:t xml:space="preserve"/>
      </w:r>
    </w:p>
    <w:p>
      <w:pPr>
        <w:pStyle w:val="Heading2"/>
        <w:jc w:val="left"/>
      </w:pPr>
      <w:r>
        <w:t xml:space="preserve">2.1 Project-Based Learning in Teacher Education</w:t>
      </w:r>
    </w:p>
    <w:p>
      <w:pPr>
        <w:pStyle w:val="BodyText"/>
      </w:pPr>
      <w:r>
        <w:t xml:space="preserve"/>
      </w:r>
    </w:p>
    <w:p>
      <w:pPr>
        <w:pStyle w:val="BodyText"/>
      </w:pPr>
      <w:r>
        <w:t xml:space="preserve">Project-Based Learning (PjBL) is an instructional approach organized around authentic, complex questions that drive sustained investigation, collaborative inquiry, and the creation of tangible artifacts (Krajcik &amp; Shin, 2014). In teacher education contexts, PjBL assumes a dual function: it simultaneously serves as a pedagogical strategy that pre-service teachers experience as learners and as a design methodology they must learn to employ as future practitioners. This dual positioning makes PjBL particularly potent for developing teacher design competence, as the process of creating instructional artifacts—such as lesson plans—under PjBL conditions requires the active mobilization and integration of multiple knowledge domains.</w:t>
      </w:r>
    </w:p>
    <w:p>
      <w:pPr>
        <w:pStyle w:val="BodyText"/>
      </w:pPr>
      <w:r>
        <w:t xml:space="preserve"/>
      </w:r>
    </w:p>
    <w:p>
      <w:pPr>
        <w:pStyle w:val="BodyText"/>
      </w:pPr>
      <w:r>
        <w:t xml:space="preserve">The essential elements of PjBL include a driving question anchored in real-world problems, sustained inquiry through investigation and research, collaboration among learners, the creation of publicly shared artifacts, and structured reflection (Bell, 2010; Krajcik &amp; Shin, 2014). When applied to teacher preparation, these elements translate into a design-based pedagogy in which pre-service teachers formulate instructional goals around authentic scientific problems, investigate content and pedagogical strategies, collaboratively design lesson plans, engage in peer review and revision, and reflect on the coherence and quality of their designs.</w:t>
      </w:r>
    </w:p>
    <w:p>
      <w:pPr>
        <w:pStyle w:val="BodyText"/>
      </w:pPr>
      <w:r>
        <w:t xml:space="preserve"/>
      </w:r>
    </w:p>
    <w:p>
      <w:pPr>
        <w:pStyle w:val="BodyText"/>
      </w:pPr>
      <w:r>
        <w:t xml:space="preserve">Empirical evidence supports PjBL's effectiveness in developing various dimensions of teacher competence. Dewi et al. (2022) demonstrated that a PjBL scaffolding model significantly enhanced pre-service science teachers' TPACK and lesson design abilities, with the scaffolding structure proving essential for guiding novice designers through the complexity of technology-integrated lesson planning. Novallyan and Nehru (2025) found that optimizing teacher profession courses through project methods improved biology education students' pedagogical competencies. Akbulut and Oner (2021) reported that PjBL experiences enhanced pre-service teachers' technology-related competencies. Collectively, these studies establish PjBL as a viable intervention for improving specific dimensions of teacher competence, though none has examined PjBL's simultaneous influence on multiple integration dimensions within a structural model.</w:t>
      </w:r>
    </w:p>
    <w:p>
      <w:pPr>
        <w:pStyle w:val="BodyText"/>
      </w:pPr>
      <w:r>
        <w:t xml:space="preserve"/>
      </w:r>
    </w:p>
    <w:p>
      <w:pPr>
        <w:pStyle w:val="Heading2"/>
        <w:jc w:val="left"/>
      </w:pPr>
      <w:r>
        <w:t xml:space="preserve">2.2 Technological Pedagogical Content Knowledge (TPACK)</w:t>
      </w:r>
    </w:p>
    <w:p>
      <w:pPr>
        <w:pStyle w:val="BodyText"/>
      </w:pPr>
      <w:r>
        <w:t xml:space="preserve"/>
      </w:r>
    </w:p>
    <w:p>
      <w:pPr>
        <w:pStyle w:val="BodyText"/>
      </w:pPr>
      <w:r>
        <w:t xml:space="preserve">The TPACK framework, introduced by Mishra and Koehler (2006) and grounded in Shulman's (1986) seminal construct of Pedagogical Content Knowledge (PCK), articulates the intersecting knowledge domains required for effective technology-enhanced teaching. TPACK comprises seven components: Technology Knowledge (TK), Pedagogical Knowledge (PK), Content Knowledge (CK), and their pairwise intersections—Technological Pedagogical Knowledge (TPK), Technological Content Knowledge (TCK), and Pedagogical Content Knowledge (PCK)—culminating in the integrative core of TPACK itself, which represents the knowledge needed to teach specific content with appropriate technologies using suitable pedagogical strategies.</w:t>
      </w:r>
    </w:p>
    <w:p>
      <w:pPr>
        <w:pStyle w:val="BodyText"/>
      </w:pPr>
      <w:r>
        <w:t xml:space="preserve"/>
      </w:r>
    </w:p>
    <w:p>
      <w:pPr>
        <w:pStyle w:val="BodyText"/>
      </w:pPr>
      <w:r>
        <w:t xml:space="preserve">For pre-service science teachers, TPACK development is critical because science instruction increasingly relies on digital tools for simulation, data collection, visualization, and collaborative inquiry. The measurement of TPACK has evolved from self-report surveys toward performance-based assessments, including rubric-evaluated lesson plans that capture the enacted integration of technology, pedagogy, and content (Offermann et al., 2025). This performance-based approach is adopted in the present study, where TPACK indicators are assessed through the quality of lesson plan components rather than through self-perceived knowledge.</w:t>
      </w:r>
    </w:p>
    <w:p>
      <w:pPr>
        <w:pStyle w:val="BodyText"/>
      </w:pPr>
      <w:r>
        <w:t xml:space="preserve"/>
      </w:r>
    </w:p>
    <w:p>
      <w:pPr>
        <w:pStyle w:val="BodyText"/>
      </w:pPr>
      <w:r>
        <w:t xml:space="preserve">Recent structural equation modeling studies have examined TPACK in relation to other constructs. Mansour et al. (2024) investigated TPACK integration within STEM education contexts in Qatar, finding significant structural relationships between TPACK components and STEM teaching efficacy. Salleh et al. (2025) explored TPACK development trajectories among pre-service teachers, identifying content knowledge and technological self-efficacy as key predictors. These studies provide methodological precedent for the SEM approach adopted here while highlighting the gap that TPACK has rarely been modeled alongside STEM and ESD within a single structural framework.</w:t>
      </w:r>
    </w:p>
    <w:p>
      <w:pPr>
        <w:pStyle w:val="BodyText"/>
      </w:pPr>
      <w:r>
        <w:t xml:space="preserve"/>
      </w:r>
    </w:p>
    <w:p>
      <w:pPr>
        <w:pStyle w:val="Heading2"/>
        <w:jc w:val="left"/>
      </w:pPr>
      <w:r>
        <w:t xml:space="preserve">2.3 STEM Education and Integrative Lesson Design</w:t>
      </w:r>
    </w:p>
    <w:p>
      <w:pPr>
        <w:pStyle w:val="BodyText"/>
      </w:pPr>
      <w:r>
        <w:t xml:space="preserve"/>
      </w:r>
    </w:p>
    <w:p>
      <w:pPr>
        <w:pStyle w:val="BodyText"/>
      </w:pPr>
      <w:r>
        <w:t xml:space="preserve">STEM education, conceptualized as the purposeful integration of science, technology, engineering, and mathematics disciplines, has gained substantial traction as both an educational philosophy and a curricular framework (Kelley &amp; Knowles, 2016). The distinction between disciplinary STEM instruction—where subjects are taught separately—and integrative STEM education—where disciplinary boundaries are deliberately crossed to address complex problems—is consequential for lesson plan design. Integrative STEM instruction requires teachers to design learning experiences that embed engineering design processes, mathematical reasoning, and technological applications within science content, a demanding design task that novice teachers often struggle to accomplish.</w:t>
      </w:r>
    </w:p>
    <w:p>
      <w:pPr>
        <w:pStyle w:val="BodyText"/>
      </w:pPr>
      <w:r>
        <w:t xml:space="preserve"/>
      </w:r>
    </w:p>
    <w:p>
      <w:pPr>
        <w:pStyle w:val="BodyText"/>
      </w:pPr>
      <w:r>
        <w:t xml:space="preserve">Kelley and Knowles (2016) proposed a conceptual framework for integrated STEM education that emphasizes situated learning, engineering design as a pedagogical strategy, scientific inquiry as a knowledge-building process, and mathematical thinking as an analytical foundation. Within this framework, the quality of STEM-integrated lesson plans can be evaluated along four dimensions: the accuracy and depth of science content, the purposeful integration of technology, the presence of engineering design thinking, and the application of mathematical reasoning.</w:t>
      </w:r>
    </w:p>
    <w:p>
      <w:pPr>
        <w:pStyle w:val="BodyText"/>
      </w:pPr>
      <w:r>
        <w:t xml:space="preserve"/>
      </w:r>
    </w:p>
    <w:p>
      <w:pPr>
        <w:pStyle w:val="BodyText"/>
      </w:pPr>
      <w:r>
        <w:t xml:space="preserve">For pre-service science teachers, developing STEM integration competence requires moving beyond disciplinary comfort zones and developing what Tucker et al. (2024) describe as STEM self-efficacy—the confidence and capability to design interdisciplinary learning experiences. The challenge is particularly acute for ESD-related integration, where pre-service teachers must additionally consider sustainability contexts that are less familiar than traditional STEM topics.</w:t>
      </w:r>
    </w:p>
    <w:p>
      <w:pPr>
        <w:pStyle w:val="BodyText"/>
      </w:pPr>
      <w:r>
        <w:t xml:space="preserve"/>
      </w:r>
    </w:p>
    <w:p>
      <w:pPr>
        <w:pStyle w:val="Heading2"/>
        <w:jc w:val="left"/>
      </w:pPr>
      <w:r>
        <w:t xml:space="preserve">2.4 Education for Sustainable Development (ESD) in Science Teaching</w:t>
      </w:r>
    </w:p>
    <w:p>
      <w:pPr>
        <w:pStyle w:val="BodyText"/>
      </w:pPr>
      <w:r>
        <w:t xml:space="preserve"/>
      </w:r>
    </w:p>
    <w:p>
      <w:pPr>
        <w:pStyle w:val="BodyText"/>
      </w:pPr>
      <w:r>
        <w:t xml:space="preserve">Education for Sustainable Development represents a global educational paradigm that seeks to equip learners with the knowledge, skills, values, and attitudes necessary to address interconnected sustainability challenges (UNESCO, 2017). For science teacher education, ESD introduces specific competences that extend beyond traditional science pedagogy: the ability to connect scientific concepts to sustainability issues (ESD-PCK), to employ inquiry-based approaches for investigating environmental and social challenges (ESD-INQ), and to foster evaluative thinking about socio-scientific dilemmas and trade-offs (ESD-EVA) (UNECE, 2012).</w:t>
      </w:r>
    </w:p>
    <w:p>
      <w:pPr>
        <w:pStyle w:val="BodyText"/>
      </w:pPr>
      <w:r>
        <w:t xml:space="preserve"/>
      </w:r>
    </w:p>
    <w:p>
      <w:pPr>
        <w:pStyle w:val="BodyText"/>
      </w:pPr>
      <w:r>
        <w:t xml:space="preserve">Purwianingsih et al. (2022) developed a program for integrating ESD into prospective biology teachers' TPACK, establishing a theoretical and practical bridge between technology integration and sustainability education. Their work, published in the </w:t>
      </w:r>
      <w:r>
        <w:rPr>
          <w:i/>
          <w:iCs/>
        </w:rPr>
        <w:t xml:space="preserve">Journal of Pendidikan IPA Indonesia (JPII)</w:t>
      </w:r>
      <w:r>
        <w:t xml:space="preserve">, demonstrated that structured integration programs can enhance pre-service teachers' capacity to embed sustainability perspectives within technology-enhanced science lessons. Shumba and Kampamba (2013) further explored ESD-specific pedagogical content knowledge, arguing that teachers require specialized knowledge for translating abstract sustainability concepts into concrete pedagogical actions.</w:t>
      </w:r>
    </w:p>
    <w:p>
      <w:pPr>
        <w:pStyle w:val="BodyText"/>
      </w:pPr>
      <w:r>
        <w:t xml:space="preserve"/>
      </w:r>
    </w:p>
    <w:p>
      <w:pPr>
        <w:pStyle w:val="BodyText"/>
      </w:pPr>
      <w:r>
        <w:t xml:space="preserve">Despite these advances, ESD remains the least developed of the three integration dimensions in teacher education research. Unlike TPACK, which benefits from decades of empirical investigation, and STEM integration, which is supported by substantial policy infrastructure, ESD integration in lesson plan design is still an emerging area. This relative novelty has implications for the present study: ESD competences may require more intensive or prolonged scaffolding than TPACK or STEM competences, and their responsiveness to short-term PjBL interventions may differ accordingly.</w:t>
      </w:r>
    </w:p>
    <w:p>
      <w:pPr>
        <w:pStyle w:val="BodyText"/>
      </w:pPr>
      <w:r>
        <w:t xml:space="preserve"/>
      </w:r>
    </w:p>
    <w:p>
      <w:pPr>
        <w:pStyle w:val="Heading2"/>
        <w:jc w:val="left"/>
      </w:pPr>
      <w:r>
        <w:t xml:space="preserve">2.5 Integrative Lesson Planning as Teacher Design Competence</w:t>
      </w:r>
    </w:p>
    <w:p>
      <w:pPr>
        <w:pStyle w:val="BodyText"/>
      </w:pPr>
      <w:r>
        <w:t xml:space="preserve"/>
      </w:r>
    </w:p>
    <w:p>
      <w:pPr>
        <w:pStyle w:val="BodyText"/>
      </w:pPr>
      <w:r>
        <w:t xml:space="preserve">The concept of teacher design capacity, introduced by Brown (2009) and elaborated by McKenney et al. (2015), provides the theoretical anchor for conceptualizing integrative lesson planning as a higher-order professional competence. Brown (2009) argued that effective curriculum use requires teachers to function as designers who actively interpret, adapt, and create instructional materials in response to contextual demands. This design capacity is not a fixed trait but a dynamic competence that develops through engagement with design tasks and feedback.</w:t>
      </w:r>
    </w:p>
    <w:p>
      <w:pPr>
        <w:pStyle w:val="BodyText"/>
      </w:pPr>
      <w:r>
        <w:t xml:space="preserve"/>
      </w:r>
    </w:p>
    <w:p>
      <w:pPr>
        <w:pStyle w:val="BodyText"/>
      </w:pPr>
      <w:r>
        <w:t xml:space="preserve">McKenney et al. (2015) extended this framework by identifying the specific knowledge bases—including technological knowledge, pedagogical knowledge, and subject matter knowledge—that underpin teacher design competence. Their ecological framework positions design knowledge at the intersection of personal knowledge, formal knowledge, and practical experience, suggesting that interventions such as PjBL, which provide structured design experiences, can catalyze the integration of these knowledge bases.</w:t>
      </w:r>
    </w:p>
    <w:p>
      <w:pPr>
        <w:pStyle w:val="BodyText"/>
      </w:pPr>
      <w:r>
        <w:t xml:space="preserve"/>
      </w:r>
    </w:p>
    <w:p>
      <w:pPr>
        <w:pStyle w:val="BodyText"/>
      </w:pPr>
      <w:r>
        <w:t xml:space="preserve">In the present study, integrative lesson planning competence is operationalized as the quality of lesson plans that simultaneously integrate TPACK, STEM, and ESD dimensions. This operationalization positions the integrative lesson plan not as a simple aggregate of component scores but as a higher-order construct (HOC) that reflects the emergent quality arising from the coherent integration of multiple design dimensions. The use of a rubric-based assessment—rather than self-report—ensures that the construct captures demonstrated design competence rather than perceived capability.</w:t>
      </w:r>
    </w:p>
    <w:p>
      <w:pPr>
        <w:pStyle w:val="BodyText"/>
      </w:pPr>
      <w:r>
        <w:t xml:space="preserve"/>
      </w:r>
    </w:p>
    <w:p>
      <w:pPr>
        <w:pStyle w:val="Heading2"/>
        <w:jc w:val="left"/>
      </w:pPr>
      <w:r>
        <w:t xml:space="preserve">2.6 Conceptual Framework and Hypothesized Model</w:t>
      </w:r>
    </w:p>
    <w:p>
      <w:pPr>
        <w:pStyle w:val="BodyText"/>
      </w:pPr>
      <w:r>
        <w:t xml:space="preserve"/>
      </w:r>
    </w:p>
    <w:p>
      <w:pPr>
        <w:pStyle w:val="BodyText"/>
      </w:pPr>
      <w:r>
        <w:t xml:space="preserve">Drawing on the foregoing theoretical foundations, the present study proposes a structural model in which PjBL serves as the exogenous construct influencing three first-order endogenous constructs—TPACK, STEM, and ESD integration competences—which in turn contribute to the quality of integrative lesson plans (see Figure 1). The model posits both direct effects (PjBL → TPACK, PjBL → STEM, PjBL → ESD) and indirect effects (PjBL → TPACK/STEM/ESD → Integrative Lesson Plan Quality), with the three integration dimensions hypothesized to mediate the relationship between PjBL and lesson plan quality.</w:t>
      </w:r>
    </w:p>
    <w:p>
      <w:pPr>
        <w:pStyle w:val="BodyText"/>
      </w:pPr>
      <w:r>
        <w:t xml:space="preserve"/>
      </w:r>
    </w:p>
    <w:p>
      <w:pPr>
        <w:pStyle w:val="BodyText"/>
      </w:pPr>
      <w:r>
        <w:rPr>
          <w:rFonts w:ascii="Courier New" w:cs="Courier New" w:eastAsia="Courier New" w:hAnsi="Courier New"/>
          <w:sz w:val="20"/>
          <w:szCs w:val="20"/>
        </w:rPr>
        <w:t xml:space="preserve">                TPACK</w:t>
      </w:r>
    </w:p>
    <w:p>
      <w:pPr>
        <w:pStyle w:val="BodyText"/>
      </w:pPr>
      <w:r>
        <w:rPr>
          <w:rFonts w:ascii="Courier New" w:cs="Courier New" w:eastAsia="Courier New" w:hAnsi="Courier New"/>
          <w:sz w:val="20"/>
          <w:szCs w:val="20"/>
        </w:rPr>
        <w:t xml:space="preserve">               /      \</w:t>
      </w:r>
    </w:p>
    <w:p>
      <w:pPr>
        <w:pStyle w:val="BodyText"/>
      </w:pPr>
      <w:r>
        <w:rPr>
          <w:rFonts w:ascii="Courier New" w:cs="Courier New" w:eastAsia="Courier New" w:hAnsi="Courier New"/>
          <w:sz w:val="20"/>
          <w:szCs w:val="20"/>
        </w:rPr>
        <w:t xml:space="preserve">PjBL ------&gt; STEM ------&gt; Integrative Lesson Plan Quality</w:t>
      </w:r>
    </w:p>
    <w:p>
      <w:pPr>
        <w:pStyle w:val="BodyText"/>
      </w:pPr>
      <w:r>
        <w:rPr>
          <w:rFonts w:ascii="Courier New" w:cs="Courier New" w:eastAsia="Courier New" w:hAnsi="Courier New"/>
          <w:sz w:val="20"/>
          <w:szCs w:val="20"/>
        </w:rPr>
        <w:t xml:space="preserve">               \      /</w:t>
      </w:r>
    </w:p>
    <w:p>
      <w:pPr>
        <w:pStyle w:val="BodyText"/>
      </w:pPr>
      <w:r>
        <w:rPr>
          <w:rFonts w:ascii="Courier New" w:cs="Courier New" w:eastAsia="Courier New" w:hAnsi="Courier New"/>
          <w:sz w:val="20"/>
          <w:szCs w:val="20"/>
        </w:rPr>
        <w:t xml:space="preserve">                ESD</w:t>
      </w:r>
    </w:p>
    <w:p>
      <w:pPr>
        <w:pStyle w:val="BodyText"/>
      </w:pPr>
      <w:r>
        <w:t xml:space="preserve"/>
      </w:r>
    </w:p>
    <w:p>
      <w:pPr>
        <w:pStyle w:val="BodyText"/>
      </w:pPr>
      <w:r>
        <w:rPr>
          <w:i/>
          <w:iCs/>
        </w:rPr>
        <w:t xml:space="preserve">Figure 1.</w:t>
      </w:r>
      <w:r>
        <w:t xml:space="preserve"> Hypothesized structural model.</w:t>
      </w:r>
    </w:p>
    <w:p>
      <w:pPr>
        <w:pStyle w:val="BodyText"/>
      </w:pPr>
      <w:r>
        <w:t xml:space="preserve"/>
      </w:r>
    </w:p>
    <w:p>
      <w:pPr>
        <w:pStyle w:val="BodyText"/>
      </w:pPr>
      <w:r>
        <w:t xml:space="preserve">The theoretical justification for each pathway is as follows:</w:t>
      </w:r>
    </w:p>
    <w:p>
      <w:pPr>
        <w:pStyle w:val="BodyText"/>
      </w:pPr>
      <w:r>
        <w:t xml:space="preserve"/>
      </w:r>
    </w:p>
    <w:p>
      <w:pPr>
        <w:pStyle w:val="BodyText"/>
      </w:pPr>
      <w:r>
        <w:t xml:space="preserve">1. </w:t>
      </w:r>
      <w:r>
        <w:rPr>
          <w:b/>
          <w:bCs/>
        </w:rPr>
        <w:t xml:space="preserve">PjBL → TPACK:</w:t>
      </w:r>
      <w:r>
        <w:t xml:space="preserve"> PjBL's emphasis on artifact creation and inquiry-based investigation naturally requires the mobilization of technology for content-specific pedagogy (Dewi et al., 2022).</w:t>
      </w:r>
    </w:p>
    <w:p>
      <w:pPr>
        <w:pStyle w:val="BodyText"/>
      </w:pPr>
      <w:r>
        <w:t xml:space="preserve">2. </w:t>
      </w:r>
      <w:r>
        <w:rPr>
          <w:b/>
          <w:bCs/>
        </w:rPr>
        <w:t xml:space="preserve">PjBL → STEM:</w:t>
      </w:r>
      <w:r>
        <w:t xml:space="preserve"> PjBL's authentic driving questions typically span multiple STEM disciplines, requiring interdisciplinary design thinking (Krajcik &amp; Shin, 2014).</w:t>
      </w:r>
    </w:p>
    <w:p>
      <w:pPr>
        <w:pStyle w:val="BodyText"/>
      </w:pPr>
      <w:r>
        <w:t xml:space="preserve">3. </w:t>
      </w:r>
      <w:r>
        <w:rPr>
          <w:b/>
          <w:bCs/>
        </w:rPr>
        <w:t xml:space="preserve">PjBL → ESD:</w:t>
      </w:r>
      <w:r>
        <w:t xml:space="preserve"> PjBL's focus on real-world problems creates opportunities for addressing sustainability issues, though the strength of this link may depend on explicit scaffolding (Purwianingsih et al., 2022).</w:t>
      </w:r>
    </w:p>
    <w:p>
      <w:pPr>
        <w:pStyle w:val="BodyText"/>
      </w:pPr>
      <w:r>
        <w:t xml:space="preserve">4. </w:t>
      </w:r>
      <w:r>
        <w:rPr>
          <w:b/>
          <w:bCs/>
        </w:rPr>
        <w:t xml:space="preserve">TPACK/STEM/ESD → Integrative Lesson Plan Quality:</w:t>
      </w:r>
      <w:r>
        <w:t xml:space="preserve"> Each dimension contributes substantive design elements—technology integration, interdisciplinary connections, and sustainability perspectives—that collectively determine the quality of integrative lesson plans (Brown, 2009; McKenney et al., 2015).</w:t>
      </w:r>
    </w:p>
    <w:p>
      <w:pPr>
        <w:pStyle w:val="BodyText"/>
      </w:pPr>
      <w:r>
        <w:t xml:space="preserve">5. </w:t>
      </w:r>
      <w:r>
        <w:rPr>
          <w:b/>
          <w:bCs/>
        </w:rPr>
        <w:t xml:space="preserve">Mediation:</w:t>
      </w:r>
      <w:r>
        <w:t xml:space="preserve"> PjBL is hypothesized to influence lesson plan quality not directly but through the enhancement of integration competences, consistent with the view that pedagogical interventions operate by developing specific professional knowledge bases that subsequently manifest in design performance.</w:t>
      </w:r>
    </w:p>
    <w:p>
      <w:pPr>
        <w:pStyle w:val="BodyText"/>
      </w:pPr>
      <w:r>
        <w:t xml:space="preserve"/>
      </w:r>
    </w:p>
    <w:p>
      <w:pPr>
        <w:pStyle w:val="BodyText"/>
      </w:pPr>
      <w:r>
        <w:t xml:space="preserve">This model is tested using PLS-SEM, a variance-based approach appropriate for the study's exploratory-confirmatory purpose, the inclusion of a single-indicator construct (lesson plan quality), and the relatively small sample size (N = 95) (Hair et al., 2022).</w:t>
      </w:r>
    </w:p>
    <w:p>
      <w:pPr>
        <w:pStyle w:val="BodyText"/>
      </w:pPr>
      <w:r>
        <w:t xml:space="preserve"/>
      </w:r>
    </w:p>
    <w:p>
      <w:pPr>
        <w:pStyle w:val="BodyText"/>
      </w:pPr>
      <w:r>
        <w:t xml:space="preserve"/>
      </w:r>
    </w:p>
    <w:p>
      <w:pPr>
        <w:pStyle w:val="Heading1"/>
        <w:jc w:val="left"/>
      </w:pPr>
      <w:r>
        <w:t xml:space="preserve">3. Methods</w:t>
      </w:r>
    </w:p>
    <w:p>
      <w:pPr>
        <w:pStyle w:val="BodyText"/>
      </w:pPr>
      <w:r>
        <w:t xml:space="preserve"/>
      </w:r>
    </w:p>
    <w:p>
      <w:pPr>
        <w:pStyle w:val="Heading2"/>
        <w:jc w:val="left"/>
      </w:pPr>
      <w:r>
        <w:t xml:space="preserve">3.1 Research Design</w:t>
      </w:r>
    </w:p>
    <w:p>
      <w:pPr>
        <w:pStyle w:val="BodyText"/>
      </w:pPr>
      <w:r>
        <w:t xml:space="preserve"/>
      </w:r>
    </w:p>
    <w:p>
      <w:pPr>
        <w:pStyle w:val="BodyText"/>
      </w:pPr>
      <w:r>
        <w:t xml:space="preserve">This study employed a pre-experimental one-group pretest-posttest design (Creswell &amp; Creswell, 2018) to examine the effect of a Project-Based Learning (PjBL) intervention on pre-service science teachers' integrative lesson planning competence. Participants designed lesson plans before and after the PjBL intervention, and the quality of these lesson plans was assessed using a standardized rubric across three integration dimensions: TPACK, STEM, and ESD. The pre-experimental design was selected because the primary purpose of the study was not to establish strict causal inference through between-group comparison, but rather to (a) document changes in integrative design competence following the intervention and (b) model the structural relationships among PjBL implementation quality, integration dimensions, and overall lesson plan quality using PLS-SEM. The absence of a control group is acknowledged as a limitation in Section 5.8.</w:t>
      </w:r>
    </w:p>
    <w:p>
      <w:pPr>
        <w:pStyle w:val="BodyText"/>
      </w:pPr>
      <w:r>
        <w:t xml:space="preserve"/>
      </w:r>
    </w:p>
    <w:p>
      <w:pPr>
        <w:pStyle w:val="Heading2"/>
        <w:jc w:val="left"/>
      </w:pPr>
      <w:r>
        <w:t xml:space="preserve">3.2 Participants</w:t>
      </w:r>
    </w:p>
    <w:p>
      <w:pPr>
        <w:pStyle w:val="BodyText"/>
      </w:pPr>
      <w:r>
        <w:t xml:space="preserve"/>
      </w:r>
    </w:p>
    <w:p>
      <w:pPr>
        <w:pStyle w:val="BodyText"/>
      </w:pPr>
      <w:r>
        <w:t xml:space="preserve">The participants were 95 pre-service science teachers enrolled in a teacher education program at a public university in Indonesia. All participants were undergraduate students in their third or fourth year of study, having completed foundational courses in science content, general pedagogy, and educational technology. Purposive sampling was employed, selecting participants who were concurrently enrolled in a course on instructional planning for science education, which served as the natural site for the PjBL intervention. The sample size of 95 exceeds the minimum threshold recommended for PLS-SEM, which Hair et al. (2022) suggest should be at least ten times the maximum number of structural paths directed at any single construct (in this model, four paths directed at the RPP construct, yielding a minimum of 40). All participants provided informed consent prior to data collection, and the study was conducted in accordance with the ethical guidelines of the participating institution.</w:t>
      </w:r>
    </w:p>
    <w:p>
      <w:pPr>
        <w:pStyle w:val="BodyText"/>
      </w:pPr>
      <w:r>
        <w:t xml:space="preserve"/>
      </w:r>
    </w:p>
    <w:p>
      <w:pPr>
        <w:pStyle w:val="Heading2"/>
        <w:jc w:val="left"/>
      </w:pPr>
      <w:r>
        <w:t xml:space="preserve">3.3 Intervention: PjBL Implementation</w:t>
      </w:r>
    </w:p>
    <w:p>
      <w:pPr>
        <w:pStyle w:val="BodyText"/>
      </w:pPr>
      <w:r>
        <w:t xml:space="preserve"/>
      </w:r>
    </w:p>
    <w:p>
      <w:pPr>
        <w:pStyle w:val="BodyText"/>
      </w:pPr>
      <w:r>
        <w:t xml:space="preserve">The PjBL intervention was implemented across the instructional planning course over a structured sequence of sessions. Participants engaged in a project cycle requiring them to design integrative lesson plans that simultaneously incorporated TPACK, STEM, and ESD dimensions. The intervention followed five stages adapted from Krajcik and Shin (2014):</w:t>
      </w:r>
    </w:p>
    <w:p>
      <w:pPr>
        <w:pStyle w:val="BodyText"/>
      </w:pPr>
      <w:r>
        <w:t xml:space="preserve"/>
      </w:r>
    </w:p>
    <w:p>
      <w:pPr>
        <w:pStyle w:val="BodyText"/>
      </w:pPr>
      <w:r>
        <w:t xml:space="preserve">1. </w:t>
      </w:r>
      <w:r>
        <w:rPr>
          <w:b/>
          <w:bCs/>
        </w:rPr>
        <w:t xml:space="preserve">Orientation and driving question.</w:t>
      </w:r>
      <w:r>
        <w:t xml:space="preserve"> Participants were introduced to a real-world sustainability problem related to their science content area. Driving questions were designed to necessitate interdisciplinary inquiry and the consideration of environmental, social, and economic sustainability dimensions.</w:t>
      </w:r>
    </w:p>
    <w:p>
      <w:pPr>
        <w:pStyle w:val="BodyText"/>
      </w:pPr>
      <w:r>
        <w:t xml:space="preserve"/>
      </w:r>
    </w:p>
    <w:p>
      <w:pPr>
        <w:pStyle w:val="BodyText"/>
      </w:pPr>
      <w:r>
        <w:t xml:space="preserve">2. </w:t>
      </w:r>
      <w:r>
        <w:rPr>
          <w:b/>
          <w:bCs/>
        </w:rPr>
        <w:t xml:space="preserve">Planning and investigation.</w:t>
      </w:r>
      <w:r>
        <w:t xml:space="preserve"> Participants investigated the scientific content, identified relevant technologies for instruction, explored connections across STEM disciplines, and examined sustainability implications. They were provided with exemplar lesson plan frameworks and rubric criteria to guide their design process.</w:t>
      </w:r>
    </w:p>
    <w:p>
      <w:pPr>
        <w:pStyle w:val="BodyText"/>
      </w:pPr>
      <w:r>
        <w:t xml:space="preserve"/>
      </w:r>
    </w:p>
    <w:p>
      <w:pPr>
        <w:pStyle w:val="BodyText"/>
      </w:pPr>
      <w:r>
        <w:t xml:space="preserve">3. </w:t>
      </w:r>
      <w:r>
        <w:rPr>
          <w:b/>
          <w:bCs/>
        </w:rPr>
        <w:t xml:space="preserve">Artifact creation.</w:t>
      </w:r>
      <w:r>
        <w:t xml:space="preserve"> Participants designed integrative lesson plans (RPP) as the primary project artifact. Each lesson plan was required to demonstrate explicit integration of technology-enhanced pedagogy (TPACK), interdisciplinary STEM connections, and sustainability perspectives (ESD).</w:t>
      </w:r>
    </w:p>
    <w:p>
      <w:pPr>
        <w:pStyle w:val="BodyText"/>
      </w:pPr>
      <w:r>
        <w:t xml:space="preserve"/>
      </w:r>
    </w:p>
    <w:p>
      <w:pPr>
        <w:pStyle w:val="BodyText"/>
      </w:pPr>
      <w:r>
        <w:t xml:space="preserve">4. </w:t>
      </w:r>
      <w:r>
        <w:rPr>
          <w:b/>
          <w:bCs/>
        </w:rPr>
        <w:t xml:space="preserve">Peer review and revision.</w:t>
      </w:r>
      <w:r>
        <w:t xml:space="preserve"> Completed drafts were subjected to structured peer review using the same rubric employed for formal assessment. Participants revised their lesson plans based on peer feedback, a process intended to deepen their understanding of integration quality criteria.</w:t>
      </w:r>
    </w:p>
    <w:p>
      <w:pPr>
        <w:pStyle w:val="BodyText"/>
      </w:pPr>
      <w:r>
        <w:t xml:space="preserve"/>
      </w:r>
    </w:p>
    <w:p>
      <w:pPr>
        <w:pStyle w:val="BodyText"/>
      </w:pPr>
      <w:r>
        <w:t xml:space="preserve">5. </w:t>
      </w:r>
      <w:r>
        <w:rPr>
          <w:b/>
          <w:bCs/>
        </w:rPr>
        <w:t xml:space="preserve">Presentation and reflection.</w:t>
      </w:r>
      <w:r>
        <w:t xml:space="preserve"> Participants presented their final lesson plans, articulated their design rationale, and reflected on the integration process. This stage provided opportunities for metacognitive engagement with the design challenges encountered.</w:t>
      </w:r>
    </w:p>
    <w:p>
      <w:pPr>
        <w:pStyle w:val="BodyText"/>
      </w:pPr>
      <w:r>
        <w:t xml:space="preserve"/>
      </w:r>
    </w:p>
    <w:p>
      <w:pPr>
        <w:pStyle w:val="BodyText"/>
      </w:pPr>
      <w:r>
        <w:t xml:space="preserve">The quality of PjBL implementation was assessed through an observation instrument completed by course instructors, measuring the fidelity and quality of each PjBL stage as experienced by participants.</w:t>
      </w:r>
    </w:p>
    <w:p>
      <w:pPr>
        <w:pStyle w:val="BodyText"/>
      </w:pPr>
      <w:r>
        <w:t xml:space="preserve"/>
      </w:r>
    </w:p>
    <w:p>
      <w:pPr>
        <w:pStyle w:val="Heading2"/>
        <w:jc w:val="left"/>
      </w:pPr>
      <w:r>
        <w:t xml:space="preserve">3.4 Instruments</w:t>
      </w:r>
    </w:p>
    <w:p>
      <w:pPr>
        <w:pStyle w:val="BodyText"/>
      </w:pPr>
      <w:r>
        <w:t xml:space="preserve"/>
      </w:r>
    </w:p>
    <w:p>
      <w:pPr>
        <w:pStyle w:val="Heading3"/>
        <w:jc w:val="left"/>
      </w:pPr>
      <w:r>
        <w:t xml:space="preserve">3.4.1 Integrative Lesson Plan Rubric (Pretest-Posttest)</w:t>
      </w:r>
    </w:p>
    <w:p>
      <w:pPr>
        <w:pStyle w:val="BodyText"/>
      </w:pPr>
      <w:r>
        <w:t xml:space="preserve"/>
      </w:r>
    </w:p>
    <w:p>
      <w:pPr>
        <w:pStyle w:val="BodyText"/>
      </w:pPr>
      <w:r>
        <w:t xml:space="preserve">The primary instrument was a rubric for evaluating the quality of integrative lesson plans, scored on a four-point Likert scale (1 = does not meet the criterion, 2 = partially meets, 3 = meets, 4 = exceeds the criterion). The rubric assessed three integration dimensions comprising 14 indicators:</w:t>
      </w:r>
    </w:p>
    <w:p>
      <w:pPr>
        <w:pStyle w:val="BodyText"/>
      </w:pPr>
      <w:r>
        <w:t xml:space="preserve"/>
      </w:r>
    </w:p>
    <w:p>
      <w:pPr>
        <w:pStyle w:val="BodyText"/>
        <w:numPr>
          <w:ilvl w:val="0"/>
          <w:numId w:val="2"/>
        </w:numPr>
      </w:pPr>
      <w:r>
        <w:rPr>
          <w:b/>
          <w:bCs/>
        </w:rPr>
        <w:t xml:space="preserve">TPACK</w:t>
      </w:r>
      <w:r>
        <w:t xml:space="preserve"> (7 indicators): Technology Knowledge (TK), Pedagogical Knowledge (PK), Content Knowledge (CK), Technological Pedagogical Knowledge (TPK), Technological Content Knowledge (TCK), Pedagogical Content Knowledge (PCK), and the integrative TPACK component.</w:t>
      </w:r>
    </w:p>
    <w:p>
      <w:pPr>
        <w:pStyle w:val="BodyText"/>
        <w:numPr>
          <w:ilvl w:val="0"/>
          <w:numId w:val="2"/>
        </w:numPr>
      </w:pPr>
      <w:r>
        <w:rPr>
          <w:b/>
          <w:bCs/>
        </w:rPr>
        <w:t xml:space="preserve">STEM</w:t>
      </w:r>
      <w:r>
        <w:t xml:space="preserve"> (4 indicators): Science content integration (S), Technology application (T), Engineering design process (E), and Mathematical reasoning (M).</w:t>
      </w:r>
    </w:p>
    <w:p>
      <w:pPr>
        <w:pStyle w:val="BodyText"/>
        <w:numPr>
          <w:ilvl w:val="0"/>
          <w:numId w:val="2"/>
        </w:numPr>
      </w:pPr>
      <w:r>
        <w:rPr>
          <w:b/>
          <w:bCs/>
        </w:rPr>
        <w:t xml:space="preserve">ESD</w:t>
      </w:r>
      <w:r>
        <w:t xml:space="preserve"> (3 indicators): ESD-Pedagogical Content Knowledge (ESD-PCK), ESD-Inquiry (ESD-INQ), and ESD-Evaluative thinking (ESD-EVA).</w:t>
      </w:r>
    </w:p>
    <w:p>
      <w:pPr>
        <w:pStyle w:val="BodyText"/>
      </w:pPr>
      <w:r>
        <w:t xml:space="preserve"/>
      </w:r>
    </w:p>
    <w:p>
      <w:pPr>
        <w:pStyle w:val="BodyText"/>
      </w:pPr>
      <w:r>
        <w:t xml:space="preserve">Composite scores for each dimension were calculated as the mean of its constituent indicators. The overall integrative lesson plan quality score (RPPInt_total) was calculated as the grand mean across all 14 indicators, operationalizing integrative lesson plan quality as a composite of the three dimensions. The rubric was developed through expert judgment involving three science education specialists and demonstrated adequate content validity.</w:t>
      </w:r>
    </w:p>
    <w:p>
      <w:pPr>
        <w:pStyle w:val="BodyText"/>
      </w:pPr>
      <w:r>
        <w:t xml:space="preserve"/>
      </w:r>
    </w:p>
    <w:p>
      <w:pPr>
        <w:pStyle w:val="Heading3"/>
        <w:jc w:val="left"/>
      </w:pPr>
      <w:r>
        <w:t xml:space="preserve">3.4.2 PjBL Implementation Observation Instrument</w:t>
      </w:r>
    </w:p>
    <w:p>
      <w:pPr>
        <w:pStyle w:val="BodyText"/>
      </w:pPr>
      <w:r>
        <w:t xml:space="preserve"/>
      </w:r>
    </w:p>
    <w:p>
      <w:pPr>
        <w:pStyle w:val="BodyText"/>
      </w:pPr>
      <w:r>
        <w:t xml:space="preserve">The quality of PjBL implementation was measured using a five-item observation instrument, with each item scored on a 1--4 scale corresponding to the five PjBL stages. The instrument was completed by course instructors who observed the implementation process. During data screening, one item (PjBL05, corresponding to the presentation and reflection stage) was excluded from the SEM analysis because it exhibited zero variance---all 95 participants received the maximum score of 4, providing no discriminating information. The remaining four items (PjBL01--PjBL04) were retained for the structural model.</w:t>
      </w:r>
    </w:p>
    <w:p>
      <w:pPr>
        <w:pStyle w:val="BodyText"/>
      </w:pPr>
      <w:r>
        <w:t xml:space="preserve"/>
      </w:r>
    </w:p>
    <w:p>
      <w:pPr>
        <w:pStyle w:val="Heading2"/>
        <w:jc w:val="left"/>
      </w:pPr>
      <w:r>
        <w:t xml:space="preserve">3.5 Data Collection Procedure</w:t>
      </w:r>
    </w:p>
    <w:p>
      <w:pPr>
        <w:pStyle w:val="BodyText"/>
      </w:pPr>
      <w:r>
        <w:t xml:space="preserve"/>
      </w:r>
    </w:p>
    <w:p>
      <w:pPr>
        <w:pStyle w:val="BodyText"/>
      </w:pPr>
      <w:r>
        <w:t xml:space="preserve">Data collection followed a three-phase timeline: (a) pretest, in which participants designed an initial lesson plan that was scored using the integrative rubric; (b) the PjBL intervention, during which PjBL implementation quality was observed and scored; and (c) posttest, in which participants designed a second lesson plan under the same conditions, scored by the same assessors using the identical rubric. Lesson plans were anonymized before scoring to reduce assessor bias.</w:t>
      </w:r>
    </w:p>
    <w:p>
      <w:pPr>
        <w:pStyle w:val="BodyText"/>
      </w:pPr>
      <w:r>
        <w:t xml:space="preserve"/>
      </w:r>
    </w:p>
    <w:p>
      <w:pPr>
        <w:pStyle w:val="Heading2"/>
        <w:jc w:val="left"/>
      </w:pPr>
      <w:r>
        <w:t xml:space="preserve">3.6 Data Analysis</w:t>
      </w:r>
    </w:p>
    <w:p>
      <w:pPr>
        <w:pStyle w:val="BodyText"/>
      </w:pPr>
      <w:r>
        <w:t xml:space="preserve"/>
      </w:r>
    </w:p>
    <w:p>
      <w:pPr>
        <w:pStyle w:val="BodyText"/>
      </w:pPr>
      <w:r>
        <w:t xml:space="preserve">Data analysis proceeded in two phases corresponding to the research questions.</w:t>
      </w:r>
    </w:p>
    <w:p>
      <w:pPr>
        <w:pStyle w:val="BodyText"/>
      </w:pPr>
      <w:r>
        <w:t xml:space="preserve"/>
      </w:r>
    </w:p>
    <w:p>
      <w:pPr>
        <w:pStyle w:val="Heading3"/>
        <w:jc w:val="left"/>
      </w:pPr>
      <w:r>
        <w:t xml:space="preserve">3.6.1 Phase 1: Pre-Post Comparison (RQ1)</w:t>
      </w:r>
    </w:p>
    <w:p>
      <w:pPr>
        <w:pStyle w:val="BodyText"/>
      </w:pPr>
      <w:r>
        <w:t xml:space="preserve"/>
      </w:r>
    </w:p>
    <w:p>
      <w:pPr>
        <w:pStyle w:val="BodyText"/>
      </w:pPr>
      <w:r>
        <w:t xml:space="preserve">To address RQ1, which examined changes in integration competences before and after the PjBL intervention, the following analyses were conducted:</w:t>
      </w:r>
    </w:p>
    <w:p>
      <w:pPr>
        <w:pStyle w:val="BodyText"/>
      </w:pPr>
      <w:r>
        <w:t xml:space="preserve"/>
      </w:r>
    </w:p>
    <w:p>
      <w:pPr>
        <w:pStyle w:val="BodyText"/>
        <w:numPr>
          <w:ilvl w:val="0"/>
          <w:numId w:val="2"/>
        </w:numPr>
      </w:pPr>
      <w:r>
        <w:rPr>
          <w:b/>
          <w:bCs/>
        </w:rPr>
        <w:t xml:space="preserve">Descriptive statistics</w:t>
      </w:r>
      <w:r>
        <w:t xml:space="preserve"> (mean, standard deviation, minimum, maximum) were computed for each construct and indicator at pretest and posttest.</w:t>
      </w:r>
    </w:p>
    <w:p>
      <w:pPr>
        <w:pStyle w:val="BodyText"/>
        <w:numPr>
          <w:ilvl w:val="0"/>
          <w:numId w:val="2"/>
        </w:numPr>
      </w:pPr>
      <w:r>
        <w:rPr>
          <w:b/>
          <w:bCs/>
        </w:rPr>
        <w:t xml:space="preserve">Normality testing</w:t>
      </w:r>
      <w:r>
        <w:t xml:space="preserve"> was performed using the Shapiro-Wilk test on the difference scores (posttest minus pretest) for each construct, given the sample size of N = 95.</w:t>
      </w:r>
    </w:p>
    <w:p>
      <w:pPr>
        <w:pStyle w:val="BodyText"/>
        <w:numPr>
          <w:ilvl w:val="0"/>
          <w:numId w:val="2"/>
        </w:numPr>
      </w:pPr>
      <w:r>
        <w:rPr>
          <w:b/>
          <w:bCs/>
        </w:rPr>
        <w:t xml:space="preserve">Paired inferential tests</w:t>
      </w:r>
      <w:r>
        <w:t xml:space="preserve"> were applied based on normality results: the paired-samples t-test for constructs with normally distributed difference scores, and the Wilcoxon signed-rank test for constructs violating the normality assumption. The significance level was set at alpha = .05.</w:t>
      </w:r>
    </w:p>
    <w:p>
      <w:pPr>
        <w:pStyle w:val="BodyText"/>
        <w:numPr>
          <w:ilvl w:val="0"/>
          <w:numId w:val="2"/>
        </w:numPr>
      </w:pPr>
      <w:r>
        <w:rPr>
          <w:b/>
          <w:bCs/>
        </w:rPr>
        <w:t xml:space="preserve">Effect sizes</w:t>
      </w:r>
      <w:r>
        <w:t xml:space="preserve"> were calculated using Cohen's </w:t>
      </w:r>
      <w:r>
        <w:rPr>
          <w:i/>
          <w:iCs/>
        </w:rPr>
        <w:t xml:space="preserve">d</w:t>
      </w:r>
      <w:r>
        <w:t xml:space="preserve"> for parametric tests and rank-biserial correlation </w:t>
      </w:r>
      <w:r>
        <w:rPr>
          <w:i/>
          <w:iCs/>
        </w:rPr>
        <w:t xml:space="preserve">r</w:t>
      </w:r>
      <w:r>
        <w:t xml:space="preserve"> for non-parametric tests. Effect sizes were interpreted following Cohen (1988): small (d = 0.2), medium (d = 0.5), and large (d = 0.8).</w:t>
      </w:r>
    </w:p>
    <w:p>
      <w:pPr>
        <w:pStyle w:val="BodyText"/>
        <w:numPr>
          <w:ilvl w:val="0"/>
          <w:numId w:val="2"/>
        </w:numPr>
      </w:pPr>
      <w:r>
        <w:rPr>
          <w:b/>
          <w:bCs/>
        </w:rPr>
        <w:t xml:space="preserve">Normalized gain (N-Gain)</w:t>
      </w:r>
      <w:r>
        <w:t xml:space="preserve"> was calculated using Hake's (1998) formula: N-Gain = (post - pre) / (max - pre), where max = 4 (the maximum rubric score). N-Gain values were categorized as High (&gt; 0.7), Medium (0.3--0.7), or Low (&lt; 0.3).</w:t>
      </w:r>
    </w:p>
    <w:p>
      <w:pPr>
        <w:pStyle w:val="BodyText"/>
      </w:pPr>
      <w:r>
        <w:t xml:space="preserve"/>
      </w:r>
    </w:p>
    <w:p>
      <w:pPr>
        <w:pStyle w:val="BodyText"/>
      </w:pPr>
      <w:r>
        <w:t xml:space="preserve">All Phase 1 analyses were conducted in Python 3.11 using pandas, scipy, and pingouin.</w:t>
      </w:r>
    </w:p>
    <w:p>
      <w:pPr>
        <w:pStyle w:val="BodyText"/>
      </w:pPr>
      <w:r>
        <w:t xml:space="preserve"/>
      </w:r>
    </w:p>
    <w:p>
      <w:pPr>
        <w:pStyle w:val="Heading3"/>
        <w:jc w:val="left"/>
      </w:pPr>
      <w:r>
        <w:t xml:space="preserve">3.6.2 Phase 2: Structural Equation Modeling (RQ2--RQ5)</w:t>
      </w:r>
    </w:p>
    <w:p>
      <w:pPr>
        <w:pStyle w:val="BodyText"/>
      </w:pPr>
      <w:r>
        <w:t xml:space="preserve"/>
      </w:r>
    </w:p>
    <w:p>
      <w:pPr>
        <w:pStyle w:val="BodyText"/>
      </w:pPr>
      <w:r>
        <w:t xml:space="preserve">To address RQ2 through RQ5, Partial Least Squares Structural Equation Modeling (PLS-SEM) was employed. PLS-SEM was selected over covariance-based SEM (CB-SEM) for several reasons: (a) the study's exploratory-confirmatory nature, testing a novel integrative model for the first time; (b) the inclusion of a single-indicator construct (RPPInt_total_post for the RPP construct); (c) the modest sample size (N = 95), which is adequate for PLS-SEM but may be insufficient for CB-SEM with the specified model complexity; and (d) PLS-SEM's capacity to handle non-normal data and formative measurement (Hair et al., 2022).</w:t>
      </w:r>
    </w:p>
    <w:p>
      <w:pPr>
        <w:pStyle w:val="BodyText"/>
      </w:pPr>
      <w:r>
        <w:t xml:space="preserve"/>
      </w:r>
    </w:p>
    <w:p>
      <w:pPr>
        <w:pStyle w:val="BodyText"/>
      </w:pPr>
      <w:r>
        <w:rPr>
          <w:b/>
          <w:bCs/>
        </w:rPr>
        <w:t xml:space="preserve">Model specification.</w:t>
      </w:r>
      <w:r>
        <w:t xml:space="preserve"> The structural model comprised five constructs: PjBL (exogenous), TPACK, STEM, ESD, and RPP (endogenous). All constructs were specified as reflective (Mode A). The structural paths included seven relationships: PjBL -&gt; TPACK, PjBL -&gt; STEM, PjBL -&gt; ESD, PjBL -&gt; RPP (direct), TPACK -&gt; RPP, STEM -&gt; RPP, and ESD -&gt; RPP. The RPP construct was operationalized as a single-indicator construct using the composite integrative lesson plan quality score (RPPInt_total_post), with the indicator's loading fixed to 1.000. The data matrix for the SEM analysis used posttest scores for TPACK, STEM, ESD, and RPP, and the PjBL observation scores, yielding 19 manifest variables.</w:t>
      </w:r>
    </w:p>
    <w:p>
      <w:pPr>
        <w:pStyle w:val="BodyText"/>
      </w:pPr>
      <w:r>
        <w:t xml:space="preserve"/>
      </w:r>
    </w:p>
    <w:p>
      <w:pPr>
        <w:pStyle w:val="BodyText"/>
      </w:pPr>
      <w:r>
        <w:rPr>
          <w:b/>
          <w:bCs/>
        </w:rPr>
        <w:t xml:space="preserve">Measurement model evaluation.</w:t>
      </w:r>
      <w:r>
        <w:t xml:space="preserve"> The outer (measurement) model was assessed using standard PLS-SEM criteria (Hair et al., 2022):</w:t>
      </w:r>
    </w:p>
    <w:p>
      <w:pPr>
        <w:pStyle w:val="BodyText"/>
      </w:pPr>
      <w:r>
        <w:t xml:space="preserve"/>
      </w:r>
    </w:p>
    <w:p>
      <w:pPr>
        <w:pStyle w:val="BodyText"/>
        <w:numPr>
          <w:ilvl w:val="0"/>
          <w:numId w:val="2"/>
        </w:numPr>
      </w:pPr>
      <w:r>
        <w:rPr>
          <w:i/>
          <w:iCs/>
        </w:rPr>
        <w:t xml:space="preserve">Indicator reliability:</w:t>
      </w:r>
      <w:r>
        <w:t xml:space="preserve"> outer loadings &gt;= 0.708 (indicators between 0.40 and 0.70 were retained if their removal did not improve AVE or CR, following Hair et al.'s recommendation for exploratory research).</w:t>
      </w:r>
    </w:p>
    <w:p>
      <w:pPr>
        <w:pStyle w:val="BodyText"/>
        <w:numPr>
          <w:ilvl w:val="0"/>
          <w:numId w:val="2"/>
        </w:numPr>
      </w:pPr>
      <w:r>
        <w:rPr>
          <w:i/>
          <w:iCs/>
        </w:rPr>
        <w:t xml:space="preserve">Convergent validity:</w:t>
      </w:r>
      <w:r>
        <w:t xml:space="preserve"> Average Variance Extracted (AVE) &gt;= 0.50.</w:t>
      </w:r>
    </w:p>
    <w:p>
      <w:pPr>
        <w:pStyle w:val="BodyText"/>
        <w:numPr>
          <w:ilvl w:val="0"/>
          <w:numId w:val="2"/>
        </w:numPr>
      </w:pPr>
      <w:r>
        <w:rPr>
          <w:i/>
          <w:iCs/>
        </w:rPr>
        <w:t xml:space="preserve">Internal consistency reliability:</w:t>
      </w:r>
      <w:r>
        <w:t xml:space="preserve"> Composite Reliability (CR) &gt;= 0.70 and Cronbach's alpha &gt;= 0.70.</w:t>
      </w:r>
    </w:p>
    <w:p>
      <w:pPr>
        <w:pStyle w:val="BodyText"/>
        <w:numPr>
          <w:ilvl w:val="0"/>
          <w:numId w:val="2"/>
        </w:numPr>
      </w:pPr>
      <w:r>
        <w:rPr>
          <w:i/>
          <w:iCs/>
        </w:rPr>
        <w:t xml:space="preserve">Discriminant validity:</w:t>
      </w:r>
      <w:r>
        <w:t xml:space="preserve"> Heterotrait-Monotrait ratio (HTMT) &lt; 0.90 (Henseler et al., 2015), supplemented by the Fornell-Larcker criterion.</w:t>
      </w:r>
    </w:p>
    <w:p>
      <w:pPr>
        <w:pStyle w:val="BodyText"/>
      </w:pPr>
      <w:r>
        <w:t xml:space="preserve"/>
      </w:r>
    </w:p>
    <w:p>
      <w:pPr>
        <w:pStyle w:val="BodyText"/>
      </w:pPr>
      <w:r>
        <w:rPr>
          <w:b/>
          <w:bCs/>
        </w:rPr>
        <w:t xml:space="preserve">Structural model evaluation.</w:t>
      </w:r>
      <w:r>
        <w:t xml:space="preserve"> The inner (structural) model was assessed through:</w:t>
      </w:r>
    </w:p>
    <w:p>
      <w:pPr>
        <w:pStyle w:val="BodyText"/>
      </w:pPr>
      <w:r>
        <w:t xml:space="preserve"/>
      </w:r>
    </w:p>
    <w:p>
      <w:pPr>
        <w:pStyle w:val="BodyText"/>
        <w:numPr>
          <w:ilvl w:val="0"/>
          <w:numId w:val="2"/>
        </w:numPr>
      </w:pPr>
      <w:r>
        <w:rPr>
          <w:i/>
          <w:iCs/>
        </w:rPr>
        <w:t xml:space="preserve">Path coefficients (beta):</w:t>
      </w:r>
      <w:r>
        <w:t xml:space="preserve"> standardized regression coefficients indicating the strength and direction of structural relationships.</w:t>
      </w:r>
    </w:p>
    <w:p>
      <w:pPr>
        <w:pStyle w:val="BodyText"/>
        <w:numPr>
          <w:ilvl w:val="0"/>
          <w:numId w:val="2"/>
        </w:numPr>
      </w:pPr>
      <w:r>
        <w:rPr>
          <w:i/>
          <w:iCs/>
        </w:rPr>
        <w:t xml:space="preserve">Statistical significance:</w:t>
      </w:r>
      <w:r>
        <w:t xml:space="preserve"> determined through bootstrapping (500 iterations) with bias-corrected 95% confidence intervals. A unified manual bootstrap procedure was employed, in which each bootstrap resample simultaneously yielded path coefficients and indirect effects, ensuring consistency across direct and mediation analyses.</w:t>
      </w:r>
    </w:p>
    <w:p>
      <w:pPr>
        <w:pStyle w:val="BodyText"/>
        <w:numPr>
          <w:ilvl w:val="0"/>
          <w:numId w:val="2"/>
        </w:numPr>
      </w:pPr>
      <w:r>
        <w:rPr>
          <w:i/>
          <w:iCs/>
        </w:rPr>
        <w:t xml:space="preserve">Coefficient of determination (R-squared):</w:t>
      </w:r>
      <w:r>
        <w:t xml:space="preserve"> proportion of variance in endogenous constructs explained by the model. Interpreted as substantial (0.75), moderate (0.50), or weak (0.25) (Hair et al., 2022).</w:t>
      </w:r>
    </w:p>
    <w:p>
      <w:pPr>
        <w:pStyle w:val="BodyText"/>
        <w:numPr>
          <w:ilvl w:val="0"/>
          <w:numId w:val="2"/>
        </w:numPr>
      </w:pPr>
      <w:r>
        <w:rPr>
          <w:i/>
          <w:iCs/>
        </w:rPr>
        <w:t xml:space="preserve">Effect size (f-squared):</w:t>
      </w:r>
      <w:r>
        <w:t xml:space="preserve"> the incremental impact of each exogenous construct on an endogenous construct. Interpreted as small (0.02), medium (0.15), or large (0.35) (Cohen, 1988).</w:t>
      </w:r>
    </w:p>
    <w:p>
      <w:pPr>
        <w:pStyle w:val="BodyText"/>
        <w:numPr>
          <w:ilvl w:val="0"/>
          <w:numId w:val="2"/>
        </w:numPr>
      </w:pPr>
      <w:r>
        <w:rPr>
          <w:i/>
          <w:iCs/>
        </w:rPr>
        <w:t xml:space="preserve">Predictive relevance (Q-squared):</w:t>
      </w:r>
      <w:r>
        <w:t xml:space="preserve"> assessed through blindfolding (Stone-Geisser's procedure via k-fold cross-validation, k = 7). Values above zero indicate predictive relevance.</w:t>
      </w:r>
    </w:p>
    <w:p>
      <w:pPr>
        <w:pStyle w:val="BodyText"/>
      </w:pPr>
      <w:r>
        <w:t xml:space="preserve"/>
      </w:r>
    </w:p>
    <w:p>
      <w:pPr>
        <w:pStyle w:val="BodyText"/>
      </w:pPr>
      <w:r>
        <w:rPr>
          <w:b/>
          <w:bCs/>
        </w:rPr>
        <w:t xml:space="preserve">Mediation analysis (RQ5).</w:t>
      </w:r>
      <w:r>
        <w:t xml:space="preserve"> Indirect effects were calculated as the product of constituent path coefficients (e.g., indirect effect of PjBL on RPP through TPACK = beta_PjBL-&gt;TPACK x beta_TPACK-&gt;RPP). Statistical significance of indirect effects was determined through the bootstrap confidence interval method (Preacher &amp; Hayes, 2008): an indirect effect was deemed significant if the 95% bias-corrected confidence interval did not include zero. The Sobel test was additionally computed as a cross-check. The Variance Accounted For (VAF) was calculated to classify mediation type: full mediation (VAF &gt; 80%), partial mediation (20% &lt; VAF &lt; 80%), or no mediation (VAF &lt; 20%) (Hair et al., 2022).</w:t>
      </w:r>
    </w:p>
    <w:p>
      <w:pPr>
        <w:pStyle w:val="BodyText"/>
      </w:pPr>
      <w:r>
        <w:t xml:space="preserve"/>
      </w:r>
    </w:p>
    <w:p>
      <w:pPr>
        <w:pStyle w:val="BodyText"/>
      </w:pPr>
      <w:r>
        <w:rPr>
          <w:b/>
          <w:bCs/>
        </w:rPr>
        <w:t xml:space="preserve">Comparative analysis (RQ3).</w:t>
      </w:r>
      <w:r>
        <w:t xml:space="preserve"> The relative influence of PjBL on each integration dimension was assessed by comparing path coefficients and their associated f-squared values. Bootstrap confidence intervals were examined for overlap to determine whether observed differences were statistically meaningful.</w:t>
      </w:r>
    </w:p>
    <w:p>
      <w:pPr>
        <w:pStyle w:val="BodyText"/>
      </w:pPr>
      <w:r>
        <w:t xml:space="preserve"/>
      </w:r>
    </w:p>
    <w:p>
      <w:pPr>
        <w:pStyle w:val="BodyText"/>
      </w:pPr>
      <w:r>
        <w:rPr>
          <w:b/>
          <w:bCs/>
        </w:rPr>
        <w:t xml:space="preserve">Software.</w:t>
      </w:r>
      <w:r>
        <w:t xml:space="preserve"> PLS-SEM analysis was conducted using the plspm Python package (version 0.5.7) with a random seed of 42 for reproducibility. All bootstrap procedures used 500 iterations with a single-process configuration to ensure deterministic execution. Figures were generated using matplotlib.</w:t>
      </w:r>
    </w:p>
    <w:p>
      <w:pPr>
        <w:pStyle w:val="BodyText"/>
      </w:pPr>
      <w:r>
        <w:t xml:space="preserve"/>
      </w:r>
    </w:p>
    <w:p>
      <w:pPr>
        <w:pStyle w:val="BodyText"/>
      </w:pPr>
      <w:r>
        <w:t xml:space="preserve"/>
      </w:r>
    </w:p>
    <w:p>
      <w:pPr>
        <w:pStyle w:val="Heading1"/>
        <w:jc w:val="left"/>
      </w:pPr>
      <w:r>
        <w:t xml:space="preserve">4. Results</w:t>
      </w:r>
    </w:p>
    <w:p>
      <w:pPr>
        <w:pStyle w:val="BodyText"/>
      </w:pPr>
      <w:r>
        <w:t xml:space="preserve"/>
      </w:r>
    </w:p>
    <w:p>
      <w:pPr>
        <w:pStyle w:val="Heading2"/>
        <w:jc w:val="left"/>
      </w:pPr>
      <w:r>
        <w:t xml:space="preserve">4.1 Descriptive Statistics</w:t>
      </w:r>
    </w:p>
    <w:p>
      <w:pPr>
        <w:pStyle w:val="BodyText"/>
      </w:pPr>
      <w:r>
        <w:t xml:space="preserve"/>
      </w:r>
    </w:p>
    <w:p>
      <w:pPr>
        <w:pStyle w:val="BodyText"/>
      </w:pPr>
      <w:r>
        <w:t xml:space="preserve">Table 1 presents the descriptive statistics for the four constructs at pretest and posttest. All constructs showed substantial increases following the PjBL intervention. The largest mean difference was observed for STEM (</w:t>
      </w:r>
      <w:r>
        <w:rPr>
          <w:i/>
          <w:iCs/>
        </w:rPr>
        <w:t xml:space="preserve">M</w:t>
      </w:r>
      <w:r>
        <w:t xml:space="preserve">_diff = 1.051), followed by TPACK (</w:t>
      </w:r>
      <w:r>
        <w:rPr>
          <w:i/>
          <w:iCs/>
        </w:rPr>
        <w:t xml:space="preserve">M</w:t>
      </w:r>
      <w:r>
        <w:t xml:space="preserve">_diff = 1.013), RPP Integratif (</w:t>
      </w:r>
      <w:r>
        <w:rPr>
          <w:i/>
          <w:iCs/>
        </w:rPr>
        <w:t xml:space="preserve">M</w:t>
      </w:r>
      <w:r>
        <w:t xml:space="preserve">_diff = 0.954), and ESD (</w:t>
      </w:r>
      <w:r>
        <w:rPr>
          <w:i/>
          <w:iCs/>
        </w:rPr>
        <w:t xml:space="preserve">M</w:t>
      </w:r>
      <w:r>
        <w:t xml:space="preserve">_diff = 0.798). Standard deviations generally decreased from pretest to posttest, indicating that participants' competences became more homogeneous after the intervention.</w:t>
      </w:r>
    </w:p>
    <w:p>
      <w:pPr>
        <w:pStyle w:val="BodyText"/>
      </w:pPr>
      <w:r>
        <w:t xml:space="preserve"/>
      </w:r>
    </w:p>
    <w:p>
      <w:pPr>
        <w:pStyle w:val="BodyText"/>
      </w:pPr>
      <w:r>
        <w:rPr>
          <w:b/>
          <w:bCs/>
        </w:rPr>
        <w:t xml:space="preserve">Table 1.</w:t>
      </w:r>
      <w:r>
        <w:t xml:space="preserve"> Descriptive Statistics per Construct (Pretest vs. Posttest)</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Construct</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N</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Pre M</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Pre SD</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Post M</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Post SD</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M_diff</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2.306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0.390</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3.319</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0.294</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1.013</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2.172</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0.393</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3.222</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0.378</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1.051</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1.929</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0.328</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2.726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0.259</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0.798</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RPP Integratif</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95</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2.136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0.256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3.089</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0.237</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0.954</w:t>
            </w:r>
          </w:p>
        </w:tc>
      </w:tr>
    </w:tbl>
    <w:p>
      <w:pPr>
        <w:pStyle w:val="BodyText"/>
      </w:pPr>
      <w:r>
        <w:t xml:space="preserve"/>
      </w:r>
    </w:p>
    <w:p>
      <w:pPr>
        <w:pStyle w:val="BodyText"/>
      </w:pPr>
      <w:r>
        <w:rPr>
          <w:i/>
          <w:iCs/>
        </w:rPr>
        <w:t xml:space="preserve">Note.</w:t>
      </w:r>
      <w:r>
        <w:t xml:space="preserve"> Scale range: 1--4. RPP Integratif = grand mean of all 14 indicators.</w:t>
      </w:r>
    </w:p>
    <w:p>
      <w:pPr>
        <w:pStyle w:val="BodyText"/>
      </w:pPr>
      <w:r>
        <w:t xml:space="preserve"/>
      </w:r>
    </w:p>
    <w:p>
      <w:pPr>
        <w:pStyle w:val="BodyText"/>
      </w:pPr>
      <w:r>
        <w:t xml:space="preserve">At the indicator level (Table 2), the pattern was consistent across dimensions. Within TPACK, the largest gains occurred for TK (</w:t>
      </w:r>
      <w:r>
        <w:rPr>
          <w:i/>
          <w:iCs/>
        </w:rPr>
        <w:t xml:space="preserve">M</w:t>
      </w:r>
      <w:r>
        <w:t xml:space="preserve">_diff = 1.174) and TPK (</w:t>
      </w:r>
      <w:r>
        <w:rPr>
          <w:i/>
          <w:iCs/>
        </w:rPr>
        <w:t xml:space="preserve">M</w:t>
      </w:r>
      <w:r>
        <w:t xml:space="preserve">_diff = 1.105), reflecting heightened technology-related integration. Within STEM, Mathematics showed the greatest improvement (</w:t>
      </w:r>
      <w:r>
        <w:rPr>
          <w:i/>
          <w:iCs/>
        </w:rPr>
        <w:t xml:space="preserve">M</w:t>
      </w:r>
      <w:r>
        <w:t xml:space="preserve">_diff = 1.255), while Science showed the smallest (</w:t>
      </w:r>
      <w:r>
        <w:rPr>
          <w:i/>
          <w:iCs/>
        </w:rPr>
        <w:t xml:space="preserve">M</w:t>
      </w:r>
      <w:r>
        <w:t xml:space="preserve">_diff = 0.943). ESD indicators improved relatively uniformly, with ESD-EVA exhibiting the highest gain (</w:t>
      </w:r>
      <w:r>
        <w:rPr>
          <w:i/>
          <w:iCs/>
        </w:rPr>
        <w:t xml:space="preserve">M</w:t>
      </w:r>
      <w:r>
        <w:t xml:space="preserve">_diff = 0.848).</w:t>
      </w:r>
    </w:p>
    <w:p>
      <w:pPr>
        <w:pStyle w:val="BodyText"/>
      </w:pPr>
      <w:r>
        <w:t xml:space="preserve"/>
      </w:r>
    </w:p>
    <w:p>
      <w:pPr>
        <w:pStyle w:val="BodyText"/>
      </w:pPr>
      <w:r>
        <w:rPr>
          <w:b/>
          <w:bCs/>
        </w:rPr>
        <w:t xml:space="preserve">Table 2.</w:t>
      </w:r>
      <w:r>
        <w:t xml:space="preserve"> Descriptive Statistics per Indicator</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Indicator</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Pre M</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Pre SD</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Post M</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Post SD</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M_diff</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2.018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0.540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3.192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0.476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1.174</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PK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2.667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0.503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3.543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0.355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0.876</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2.441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0.758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3.376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0.397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0.936</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TPK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2.079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0.586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3.183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0.493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1.105</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2.131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0.580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3.186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0.480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1.055</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PCK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2.740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0.634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3.587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0.318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0.848</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2.068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0.531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3.166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0.606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1.099</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Science</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2.448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0.581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3.390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0.345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0.943</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Technology</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2.193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0.597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3.338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0.499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1.145</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Engineering</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2.370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0.578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3.230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0.454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0.860</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Mathematics</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1.677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0.598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2.932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0.760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1.255</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ESD-PCK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1.895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0.416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2.686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0.315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0.792</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ESD-INQ</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1.972</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0.425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2.726</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0.305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0.754</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ESD-EVA</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1.919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0.470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2.767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0.293</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0.848</w:t>
            </w:r>
          </w:p>
        </w:tc>
      </w:tr>
    </w:tbl>
    <w:p>
      <w:pPr>
        <w:pStyle w:val="BodyText"/>
      </w:pPr>
      <w:r>
        <w:t xml:space="preserve"/>
      </w:r>
    </w:p>
    <w:p>
      <w:pPr>
        <w:pStyle w:val="Heading2"/>
        <w:jc w:val="left"/>
      </w:pPr>
      <w:r>
        <w:t xml:space="preserve">4.2 RQ1: Pre-Post Changes</w:t>
      </w:r>
    </w:p>
    <w:p>
      <w:pPr>
        <w:pStyle w:val="BodyText"/>
      </w:pPr>
      <w:r>
        <w:t xml:space="preserve"/>
      </w:r>
    </w:p>
    <w:p>
      <w:pPr>
        <w:pStyle w:val="Heading3"/>
        <w:jc w:val="left"/>
      </w:pPr>
      <w:r>
        <w:t xml:space="preserve">Normality Testing</w:t>
      </w:r>
    </w:p>
    <w:p>
      <w:pPr>
        <w:pStyle w:val="BodyText"/>
      </w:pPr>
      <w:r>
        <w:t xml:space="preserve"/>
      </w:r>
    </w:p>
    <w:p>
      <w:pPr>
        <w:pStyle w:val="BodyText"/>
      </w:pPr>
      <w:r>
        <w:t xml:space="preserve">Normality of the difference scores was assessed using the Shapiro-Wilk test (Table 3). Difference scores for STEM (</w:t>
      </w:r>
      <w:r>
        <w:rPr>
          <w:i/>
          <w:iCs/>
        </w:rPr>
        <w:t xml:space="preserve">W</w:t>
      </w:r>
      <w:r>
        <w:t xml:space="preserve"> = 0.977, </w:t>
      </w:r>
      <w:r>
        <w:rPr>
          <w:i/>
          <w:iCs/>
        </w:rPr>
        <w:t xml:space="preserve">p</w:t>
      </w:r>
      <w:r>
        <w:t xml:space="preserve"> = .088), ESD (</w:t>
      </w:r>
      <w:r>
        <w:rPr>
          <w:i/>
          <w:iCs/>
        </w:rPr>
        <w:t xml:space="preserve">W</w:t>
      </w:r>
      <w:r>
        <w:t xml:space="preserve"> = 0.990, </w:t>
      </w:r>
      <w:r>
        <w:rPr>
          <w:i/>
          <w:iCs/>
        </w:rPr>
        <w:t xml:space="preserve">p</w:t>
      </w:r>
      <w:r>
        <w:t xml:space="preserve"> = .704), and RPP Integratif (</w:t>
      </w:r>
      <w:r>
        <w:rPr>
          <w:i/>
          <w:iCs/>
        </w:rPr>
        <w:t xml:space="preserve">W</w:t>
      </w:r>
      <w:r>
        <w:t xml:space="preserve"> = 0.986, </w:t>
      </w:r>
      <w:r>
        <w:rPr>
          <w:i/>
          <w:iCs/>
        </w:rPr>
        <w:t xml:space="preserve">p</w:t>
      </w:r>
      <w:r>
        <w:t xml:space="preserve"> = .418) were normally distributed (</w:t>
      </w:r>
      <w:r>
        <w:rPr>
          <w:i/>
          <w:iCs/>
        </w:rPr>
        <w:t xml:space="preserve">p</w:t>
      </w:r>
      <w:r>
        <w:t xml:space="preserve"> &gt; .05). The TPACK difference scores departed significantly from normality (</w:t>
      </w:r>
      <w:r>
        <w:rPr>
          <w:i/>
          <w:iCs/>
        </w:rPr>
        <w:t xml:space="preserve">W</w:t>
      </w:r>
      <w:r>
        <w:t xml:space="preserve"> = 0.968, </w:t>
      </w:r>
      <w:r>
        <w:rPr>
          <w:i/>
          <w:iCs/>
        </w:rPr>
        <w:t xml:space="preserve">p</w:t>
      </w:r>
      <w:r>
        <w:t xml:space="preserve"> = .020). Accordingly, the paired-samples t-test was applied to STEM, ESD, and RPP Integratif, while the Wilcoxon signed-rank test was used for TPACK.</w:t>
      </w:r>
    </w:p>
    <w:p>
      <w:pPr>
        <w:pStyle w:val="BodyText"/>
      </w:pPr>
      <w:r>
        <w:t xml:space="preserve"/>
      </w:r>
    </w:p>
    <w:p>
      <w:pPr>
        <w:pStyle w:val="BodyText"/>
      </w:pPr>
      <w:r>
        <w:rPr>
          <w:b/>
          <w:bCs/>
        </w:rPr>
        <w:t xml:space="preserve">Table 3.</w:t>
      </w:r>
      <w:r>
        <w:t xml:space="preserve"> Shapiro-Wilk Normality Test Results for Difference Scores</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Construct</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W</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p</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Normal</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0.968</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.020</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0.977</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.088</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0.990</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.704</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RPP Integratif</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0.986</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.418</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bl>
    <w:p>
      <w:pPr>
        <w:pStyle w:val="BodyText"/>
      </w:pPr>
      <w:r>
        <w:t xml:space="preserve"/>
      </w:r>
    </w:p>
    <w:p>
      <w:pPr>
        <w:pStyle w:val="Heading3"/>
        <w:jc w:val="left"/>
      </w:pPr>
      <w:r>
        <w:t xml:space="preserve">Paired Tests and Effect Sizes</w:t>
      </w:r>
    </w:p>
    <w:p>
      <w:pPr>
        <w:pStyle w:val="BodyText"/>
      </w:pPr>
      <w:r>
        <w:t xml:space="preserve"/>
      </w:r>
    </w:p>
    <w:p>
      <w:pPr>
        <w:pStyle w:val="BodyText"/>
      </w:pPr>
      <w:r>
        <w:t xml:space="preserve">All four constructs exhibited statistically significant improvements from pretest to posttest (Table 4). Effect sizes were uniformly large, with Cohen's </w:t>
      </w:r>
      <w:r>
        <w:rPr>
          <w:i/>
          <w:iCs/>
        </w:rPr>
        <w:t xml:space="preserve">d</w:t>
      </w:r>
      <w:r>
        <w:t xml:space="preserve"> values exceeding 2.3 for all constructs. The largest effect size was observed for RPP Integratif (</w:t>
      </w:r>
      <w:r>
        <w:rPr>
          <w:i/>
          <w:iCs/>
        </w:rPr>
        <w:t xml:space="preserve">d</w:t>
      </w:r>
      <w:r>
        <w:t xml:space="preserve"> = 4.194), reflecting the highly consistent nature of improvement across all integration indicators combined.</w:t>
      </w:r>
    </w:p>
    <w:p>
      <w:pPr>
        <w:pStyle w:val="BodyText"/>
      </w:pPr>
      <w:r>
        <w:t xml:space="preserve"/>
      </w:r>
    </w:p>
    <w:p>
      <w:pPr>
        <w:pStyle w:val="BodyText"/>
      </w:pPr>
      <w:r>
        <w:rPr>
          <w:b/>
          <w:bCs/>
        </w:rPr>
        <w:t xml:space="preserve">Table 4.</w:t>
      </w:r>
      <w:r>
        <w:t xml:space="preserve"> Paired Test Results</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Construct</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Test</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Statistic</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p</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Cohen's d</w:t>
            </w:r>
          </w:p>
        </w:tc>
        <w:tc>
          <w:tcPr>
            <w:tcW w:type="dxa" w:w="1560"/>
            <w:tcBorders>
              <w:top w:val="single" w:color="D0D0D0" w:sz="1"/>
              <w:left w:val="single" w:color="D0D0D0" w:sz="1"/>
              <w:bottom w:val="single" w:color="D0D0D0" w:sz="1"/>
              <w:right w:val="single" w:color="D0D0D0" w:sz="1"/>
            </w:tcBorders>
            <w:shd w:fill="EFEFEF" w:val="clear"/>
          </w:tcPr>
          <w:p>
            <w:pPr>
              <w:jc w:val="center"/>
            </w:pPr>
            <w:r>
              <w:rPr>
                <w:b/>
                <w:bCs/>
              </w:rPr>
              <w:t xml:space="preserve">Interpretation</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Wilcoxon</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W = 0.0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&lt; .001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2.705</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Paired t</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t(94) = 25.90</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&lt; .001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2.657</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Paired t</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t(94) = 22.79</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&lt; .001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2.338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r>
        <w:trPr>
          <w:tblHeader w:val="false"/>
        </w:trPr>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RPP Integratif</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Paired t</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t(94) = 40.88</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&lt; .001</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4.194</w:t>
            </w:r>
          </w:p>
        </w:tc>
        <w:tc>
          <w:tcPr>
            <w:tcW w:type="dxa" w:w="1560"/>
            <w:tcBorders>
              <w:top w:val="single" w:color="D0D0D0" w:sz="1"/>
              <w:left w:val="single" w:color="D0D0D0" w:sz="1"/>
              <w:bottom w:val="single" w:color="D0D0D0" w:sz="1"/>
              <w:right w:val="single" w:color="D0D0D0" w:sz="1"/>
            </w:tcBorders>
          </w:tcPr>
          <w:p>
            <w:pPr>
              <w:jc w:val="left"/>
            </w:pPr>
            <w:r>
              <w:rPr>
                <w:b w:val="false"/>
                <w:bCs w:val="false"/>
              </w:rPr>
              <w:t xml:space="preserve">Large</w:t>
            </w:r>
          </w:p>
        </w:tc>
      </w:tr>
    </w:tbl>
    <w:p>
      <w:pPr>
        <w:pStyle w:val="BodyText"/>
      </w:pPr>
      <w:r>
        <w:t xml:space="preserve"/>
      </w:r>
    </w:p>
    <w:p>
      <w:pPr>
        <w:pStyle w:val="BodyText"/>
      </w:pPr>
      <w:r>
        <w:rPr>
          <w:i/>
          <w:iCs/>
        </w:rPr>
        <w:t xml:space="preserve">Note.</w:t>
      </w:r>
      <w:r>
        <w:t xml:space="preserve"> Wilcoxon W = 0.0 indicates all participants improved; Cohen's d for TPACK computed from means and pooled SD.</w:t>
      </w:r>
    </w:p>
    <w:p>
      <w:pPr>
        <w:pStyle w:val="BodyText"/>
      </w:pPr>
      <w:r>
        <w:t xml:space="preserve"/>
      </w:r>
    </w:p>
    <w:p>
      <w:pPr>
        <w:pStyle w:val="Heading3"/>
        <w:jc w:val="left"/>
      </w:pPr>
      <w:r>
        <w:t xml:space="preserve">Normalized Gain</w:t>
      </w:r>
    </w:p>
    <w:p>
      <w:pPr>
        <w:pStyle w:val="BodyText"/>
      </w:pPr>
      <w:r>
        <w:t xml:space="preserve"/>
      </w:r>
    </w:p>
    <w:p>
      <w:pPr>
        <w:pStyle w:val="BodyText"/>
      </w:pPr>
      <w:r>
        <w:t xml:space="preserve">N-Gain analysis (Table 5) revealed that all constructs achieved Medium gain (0.3--0.7). TPACK obtained the highest mean N-Gain (</w:t>
      </w:r>
      <w:r>
        <w:rPr>
          <w:i/>
          <w:iCs/>
        </w:rPr>
        <w:t xml:space="preserve">M</w:t>
      </w:r>
      <w:r>
        <w:t xml:space="preserve"> = 0.596, </w:t>
      </w:r>
      <w:r>
        <w:rPr>
          <w:i/>
          <w:iCs/>
        </w:rPr>
        <w:t xml:space="preserve">SD</w:t>
      </w:r>
      <w:r>
        <w:t xml:space="preserve"> = 0.160), followed by STEM (</w:t>
      </w:r>
      <w:r>
        <w:rPr>
          <w:i/>
          <w:iCs/>
        </w:rPr>
        <w:t xml:space="preserve">M</w:t>
      </w:r>
      <w:r>
        <w:t xml:space="preserve"> = 0.574, </w:t>
      </w:r>
      <w:r>
        <w:rPr>
          <w:i/>
          <w:iCs/>
        </w:rPr>
        <w:t xml:space="preserve">SD</w:t>
      </w:r>
      <w:r>
        <w:t xml:space="preserve"> = 0.179), RPP Integratif (</w:t>
      </w:r>
      <w:r>
        <w:rPr>
          <w:i/>
          <w:iCs/>
        </w:rPr>
        <w:t xml:space="preserve">M</w:t>
      </w:r>
      <w:r>
        <w:t xml:space="preserve"> = 0.513, </w:t>
      </w:r>
      <w:r>
        <w:rPr>
          <w:i/>
          <w:iCs/>
        </w:rPr>
        <w:t xml:space="preserve">SD</w:t>
      </w:r>
      <w:r>
        <w:t xml:space="preserve"> = 0.103), and ESD (</w:t>
      </w:r>
      <w:r>
        <w:rPr>
          <w:i/>
          <w:iCs/>
        </w:rPr>
        <w:t xml:space="preserve">M</w:t>
      </w:r>
      <w:r>
        <w:t xml:space="preserve"> = 0.376, </w:t>
      </w:r>
      <w:r>
        <w:rPr>
          <w:i/>
          <w:iCs/>
        </w:rPr>
        <w:t xml:space="preserve">SD</w:t>
      </w:r>
      <w:r>
        <w:t xml:space="preserve"> = 0.129).</w:t>
      </w:r>
    </w:p>
    <w:p>
      <w:pPr>
        <w:pStyle w:val="BodyText"/>
      </w:pPr>
      <w:r>
        <w:t xml:space="preserve"/>
      </w:r>
    </w:p>
    <w:p>
      <w:pPr>
        <w:pStyle w:val="BodyText"/>
      </w:pPr>
      <w:r>
        <w:rPr>
          <w:b/>
          <w:bCs/>
        </w:rPr>
        <w:t xml:space="preserve">Table 5.</w:t>
      </w:r>
      <w:r>
        <w:t xml:space="preserve"> N-Gain Summary</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Construct</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N-Gain M</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SD</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Category</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High (%)</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Medium (%)</w:t>
            </w:r>
          </w:p>
        </w:tc>
        <w:tc>
          <w:tcPr>
            <w:tcW w:type="dxa" w:w="1337"/>
            <w:tcBorders>
              <w:top w:val="single" w:color="D0D0D0" w:sz="1"/>
              <w:left w:val="single" w:color="D0D0D0" w:sz="1"/>
              <w:bottom w:val="single" w:color="D0D0D0" w:sz="1"/>
              <w:right w:val="single" w:color="D0D0D0" w:sz="1"/>
            </w:tcBorders>
            <w:shd w:fill="EFEFEF" w:val="clear"/>
          </w:tcPr>
          <w:p>
            <w:pPr>
              <w:jc w:val="center"/>
            </w:pPr>
            <w:r>
              <w:rPr>
                <w:b/>
                <w:bCs/>
              </w:rPr>
              <w:t xml:space="preserve">Low (%)</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0.596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0.160</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Medium</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26.3</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72.6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1.1</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0.574</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0.179</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Medium</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24.2</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69.5</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6.3</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0.376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0.129</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Medium</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0.0</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71.6</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28.4</w:t>
            </w:r>
          </w:p>
        </w:tc>
      </w:tr>
      <w:tr>
        <w:trPr>
          <w:tblHeader w:val="false"/>
        </w:trPr>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RPP Integratif</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0.513</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0.103</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Medium</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3.2</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95.8</w:t>
            </w:r>
          </w:p>
        </w:tc>
        <w:tc>
          <w:tcPr>
            <w:tcW w:type="dxa" w:w="1337"/>
            <w:tcBorders>
              <w:top w:val="single" w:color="D0D0D0" w:sz="1"/>
              <w:left w:val="single" w:color="D0D0D0" w:sz="1"/>
              <w:bottom w:val="single" w:color="D0D0D0" w:sz="1"/>
              <w:right w:val="single" w:color="D0D0D0" w:sz="1"/>
            </w:tcBorders>
          </w:tcPr>
          <w:p>
            <w:pPr>
              <w:jc w:val="left"/>
            </w:pPr>
            <w:r>
              <w:rPr>
                <w:b w:val="false"/>
                <w:bCs w:val="false"/>
              </w:rPr>
              <w:t xml:space="preserve">1.1</w:t>
            </w:r>
          </w:p>
        </w:tc>
      </w:tr>
    </w:tbl>
    <w:p>
      <w:pPr>
        <w:pStyle w:val="BodyText"/>
      </w:pPr>
      <w:r>
        <w:t xml:space="preserve"/>
      </w:r>
    </w:p>
    <w:p>
      <w:pPr>
        <w:pStyle w:val="BodyText"/>
      </w:pPr>
      <w:r>
        <w:t xml:space="preserve">The distribution of individual N-Gain categories revealed notable differences across constructs. TPACK and STEM each had approximately one-quarter of participants achieving High gains (26.3% and 24.2%, respectively). In contrast, no participant achieved a High N-Gain for ESD, and 28.4% of participants remained in the Low category—the highest proportion of Low-gain participants among all constructs. This pattern suggests that ESD competences were less responsive to the PjBL intervention compared to TPACK and STEM.</w:t>
      </w:r>
    </w:p>
    <w:p>
      <w:pPr>
        <w:pStyle w:val="BodyText"/>
      </w:pPr>
      <w:r>
        <w:t xml:space="preserve"/>
      </w:r>
    </w:p>
    <w:p>
      <w:pPr>
        <w:pStyle w:val="Heading2"/>
        <w:jc w:val="left"/>
      </w:pPr>
      <w:r>
        <w:t xml:space="preserve">4.3 RQ2--RQ5: PLS-SEM Analysis</w:t>
      </w:r>
    </w:p>
    <w:p>
      <w:pPr>
        <w:pStyle w:val="BodyText"/>
      </w:pPr>
      <w:r>
        <w:t xml:space="preserve"/>
      </w:r>
    </w:p>
    <w:p>
      <w:pPr>
        <w:pStyle w:val="Heading3"/>
        <w:jc w:val="left"/>
      </w:pPr>
      <w:r>
        <w:t xml:space="preserve">Measurement Model Evaluation</w:t>
      </w:r>
    </w:p>
    <w:p>
      <w:pPr>
        <w:pStyle w:val="BodyText"/>
      </w:pPr>
      <w:r>
        <w:t xml:space="preserve"/>
      </w:r>
    </w:p>
    <w:p>
      <w:pPr>
        <w:pStyle w:val="BodyText"/>
      </w:pPr>
      <w:r>
        <w:t xml:space="preserve">Table 6 presents the outer loadings for all indicators. All ESD indicators exceeded the 0.708 threshold, with ESD-INQ exhibiting the highest loading (0.910). Among TPACK indicators, three met the threshold (TPK = 0.758, TCK = 0.792, TPACK = 0.759), while TK (0.684), CK (0.676), PK (0.249), and PCK (0.411) fell below it. For STEM, M_post (0.911) and T_post (0.716) met the threshold, while S_post (0.489) and E_post (0.589) did not. PjBL indicators exhibited the weakest loadings overall, with only PjBL03 (0.748) approaching adequacy, while PjBL04 (0.206) was particularly low. The RPP construct, operationalized as a single indicator, had a fixed loading of 1.000.</w:t>
      </w:r>
    </w:p>
    <w:p>
      <w:pPr>
        <w:pStyle w:val="BodyText"/>
      </w:pPr>
      <w:r>
        <w:t xml:space="preserve"/>
      </w:r>
    </w:p>
    <w:p>
      <w:pPr>
        <w:pStyle w:val="BodyText"/>
      </w:pPr>
      <w:r>
        <w:rPr>
          <w:b/>
          <w:bCs/>
        </w:rPr>
        <w:t xml:space="preserve">Table 6.</w:t>
      </w:r>
      <w:r>
        <w:t xml:space="preserve"> Outer Loadings</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Construct</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Indicator</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Loading</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&gt;= 0.708</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ESD-EVA</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0.767</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ESD-INQ</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0.910</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ESD-PCK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0.857</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PjBL01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0.682</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PjBL02</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0.461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PjBL03</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0.748</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PjBL04</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0.206</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0.684</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0.249</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0.676</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0.758</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0.792</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0.411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TPACK_int</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0.759</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Science</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0.489</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Technology</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0.716</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Engineering</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0.589</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No</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Mathematics</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0.911</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RPP</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RPPInt_total</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Yes</w:t>
            </w:r>
          </w:p>
        </w:tc>
      </w:tr>
    </w:tbl>
    <w:p>
      <w:pPr>
        <w:pStyle w:val="BodyText"/>
      </w:pPr>
      <w:r>
        <w:t xml:space="preserve"/>
      </w:r>
    </w:p>
    <w:p>
      <w:pPr>
        <w:pStyle w:val="BodyText"/>
      </w:pPr>
      <w:r>
        <w:rPr>
          <w:i/>
          <w:iCs/>
        </w:rPr>
        <w:t xml:space="preserve">Note.</w:t>
      </w:r>
      <w:r>
        <w:t xml:space="preserve"> Indicators with loadings between 0.40 and 0.70 were retained following Hair et al.'s (2022) recommendation for exploratory research.</w:t>
      </w:r>
    </w:p>
    <w:p>
      <w:pPr>
        <w:pStyle w:val="BodyText"/>
      </w:pPr>
      <w:r>
        <w:t xml:space="preserve"/>
      </w:r>
    </w:p>
    <w:p>
      <w:pPr>
        <w:pStyle w:val="BodyText"/>
      </w:pPr>
      <w:r>
        <w:t xml:space="preserve">Table 7 reports the construct-level reliability and validity indices. ESD met all criteria (AVE = 0.718, CR = 0.886, alpha = 0.807). TPACK exhibited adequate composite reliability (CR = 0.834) and internal consistency (alpha = 0.766), though its AVE (0.419) fell below the 0.50 threshold. STEM showed a borderline AVE (0.482) with acceptable CR (0.814). PjBL had the weakest measurement quality (AVE = 0.320, CR = 0.683, alpha = 0.386), all falling below standard thresholds—a limitation discussed in Section 5.8.</w:t>
      </w:r>
    </w:p>
    <w:p>
      <w:pPr>
        <w:pStyle w:val="BodyText"/>
      </w:pPr>
      <w:r>
        <w:t xml:space="preserve"/>
      </w:r>
    </w:p>
    <w:p>
      <w:pPr>
        <w:pStyle w:val="BodyText"/>
      </w:pPr>
      <w:r>
        <w:rPr>
          <w:b/>
          <w:bCs/>
        </w:rPr>
        <w:t xml:space="preserve">Table 7.</w:t>
      </w:r>
      <w:r>
        <w:t xml:space="preserve"> Construct Reliability and Convergent Validity</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Construct</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AVE</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CR</w:t>
            </w:r>
          </w:p>
        </w:tc>
        <w:tc>
          <w:tcPr>
            <w:tcW w:type="dxa" w:w="2340"/>
            <w:tcBorders>
              <w:top w:val="single" w:color="D0D0D0" w:sz="1"/>
              <w:left w:val="single" w:color="D0D0D0" w:sz="1"/>
              <w:bottom w:val="single" w:color="D0D0D0" w:sz="1"/>
              <w:right w:val="single" w:color="D0D0D0" w:sz="1"/>
            </w:tcBorders>
            <w:shd w:fill="EFEFEF" w:val="clear"/>
          </w:tcPr>
          <w:p>
            <w:pPr>
              <w:jc w:val="center"/>
            </w:pPr>
            <w:r>
              <w:rPr>
                <w:b/>
                <w:bCs/>
              </w:rPr>
              <w:t xml:space="preserve">Cronbach's alpha</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0.718</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0.886</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0.807</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PjBL</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0.320</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0.683</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0.386</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RPP</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1.000</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0.482</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0.814</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0.694</w:t>
            </w:r>
          </w:p>
        </w:tc>
      </w:tr>
      <w:tr>
        <w:trPr>
          <w:tblHeader w:val="false"/>
        </w:trPr>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0.419</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0.834</w:t>
            </w:r>
          </w:p>
        </w:tc>
        <w:tc>
          <w:tcPr>
            <w:tcW w:type="dxa" w:w="2340"/>
            <w:tcBorders>
              <w:top w:val="single" w:color="D0D0D0" w:sz="1"/>
              <w:left w:val="single" w:color="D0D0D0" w:sz="1"/>
              <w:bottom w:val="single" w:color="D0D0D0" w:sz="1"/>
              <w:right w:val="single" w:color="D0D0D0" w:sz="1"/>
            </w:tcBorders>
          </w:tcPr>
          <w:p>
            <w:pPr>
              <w:jc w:val="left"/>
            </w:pPr>
            <w:r>
              <w:rPr>
                <w:b w:val="false"/>
                <w:bCs w:val="false"/>
              </w:rPr>
              <w:t xml:space="preserve">0.766</w:t>
            </w:r>
          </w:p>
        </w:tc>
      </w:tr>
    </w:tbl>
    <w:p>
      <w:pPr>
        <w:pStyle w:val="BodyText"/>
      </w:pPr>
      <w:r>
        <w:t xml:space="preserve"/>
      </w:r>
    </w:p>
    <w:p>
      <w:pPr>
        <w:pStyle w:val="BodyText"/>
      </w:pPr>
      <w:r>
        <w:rPr>
          <w:i/>
          <w:iCs/>
        </w:rPr>
        <w:t xml:space="preserve">Note.</w:t>
      </w:r>
      <w:r>
        <w:t xml:space="preserve"> Thresholds: AVE &gt;= 0.50, CR &gt;= 0.70, alpha &gt;= 0.70. RPP is a single-indicator construct.</w:t>
      </w:r>
    </w:p>
    <w:p>
      <w:pPr>
        <w:pStyle w:val="BodyText"/>
      </w:pPr>
      <w:r>
        <w:t xml:space="preserve"/>
      </w:r>
    </w:p>
    <w:p>
      <w:pPr>
        <w:pStyle w:val="BodyText"/>
      </w:pPr>
      <w:r>
        <w:t xml:space="preserve">Discriminant validity was assessed via the HTMT ratio (Table 7b). All pairwise HTMT values were below 0.90 (Henseler et al., 2015), supporting discriminant validity. The highest HTMT was observed for the TPACK--STEM pair (0.770), indicating substantial but distinguishable correlation.</w:t>
      </w:r>
    </w:p>
    <w:p>
      <w:pPr>
        <w:pStyle w:val="BodyText"/>
      </w:pPr>
      <w:r>
        <w:t xml:space="preserve"/>
      </w:r>
    </w:p>
    <w:p>
      <w:pPr>
        <w:pStyle w:val="BodyText"/>
      </w:pPr>
      <w:r>
        <w:rPr>
          <w:b/>
          <w:bCs/>
        </w:rPr>
        <w:t xml:space="preserve">Table 7b.</w:t>
      </w:r>
      <w:r>
        <w:t xml:space="preserve"> Heterotrait-Monotrait (HTMT) Ratio Matrix</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
            </w:r>
          </w:p>
        </w:tc>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PjBL</w:t>
            </w:r>
          </w:p>
        </w:tc>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TPACK</w:t>
            </w:r>
          </w:p>
        </w:tc>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STEM</w:t>
            </w:r>
          </w:p>
        </w:tc>
        <w:tc>
          <w:tcPr>
            <w:tcW w:type="dxa" w:w="1872"/>
            <w:tcBorders>
              <w:top w:val="single" w:color="D0D0D0" w:sz="1"/>
              <w:left w:val="single" w:color="D0D0D0" w:sz="1"/>
              <w:bottom w:val="single" w:color="D0D0D0" w:sz="1"/>
              <w:right w:val="single" w:color="D0D0D0" w:sz="1"/>
            </w:tcBorders>
            <w:shd w:fill="EFEFEF" w:val="clear"/>
          </w:tcPr>
          <w:p>
            <w:pPr>
              <w:jc w:val="center"/>
            </w:pPr>
            <w:r>
              <w:rPr>
                <w:b/>
                <w:bCs/>
              </w:rPr>
              <w:t xml:space="preserve">ESD</w:t>
            </w:r>
          </w:p>
        </w:tc>
      </w:tr>
      <w:tr>
        <w:trPr>
          <w:tblHeader w:val="false"/>
        </w:trPr>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PjBL</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
            </w:r>
          </w:p>
        </w:tc>
      </w:tr>
      <w:tr>
        <w:trPr>
          <w:tblHeader w:val="false"/>
        </w:trPr>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TPACK</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0.385</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
            </w:r>
          </w:p>
        </w:tc>
      </w:tr>
      <w:tr>
        <w:trPr>
          <w:tblHeader w:val="false"/>
        </w:trPr>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STEM</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0.540</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0.770</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
            </w:r>
          </w:p>
        </w:tc>
      </w:tr>
      <w:tr>
        <w:trPr>
          <w:tblHeader w:val="false"/>
        </w:trPr>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ESD</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0.343</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0.298</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0.457</w:t>
            </w:r>
          </w:p>
        </w:tc>
        <w:tc>
          <w:tcPr>
            <w:tcW w:type="dxa" w:w="1872"/>
            <w:tcBorders>
              <w:top w:val="single" w:color="D0D0D0" w:sz="1"/>
              <w:left w:val="single" w:color="D0D0D0" w:sz="1"/>
              <w:bottom w:val="single" w:color="D0D0D0" w:sz="1"/>
              <w:right w:val="single" w:color="D0D0D0" w:sz="1"/>
            </w:tcBorders>
          </w:tcPr>
          <w:p>
            <w:pPr>
              <w:jc w:val="left"/>
            </w:pPr>
            <w:r>
              <w:rPr>
                <w:b w:val="false"/>
                <w:bCs w:val="false"/>
              </w:rPr>
              <w:t xml:space="preserve">—</w:t>
            </w:r>
          </w:p>
        </w:tc>
      </w:tr>
    </w:tbl>
    <w:p>
      <w:pPr>
        <w:pStyle w:val="BodyText"/>
      </w:pPr>
      <w:r>
        <w:t xml:space="preserve"/>
      </w:r>
    </w:p>
    <w:p>
      <w:pPr>
        <w:pStyle w:val="BodyText"/>
      </w:pPr>
      <w:r>
        <w:rPr>
          <w:i/>
          <w:iCs/>
        </w:rPr>
        <w:t xml:space="preserve">Note.</w:t>
      </w:r>
      <w:r>
        <w:t xml:space="preserve"> All values &lt; 0.90, supporting discriminant validity.</w:t>
      </w:r>
    </w:p>
    <w:p>
      <w:pPr>
        <w:pStyle w:val="BodyText"/>
      </w:pPr>
      <w:r>
        <w:t xml:space="preserve"/>
      </w:r>
    </w:p>
    <w:p>
      <w:pPr>
        <w:pStyle w:val="Heading3"/>
        <w:jc w:val="left"/>
      </w:pPr>
      <w:r>
        <w:t xml:space="preserve">Structural Model: Direct Effects (RQ2)</w:t>
      </w:r>
    </w:p>
    <w:p>
      <w:pPr>
        <w:pStyle w:val="BodyText"/>
      </w:pPr>
      <w:r>
        <w:t xml:space="preserve"/>
      </w:r>
    </w:p>
    <w:p>
      <w:pPr>
        <w:pStyle w:val="BodyText"/>
      </w:pPr>
      <w:r>
        <w:t xml:space="preserve">Table 8 presents the path coefficients, bootstrap statistics, and effect sizes for the structural model. PjBL exerted a significant positive effect on STEM (beta = 0.291, </w:t>
      </w:r>
      <w:r>
        <w:rPr>
          <w:i/>
          <w:iCs/>
        </w:rPr>
        <w:t xml:space="preserve">p</w:t>
      </w:r>
      <w:r>
        <w:t xml:space="preserve"> &lt; .001, </w:t>
      </w:r>
      <w:r>
        <w:rPr>
          <w:i/>
          <w:iCs/>
        </w:rPr>
        <w:t xml:space="preserve">f</w:t>
      </w:r>
      <w:r>
        <w:t xml:space="preserve">^2 = 0.092) and TPACK (beta = 0.199, </w:t>
      </w:r>
      <w:r>
        <w:rPr>
          <w:i/>
          <w:iCs/>
        </w:rPr>
        <w:t xml:space="preserve">p</w:t>
      </w:r>
      <w:r>
        <w:t xml:space="preserve"> = .027, </w:t>
      </w:r>
      <w:r>
        <w:rPr>
          <w:i/>
          <w:iCs/>
        </w:rPr>
        <w:t xml:space="preserve">f</w:t>
      </w:r>
      <w:r>
        <w:t xml:space="preserve">^2 = 0.041), both with small effect sizes. The path from PjBL to ESD was positive but not statistically significant (beta = 0.188, </w:t>
      </w:r>
      <w:r>
        <w:rPr>
          <w:i/>
          <w:iCs/>
        </w:rPr>
        <w:t xml:space="preserve">p</w:t>
      </w:r>
      <w:r>
        <w:t xml:space="preserve"> = .109, </w:t>
      </w:r>
      <w:r>
        <w:rPr>
          <w:i/>
          <w:iCs/>
        </w:rPr>
        <w:t xml:space="preserve">f</w:t>
      </w:r>
      <w:r>
        <w:t xml:space="preserve">^2 = 0.037). The direct path from PjBL to RPP was negligible and non-significant (beta = 0.013, </w:t>
      </w:r>
      <w:r>
        <w:rPr>
          <w:i/>
          <w:iCs/>
        </w:rPr>
        <w:t xml:space="preserve">p</w:t>
      </w:r>
      <w:r>
        <w:t xml:space="preserve"> = .731).</w:t>
      </w:r>
    </w:p>
    <w:p>
      <w:pPr>
        <w:pStyle w:val="BodyText"/>
      </w:pPr>
      <w:r>
        <w:t xml:space="preserve"/>
      </w:r>
    </w:p>
    <w:p>
      <w:pPr>
        <w:pStyle w:val="BodyText"/>
      </w:pPr>
      <w:r>
        <w:t xml:space="preserve">All three integration dimensions exerted strong, significant effects on RPP quality: STEM showed the largest coefficient (beta = 0.492, </w:t>
      </w:r>
      <w:r>
        <w:rPr>
          <w:i/>
          <w:iCs/>
        </w:rPr>
        <w:t xml:space="preserve">p</w:t>
      </w:r>
      <w:r>
        <w:t xml:space="preserve"> &lt; .001, </w:t>
      </w:r>
      <w:r>
        <w:rPr>
          <w:i/>
          <w:iCs/>
        </w:rPr>
        <w:t xml:space="preserve">f</w:t>
      </w:r>
      <w:r>
        <w:t xml:space="preserve">^2 = 7.711), followed by TPACK (beta = 0.438, </w:t>
      </w:r>
      <w:r>
        <w:rPr>
          <w:i/>
          <w:iCs/>
        </w:rPr>
        <w:t xml:space="preserve">p</w:t>
      </w:r>
      <w:r>
        <w:t xml:space="preserve"> &lt; .001, </w:t>
      </w:r>
      <w:r>
        <w:rPr>
          <w:i/>
          <w:iCs/>
        </w:rPr>
        <w:t xml:space="preserve">f</w:t>
      </w:r>
      <w:r>
        <w:t xml:space="preserve">^2 = 7.120) and ESD (beta = 0.357, </w:t>
      </w:r>
      <w:r>
        <w:rPr>
          <w:i/>
          <w:iCs/>
        </w:rPr>
        <w:t xml:space="preserve">p</w:t>
      </w:r>
      <w:r>
        <w:t xml:space="preserve"> &lt; .001, </w:t>
      </w:r>
      <w:r>
        <w:rPr>
          <w:i/>
          <w:iCs/>
        </w:rPr>
        <w:t xml:space="preserve">f</w:t>
      </w:r>
      <w:r>
        <w:t xml:space="preserve">^2 = 5.572). All three </w:t>
      </w:r>
      <w:r>
        <w:rPr>
          <w:i/>
          <w:iCs/>
        </w:rPr>
        <w:t xml:space="preserve">f</w:t>
      </w:r>
      <w:r>
        <w:t xml:space="preserve">^2 values exceeded the large-effect threshold of 0.35.</w:t>
      </w:r>
    </w:p>
    <w:p>
      <w:pPr>
        <w:pStyle w:val="BodyText"/>
      </w:pPr>
      <w:r>
        <w:t xml:space="preserve"/>
      </w:r>
    </w:p>
    <w:p>
      <w:pPr>
        <w:pStyle w:val="BodyText"/>
      </w:pPr>
      <w:r>
        <w:rPr>
          <w:b/>
          <w:bCs/>
        </w:rPr>
        <w:t xml:space="preserve">Table 8.</w:t>
      </w:r>
      <w:r>
        <w:t xml:space="preserve"> Structural Model — Path Coefficients and Significance</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D0D0D0" w:sz="1"/>
              <w:left w:val="single" w:color="D0D0D0" w:sz="1"/>
              <w:bottom w:val="single" w:color="D0D0D0" w:sz="1"/>
              <w:right w:val="single" w:color="D0D0D0" w:sz="1"/>
            </w:tcBorders>
            <w:shd w:fill="EFEFEF" w:val="clear"/>
          </w:tcPr>
          <w:p>
            <w:pPr>
              <w:jc w:val="center"/>
            </w:pPr>
            <w:r>
              <w:rPr>
                <w:b/>
                <w:bCs/>
              </w:rPr>
              <w:t xml:space="preserve">Path</w:t>
            </w:r>
          </w:p>
        </w:tc>
        <w:tc>
          <w:tcPr>
            <w:tcW w:type="dxa" w:w="1170"/>
            <w:tcBorders>
              <w:top w:val="single" w:color="D0D0D0" w:sz="1"/>
              <w:left w:val="single" w:color="D0D0D0" w:sz="1"/>
              <w:bottom w:val="single" w:color="D0D0D0" w:sz="1"/>
              <w:right w:val="single" w:color="D0D0D0" w:sz="1"/>
            </w:tcBorders>
            <w:shd w:fill="EFEFEF" w:val="clear"/>
          </w:tcPr>
          <w:p>
            <w:pPr>
              <w:jc w:val="center"/>
            </w:pPr>
            <w:r>
              <w:rPr>
                <w:b/>
                <w:bCs/>
              </w:rPr>
              <w:t xml:space="preserve">beta</w:t>
            </w:r>
          </w:p>
        </w:tc>
        <w:tc>
          <w:tcPr>
            <w:tcW w:type="dxa" w:w="1170"/>
            <w:tcBorders>
              <w:top w:val="single" w:color="D0D0D0" w:sz="1"/>
              <w:left w:val="single" w:color="D0D0D0" w:sz="1"/>
              <w:bottom w:val="single" w:color="D0D0D0" w:sz="1"/>
              <w:right w:val="single" w:color="D0D0D0" w:sz="1"/>
            </w:tcBorders>
            <w:shd w:fill="EFEFEF" w:val="clear"/>
          </w:tcPr>
          <w:p>
            <w:pPr>
              <w:jc w:val="center"/>
            </w:pPr>
            <w:r>
              <w:rPr>
                <w:b/>
                <w:bCs/>
              </w:rPr>
              <w:t xml:space="preserve">SE</w:t>
            </w:r>
          </w:p>
        </w:tc>
        <w:tc>
          <w:tcPr>
            <w:tcW w:type="dxa" w:w="1170"/>
            <w:tcBorders>
              <w:top w:val="single" w:color="D0D0D0" w:sz="1"/>
              <w:left w:val="single" w:color="D0D0D0" w:sz="1"/>
              <w:bottom w:val="single" w:color="D0D0D0" w:sz="1"/>
              <w:right w:val="single" w:color="D0D0D0" w:sz="1"/>
            </w:tcBorders>
            <w:shd w:fill="EFEFEF" w:val="clear"/>
          </w:tcPr>
          <w:p>
            <w:pPr>
              <w:jc w:val="center"/>
            </w:pPr>
            <w:r>
              <w:rPr>
                <w:b/>
                <w:bCs/>
              </w:rPr>
              <w:t xml:space="preserve">t</w:t>
            </w:r>
          </w:p>
        </w:tc>
        <w:tc>
          <w:tcPr>
            <w:tcW w:type="dxa" w:w="1170"/>
            <w:tcBorders>
              <w:top w:val="single" w:color="D0D0D0" w:sz="1"/>
              <w:left w:val="single" w:color="D0D0D0" w:sz="1"/>
              <w:bottom w:val="single" w:color="D0D0D0" w:sz="1"/>
              <w:right w:val="single" w:color="D0D0D0" w:sz="1"/>
            </w:tcBorders>
            <w:shd w:fill="EFEFEF" w:val="clear"/>
          </w:tcPr>
          <w:p>
            <w:pPr>
              <w:jc w:val="center"/>
            </w:pPr>
            <w:r>
              <w:rPr>
                <w:b/>
                <w:bCs/>
              </w:rPr>
              <w:t xml:space="preserve">p</w:t>
            </w:r>
          </w:p>
        </w:tc>
        <w:tc>
          <w:tcPr>
            <w:tcW w:type="dxa" w:w="1170"/>
            <w:tcBorders>
              <w:top w:val="single" w:color="D0D0D0" w:sz="1"/>
              <w:left w:val="single" w:color="D0D0D0" w:sz="1"/>
              <w:bottom w:val="single" w:color="D0D0D0" w:sz="1"/>
              <w:right w:val="single" w:color="D0D0D0" w:sz="1"/>
            </w:tcBorders>
            <w:shd w:fill="EFEFEF" w:val="clear"/>
          </w:tcPr>
          <w:p>
            <w:pPr>
              <w:jc w:val="center"/>
            </w:pPr>
            <w:r>
              <w:rPr>
                <w:b/>
                <w:bCs/>
              </w:rPr>
              <w:t xml:space="preserve">95% CI</w:t>
            </w:r>
          </w:p>
        </w:tc>
        <w:tc>
          <w:tcPr>
            <w:tcW w:type="dxa" w:w="1170"/>
            <w:tcBorders>
              <w:top w:val="single" w:color="D0D0D0" w:sz="1"/>
              <w:left w:val="single" w:color="D0D0D0" w:sz="1"/>
              <w:bottom w:val="single" w:color="D0D0D0" w:sz="1"/>
              <w:right w:val="single" w:color="D0D0D0" w:sz="1"/>
            </w:tcBorders>
            <w:shd w:fill="EFEFEF" w:val="clear"/>
          </w:tcPr>
          <w:p>
            <w:pPr>
              <w:jc w:val="center"/>
            </w:pPr>
            <w:r>
              <w:rPr>
                <w:b/>
                <w:bCs/>
              </w:rPr>
              <w:t xml:space="preserve">Sig.</w:t>
            </w:r>
          </w:p>
        </w:tc>
        <w:tc>
          <w:tcPr>
            <w:tcW w:type="dxa" w:w="1170"/>
            <w:tcBorders>
              <w:top w:val="single" w:color="D0D0D0" w:sz="1"/>
              <w:left w:val="single" w:color="D0D0D0" w:sz="1"/>
              <w:bottom w:val="single" w:color="D0D0D0" w:sz="1"/>
              <w:right w:val="single" w:color="D0D0D0" w:sz="1"/>
            </w:tcBorders>
            <w:shd w:fill="EFEFEF" w:val="clear"/>
          </w:tcPr>
          <w:p>
            <w:pPr>
              <w:jc w:val="center"/>
            </w:pPr>
            <w:r>
              <w:rPr>
                <w:b/>
                <w:bCs/>
              </w:rPr>
              <w:t xml:space="preserve">f^2</w:t>
            </w:r>
          </w:p>
        </w:tc>
      </w:tr>
      <w:tr>
        <w:trPr>
          <w:tblHeader w:val="false"/>
        </w:trPr>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PjBL -&gt; TPACK</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0.199</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0.102</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2.206</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.027</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[-0.024, 0.410]</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0.041 (S)</w:t>
            </w:r>
          </w:p>
        </w:tc>
      </w:tr>
      <w:tr>
        <w:trPr>
          <w:tblHeader w:val="false"/>
        </w:trPr>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PjBL -&gt; STEM</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0.291</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0.094</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3.327</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&lt; .001</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[0.124, 0.501]</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0.092 (S)</w:t>
            </w:r>
          </w:p>
        </w:tc>
      </w:tr>
      <w:tr>
        <w:trPr>
          <w:tblHeader w:val="false"/>
        </w:trPr>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PjBL -&gt; ESD</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0.188</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0.124</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1.600</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.109</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[-0.100, 0.426]</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0.037 (S)</w:t>
            </w:r>
          </w:p>
        </w:tc>
      </w:tr>
      <w:tr>
        <w:trPr>
          <w:tblHeader w:val="false"/>
        </w:trPr>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PjBL -&gt; RPP</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0.013</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0.016</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0.343</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.731</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[-0.025, 0.034]</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No</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0.008 (N)</w:t>
            </w:r>
          </w:p>
        </w:tc>
      </w:tr>
      <w:tr>
        <w:trPr>
          <w:tblHeader w:val="false"/>
        </w:trPr>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TPACK -&gt; RPP</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0.438</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0.032</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13.745</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&lt; .001</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[0.375, 0.499]</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7.120 (L)</w:t>
            </w:r>
          </w:p>
        </w:tc>
      </w:tr>
      <w:tr>
        <w:trPr>
          <w:tblHeader w:val="false"/>
        </w:trPr>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STEM -&gt; RPP</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0.492</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0.037</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13.344</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&lt; .001</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[0.416, 0.560]</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7.711 (L)</w:t>
            </w:r>
          </w:p>
        </w:tc>
      </w:tr>
      <w:tr>
        <w:trPr>
          <w:tblHeader w:val="false"/>
        </w:trPr>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ESD -&gt; RPP</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0.357</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0.036</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9.873</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&lt; .001</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[0.286, 0.429]</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Yes</w:t>
            </w:r>
          </w:p>
        </w:tc>
        <w:tc>
          <w:tcPr>
            <w:tcW w:type="dxa" w:w="1170"/>
            <w:tcBorders>
              <w:top w:val="single" w:color="D0D0D0" w:sz="1"/>
              <w:left w:val="single" w:color="D0D0D0" w:sz="1"/>
              <w:bottom w:val="single" w:color="D0D0D0" w:sz="1"/>
              <w:right w:val="single" w:color="D0D0D0" w:sz="1"/>
            </w:tcBorders>
          </w:tcPr>
          <w:p>
            <w:pPr>
              <w:jc w:val="left"/>
            </w:pPr>
            <w:r>
              <w:rPr>
                <w:b w:val="false"/>
                <w:bCs w:val="false"/>
              </w:rPr>
              <w:t xml:space="preserve">5.572 (L)</w:t>
            </w:r>
          </w:p>
        </w:tc>
      </w:tr>
    </w:tbl>
    <w:p>
      <w:pPr>
        <w:pStyle w:val="BodyText"/>
      </w:pPr>
      <w:r>
        <w:t xml:space="preserve"/>
      </w:r>
    </w:p>
    <w:p>
      <w:pPr>
        <w:pStyle w:val="BodyText"/>
      </w:pPr>
      <w:r>
        <w:rPr>
          <w:i/>
          <w:iCs/>
        </w:rPr>
        <w:t xml:space="preserve">Note.</w:t>
      </w:r>
      <w:r>
        <w:t xml:space="preserve"> S = Small, L = Large, N = Negligible. Bootstrap: 500 iterations, seed = 42.</w:t>
      </w:r>
    </w:p>
    <w:p>
      <w:pPr>
        <w:pStyle w:val="BodyText"/>
      </w:pPr>
      <w:r>
        <w:t xml:space="preserve"/>
      </w:r>
    </w:p>
    <w:p>
      <w:pPr>
        <w:pStyle w:val="BodyText"/>
      </w:pPr>
      <w:r>
        <w:t xml:space="preserve">The model explained 98.0% of variance in RPP (R^2 = 0.980), 8.4% in STEM (R^2 = 0.084), 4.0% in TPACK (R^2 = 0.040), and 3.5% in ESD (R^2 = 0.035). The very high R^2 for RPP reflects the fact that RPPInt_total_post is computed as a composite of the TPACK, STEM, and ESD indicator scores, making the three dimensions near-perfect predictors by construction. The low R^2 values for TPACK, STEM, and ESD indicate that PjBL, as the sole exogenous predictor, explains only a small proportion of variance in these constructs, suggesting that other factors not included in the model substantially influence integration competences.</w:t>
      </w:r>
    </w:p>
    <w:p>
      <w:pPr>
        <w:pStyle w:val="BodyText"/>
      </w:pPr>
      <w:r>
        <w:t xml:space="preserve"/>
      </w:r>
    </w:p>
    <w:p>
      <w:pPr>
        <w:pStyle w:val="BodyText"/>
      </w:pPr>
      <w:r>
        <w:t xml:space="preserve">Predictive relevance (Q^2) was positive for RPP (0.978), STEM (0.043), and TPACK (0.002), indicating the model's predictive capacity beyond simple mean prediction. Q^2 for ESD was slightly negative (-0.012), indicating no predictive relevance for this construct from PjBL alone.</w:t>
      </w:r>
    </w:p>
    <w:p>
      <w:pPr>
        <w:pStyle w:val="BodyText"/>
      </w:pPr>
      <w:r>
        <w:t xml:space="preserve"/>
      </w:r>
    </w:p>
    <w:p>
      <w:pPr>
        <w:pStyle w:val="Heading3"/>
        <w:jc w:val="left"/>
      </w:pPr>
      <w:r>
        <w:t xml:space="preserve">Comparative Analysis: Dominant Dimension (RQ3)</w:t>
      </w:r>
    </w:p>
    <w:p>
      <w:pPr>
        <w:pStyle w:val="BodyText"/>
      </w:pPr>
      <w:r>
        <w:t xml:space="preserve"/>
      </w:r>
    </w:p>
    <w:p>
      <w:pPr>
        <w:pStyle w:val="BodyText"/>
      </w:pPr>
      <w:r>
        <w:t xml:space="preserve">Comparison of the PjBL-to-dimension path coefficients (Table 9) ranked STEM as the most responsive dimension (beta = 0.291, </w:t>
      </w:r>
      <w:r>
        <w:rPr>
          <w:i/>
          <w:iCs/>
        </w:rPr>
        <w:t xml:space="preserve">f</w:t>
      </w:r>
      <w:r>
        <w:t xml:space="preserve">^2 = 0.092), followed by TPACK (beta = 0.199, </w:t>
      </w:r>
      <w:r>
        <w:rPr>
          <w:i/>
          <w:iCs/>
        </w:rPr>
        <w:t xml:space="preserve">f</w:t>
      </w:r>
      <w:r>
        <w:t xml:space="preserve">^2 = 0.041) and ESD (beta = 0.188, </w:t>
      </w:r>
      <w:r>
        <w:rPr>
          <w:i/>
          <w:iCs/>
        </w:rPr>
        <w:t xml:space="preserve">f</w:t>
      </w:r>
      <w:r>
        <w:t xml:space="preserve">^2 = 0.037). However, the bootstrap confidence intervals of all three paths overlapped substantially, indicating that the differences among path coefficients were not statistically distinguishable at the 95% confidence level.</w:t>
      </w:r>
    </w:p>
    <w:p>
      <w:pPr>
        <w:pStyle w:val="BodyText"/>
      </w:pPr>
      <w:r>
        <w:t xml:space="preserve"/>
      </w:r>
    </w:p>
    <w:p>
      <w:pPr>
        <w:pStyle w:val="Heading3"/>
        <w:jc w:val="left"/>
      </w:pPr>
      <w:r>
        <w:t xml:space="preserve">Higher-Order Construct: Dimensions Contributing to RPP Quality (RQ4)</w:t>
      </w:r>
    </w:p>
    <w:p>
      <w:pPr>
        <w:pStyle w:val="BodyText"/>
      </w:pPr>
      <w:r>
        <w:t xml:space="preserve"/>
      </w:r>
    </w:p>
    <w:p>
      <w:pPr>
        <w:pStyle w:val="BodyText"/>
      </w:pPr>
      <w:r>
        <w:t xml:space="preserve">All three integration dimensions contributed significantly and substantially to integrative lesson plan quality (Table 8). STEM was the strongest contributor (beta = 0.492), followed by TPACK (beta = 0.438) and ESD (beta = 0.357). The consistently large </w:t>
      </w:r>
      <w:r>
        <w:rPr>
          <w:i/>
          <w:iCs/>
        </w:rPr>
        <w:t xml:space="preserve">f</w:t>
      </w:r>
      <w:r>
        <w:t xml:space="preserve">^2 values (all &gt; 5.5) demonstrate that each dimension makes a meaningful, non-redundant contribution to overall lesson plan quality. This supports the conceptualization of integrative lesson planning as a higher-order competence constituted by three distinct but complementary design dimensions.</w:t>
      </w:r>
    </w:p>
    <w:p>
      <w:pPr>
        <w:pStyle w:val="BodyText"/>
      </w:pPr>
      <w:r>
        <w:t xml:space="preserve"/>
      </w:r>
    </w:p>
    <w:p>
      <w:pPr>
        <w:pStyle w:val="Heading3"/>
        <w:jc w:val="left"/>
      </w:pPr>
      <w:r>
        <w:t xml:space="preserve">Mediation Analysis (RQ5)</w:t>
      </w:r>
    </w:p>
    <w:p>
      <w:pPr>
        <w:pStyle w:val="BodyText"/>
      </w:pPr>
      <w:r>
        <w:t xml:space="preserve"/>
      </w:r>
    </w:p>
    <w:p>
      <w:pPr>
        <w:pStyle w:val="BodyText"/>
      </w:pPr>
      <w:r>
        <w:t xml:space="preserve">Table 12 presents the mediation analysis results. Two of the three indirect paths were statistically significant based on bootstrap confidence intervals:</w:t>
      </w:r>
    </w:p>
    <w:p>
      <w:pPr>
        <w:pStyle w:val="BodyText"/>
      </w:pPr>
      <w:r>
        <w:t xml:space="preserve"/>
      </w:r>
    </w:p>
    <w:p>
      <w:pPr>
        <w:pStyle w:val="BodyText"/>
        <w:numPr>
          <w:ilvl w:val="0"/>
          <w:numId w:val="2"/>
        </w:numPr>
      </w:pPr>
      <w:r>
        <w:rPr>
          <w:b/>
          <w:bCs/>
        </w:rPr>
        <w:t xml:space="preserve">PjBL -&gt; STEM -&gt; RPP</w:t>
      </w:r>
      <w:r>
        <w:t xml:space="preserve"> was the strongest mediating pathway (indirect beta = 0.143, </w:t>
      </w:r>
      <w:r>
        <w:rPr>
          <w:i/>
          <w:iCs/>
        </w:rPr>
        <w:t xml:space="preserve">p</w:t>
      </w:r>
      <w:r>
        <w:t xml:space="preserve"> = .002, 95% CI [0.059, 0.257]). The VAF of 46.1% indicates partial mediation, and the Sobel test confirmed significance (</w:t>
      </w:r>
      <w:r>
        <w:rPr>
          <w:i/>
          <w:iCs/>
        </w:rPr>
        <w:t xml:space="preserve">z</w:t>
      </w:r>
      <w:r>
        <w:t xml:space="preserve"> = 3.014, </w:t>
      </w:r>
      <w:r>
        <w:rPr>
          <w:i/>
          <w:iCs/>
        </w:rPr>
        <w:t xml:space="preserve">p</w:t>
      </w:r>
      <w:r>
        <w:t xml:space="preserve"> = .003).</w:t>
      </w:r>
    </w:p>
    <w:p>
      <w:pPr>
        <w:pStyle w:val="BodyText"/>
        <w:numPr>
          <w:ilvl w:val="0"/>
          <w:numId w:val="2"/>
        </w:numPr>
      </w:pPr>
      <w:r>
        <w:rPr>
          <w:b/>
          <w:bCs/>
        </w:rPr>
        <w:t xml:space="preserve">PjBL -&gt; TPACK -&gt; RPP</w:t>
      </w:r>
      <w:r>
        <w:t xml:space="preserve"> yielded a significant indirect effect (indirect beta = 0.087, </w:t>
      </w:r>
      <w:r>
        <w:rPr>
          <w:i/>
          <w:iCs/>
        </w:rPr>
        <w:t xml:space="preserve">p</w:t>
      </w:r>
      <w:r>
        <w:t xml:space="preserve"> = .027, 95% CI [-0.011, 0.178]). However, the confidence interval marginally includes zero at the lower bound, and the Sobel test was borderline (</w:t>
      </w:r>
      <w:r>
        <w:rPr>
          <w:i/>
          <w:iCs/>
        </w:rPr>
        <w:t xml:space="preserve">z</w:t>
      </w:r>
      <w:r>
        <w:t xml:space="preserve"> = 1.932, </w:t>
      </w:r>
      <w:r>
        <w:rPr>
          <w:i/>
          <w:iCs/>
        </w:rPr>
        <w:t xml:space="preserve">p</w:t>
      </w:r>
      <w:r>
        <w:t xml:space="preserve"> = .053). The VAF of 28.1% is consistent with partial mediation, though this path should be interpreted with caution.</w:t>
      </w:r>
    </w:p>
    <w:p>
      <w:pPr>
        <w:pStyle w:val="BodyText"/>
        <w:numPr>
          <w:ilvl w:val="0"/>
          <w:numId w:val="2"/>
        </w:numPr>
      </w:pPr>
      <w:r>
        <w:rPr>
          <w:b/>
          <w:bCs/>
        </w:rPr>
        <w:t xml:space="preserve">PjBL -&gt; ESD -&gt; RPP</w:t>
      </w:r>
      <w:r>
        <w:t xml:space="preserve"> was not significant (indirect beta = 0.067, </w:t>
      </w:r>
      <w:r>
        <w:rPr>
          <w:i/>
          <w:iCs/>
        </w:rPr>
        <w:t xml:space="preserve">p</w:t>
      </w:r>
      <w:r>
        <w:t xml:space="preserve"> = .111, 95% CI [-0.033, 0.141]), consistent with the non-significant direct path from PjBL to ESD.</w:t>
      </w:r>
    </w:p>
    <w:p>
      <w:pPr>
        <w:pStyle w:val="BodyText"/>
      </w:pPr>
      <w:r>
        <w:t xml:space="preserve"/>
      </w:r>
    </w:p>
    <w:p>
      <w:pPr>
        <w:pStyle w:val="BodyText"/>
      </w:pPr>
      <w:r>
        <w:rPr>
          <w:b/>
          <w:bCs/>
        </w:rPr>
        <w:t xml:space="preserve">Table 12.</w:t>
      </w:r>
      <w:r>
        <w:t xml:space="preserve"> Mediation Analysis — Indirect Effects</w:t>
      </w:r>
    </w:p>
    <w:p>
      <w:pPr>
        <w:pStyle w:val="BodyText"/>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D0D0D0" w:sz="1"/>
              <w:left w:val="single" w:color="D0D0D0" w:sz="1"/>
              <w:bottom w:val="single" w:color="D0D0D0" w:sz="1"/>
              <w:right w:val="single" w:color="D0D0D0" w:sz="1"/>
            </w:tcBorders>
            <w:shd w:fill="EFEFEF" w:val="clear"/>
          </w:tcPr>
          <w:p>
            <w:pPr>
              <w:jc w:val="center"/>
            </w:pPr>
            <w:r>
              <w:rPr>
                <w:b/>
                <w:bCs/>
              </w:rPr>
              <w:t xml:space="preserve">Indirect Path</w:t>
            </w:r>
          </w:p>
        </w:tc>
        <w:tc>
          <w:tcPr>
            <w:tcW w:type="dxa" w:w="1040"/>
            <w:tcBorders>
              <w:top w:val="single" w:color="D0D0D0" w:sz="1"/>
              <w:left w:val="single" w:color="D0D0D0" w:sz="1"/>
              <w:bottom w:val="single" w:color="D0D0D0" w:sz="1"/>
              <w:right w:val="single" w:color="D0D0D0" w:sz="1"/>
            </w:tcBorders>
            <w:shd w:fill="EFEFEF" w:val="clear"/>
          </w:tcPr>
          <w:p>
            <w:pPr>
              <w:jc w:val="center"/>
            </w:pPr>
            <w:r>
              <w:rPr>
                <w:b/>
                <w:bCs/>
              </w:rPr>
              <w:t xml:space="preserve">beta_indirect</w:t>
            </w:r>
          </w:p>
        </w:tc>
        <w:tc>
          <w:tcPr>
            <w:tcW w:type="dxa" w:w="1040"/>
            <w:tcBorders>
              <w:top w:val="single" w:color="D0D0D0" w:sz="1"/>
              <w:left w:val="single" w:color="D0D0D0" w:sz="1"/>
              <w:bottom w:val="single" w:color="D0D0D0" w:sz="1"/>
              <w:right w:val="single" w:color="D0D0D0" w:sz="1"/>
            </w:tcBorders>
            <w:shd w:fill="EFEFEF" w:val="clear"/>
          </w:tcPr>
          <w:p>
            <w:pPr>
              <w:jc w:val="center"/>
            </w:pPr>
            <w:r>
              <w:rPr>
                <w:b/>
                <w:bCs/>
              </w:rPr>
              <w:t xml:space="preserve">SE</w:t>
            </w:r>
          </w:p>
        </w:tc>
        <w:tc>
          <w:tcPr>
            <w:tcW w:type="dxa" w:w="1040"/>
            <w:tcBorders>
              <w:top w:val="single" w:color="D0D0D0" w:sz="1"/>
              <w:left w:val="single" w:color="D0D0D0" w:sz="1"/>
              <w:bottom w:val="single" w:color="D0D0D0" w:sz="1"/>
              <w:right w:val="single" w:color="D0D0D0" w:sz="1"/>
            </w:tcBorders>
            <w:shd w:fill="EFEFEF" w:val="clear"/>
          </w:tcPr>
          <w:p>
            <w:pPr>
              <w:jc w:val="center"/>
            </w:pPr>
            <w:r>
              <w:rPr>
                <w:b/>
                <w:bCs/>
              </w:rPr>
              <w:t xml:space="preserve">t</w:t>
            </w:r>
          </w:p>
        </w:tc>
        <w:tc>
          <w:tcPr>
            <w:tcW w:type="dxa" w:w="1040"/>
            <w:tcBorders>
              <w:top w:val="single" w:color="D0D0D0" w:sz="1"/>
              <w:left w:val="single" w:color="D0D0D0" w:sz="1"/>
              <w:bottom w:val="single" w:color="D0D0D0" w:sz="1"/>
              <w:right w:val="single" w:color="D0D0D0" w:sz="1"/>
            </w:tcBorders>
            <w:shd w:fill="EFEFEF" w:val="clear"/>
          </w:tcPr>
          <w:p>
            <w:pPr>
              <w:jc w:val="center"/>
            </w:pPr>
            <w:r>
              <w:rPr>
                <w:b/>
                <w:bCs/>
              </w:rPr>
              <w:t xml:space="preserve">p</w:t>
            </w:r>
          </w:p>
        </w:tc>
        <w:tc>
          <w:tcPr>
            <w:tcW w:type="dxa" w:w="1040"/>
            <w:tcBorders>
              <w:top w:val="single" w:color="D0D0D0" w:sz="1"/>
              <w:left w:val="single" w:color="D0D0D0" w:sz="1"/>
              <w:bottom w:val="single" w:color="D0D0D0" w:sz="1"/>
              <w:right w:val="single" w:color="D0D0D0" w:sz="1"/>
            </w:tcBorders>
            <w:shd w:fill="EFEFEF" w:val="clear"/>
          </w:tcPr>
          <w:p>
            <w:pPr>
              <w:jc w:val="center"/>
            </w:pPr>
            <w:r>
              <w:rPr>
                <w:b/>
                <w:bCs/>
              </w:rPr>
              <w:t xml:space="preserve">95% CI</w:t>
            </w:r>
          </w:p>
        </w:tc>
        <w:tc>
          <w:tcPr>
            <w:tcW w:type="dxa" w:w="1040"/>
            <w:tcBorders>
              <w:top w:val="single" w:color="D0D0D0" w:sz="1"/>
              <w:left w:val="single" w:color="D0D0D0" w:sz="1"/>
              <w:bottom w:val="single" w:color="D0D0D0" w:sz="1"/>
              <w:right w:val="single" w:color="D0D0D0" w:sz="1"/>
            </w:tcBorders>
            <w:shd w:fill="EFEFEF" w:val="clear"/>
          </w:tcPr>
          <w:p>
            <w:pPr>
              <w:jc w:val="center"/>
            </w:pPr>
            <w:r>
              <w:rPr>
                <w:b/>
                <w:bCs/>
              </w:rPr>
              <w:t xml:space="preserve">VAF</w:t>
            </w:r>
          </w:p>
        </w:tc>
        <w:tc>
          <w:tcPr>
            <w:tcW w:type="dxa" w:w="1040"/>
            <w:tcBorders>
              <w:top w:val="single" w:color="D0D0D0" w:sz="1"/>
              <w:left w:val="single" w:color="D0D0D0" w:sz="1"/>
              <w:bottom w:val="single" w:color="D0D0D0" w:sz="1"/>
              <w:right w:val="single" w:color="D0D0D0" w:sz="1"/>
            </w:tcBorders>
            <w:shd w:fill="EFEFEF" w:val="clear"/>
          </w:tcPr>
          <w:p>
            <w:pPr>
              <w:jc w:val="center"/>
            </w:pPr>
            <w:r>
              <w:rPr>
                <w:b/>
                <w:bCs/>
              </w:rPr>
              <w:t xml:space="preserve">Sobel z</w:t>
            </w:r>
          </w:p>
        </w:tc>
        <w:tc>
          <w:tcPr>
            <w:tcW w:type="dxa" w:w="1040"/>
            <w:tcBorders>
              <w:top w:val="single" w:color="D0D0D0" w:sz="1"/>
              <w:left w:val="single" w:color="D0D0D0" w:sz="1"/>
              <w:bottom w:val="single" w:color="D0D0D0" w:sz="1"/>
              <w:right w:val="single" w:color="D0D0D0" w:sz="1"/>
            </w:tcBorders>
            <w:shd w:fill="EFEFEF" w:val="clear"/>
          </w:tcPr>
          <w:p>
            <w:pPr>
              <w:jc w:val="center"/>
            </w:pPr>
            <w:r>
              <w:rPr>
                <w:b/>
                <w:bCs/>
              </w:rPr>
              <w:t xml:space="preserve">Sobel p</w:t>
            </w:r>
          </w:p>
        </w:tc>
      </w:tr>
      <w:tr>
        <w:trPr>
          <w:tblHeader w:val="false"/>
        </w:trPr>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PjBL -&gt; TPACK -&gt; RPP</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0.087</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0.044</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2.210</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.027</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[-0.011, 0.178]</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28.1%</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1.932</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.053</w:t>
            </w:r>
          </w:p>
        </w:tc>
      </w:tr>
      <w:tr>
        <w:trPr>
          <w:tblHeader w:val="false"/>
        </w:trPr>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PjBL -&gt; STEM -&gt; RPP</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0.143</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0.049</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3.164</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.002</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[0.059, 0.257]</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46.1%</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3.014</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.003</w:t>
            </w:r>
          </w:p>
        </w:tc>
      </w:tr>
      <w:tr>
        <w:trPr>
          <w:tblHeader w:val="false"/>
        </w:trPr>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PjBL -&gt; ESD -&gt; RPP</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0.067</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0.043</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1.594</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.111</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[-0.033, 0.141]</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21.6%</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1.498</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.134</w:t>
            </w:r>
          </w:p>
        </w:tc>
      </w:tr>
      <w:tr>
        <w:trPr>
          <w:tblHeader w:val="false"/>
        </w:trPr>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Total indirect</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0.297</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0.095</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3.383</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&lt; .001</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[0.133, 0.494]</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Direct (PjBL -&gt; RPP)</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0.013</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0.016</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0.343</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.731</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[-0.025, 0.034]</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w:t>
            </w:r>
          </w:p>
        </w:tc>
      </w:tr>
      <w:tr>
        <w:trPr>
          <w:tblHeader w:val="false"/>
        </w:trPr>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Total effect</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0.310</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0.097</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3.364</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&lt; .001</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[0.130, 0.521]</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w:t>
            </w:r>
          </w:p>
        </w:tc>
        <w:tc>
          <w:tcPr>
            <w:tcW w:type="dxa" w:w="1040"/>
            <w:tcBorders>
              <w:top w:val="single" w:color="D0D0D0" w:sz="1"/>
              <w:left w:val="single" w:color="D0D0D0" w:sz="1"/>
              <w:bottom w:val="single" w:color="D0D0D0" w:sz="1"/>
              <w:right w:val="single" w:color="D0D0D0" w:sz="1"/>
            </w:tcBorders>
          </w:tcPr>
          <w:p>
            <w:pPr>
              <w:jc w:val="left"/>
            </w:pPr>
            <w:r>
              <w:rPr>
                <w:b w:val="false"/>
                <w:bCs w:val="false"/>
              </w:rPr>
              <w:t xml:space="preserve">—</w:t>
            </w:r>
          </w:p>
        </w:tc>
      </w:tr>
    </w:tbl>
    <w:p>
      <w:pPr>
        <w:pStyle w:val="BodyText"/>
      </w:pPr>
      <w:r>
        <w:t xml:space="preserve"/>
      </w:r>
    </w:p>
    <w:p>
      <w:pPr>
        <w:pStyle w:val="BodyText"/>
      </w:pPr>
      <w:r>
        <w:t xml:space="preserve">The total indirect effect was significant (beta = 0.297, </w:t>
      </w:r>
      <w:r>
        <w:rPr>
          <w:i/>
          <w:iCs/>
        </w:rPr>
        <w:t xml:space="preserve">p</w:t>
      </w:r>
      <w:r>
        <w:t xml:space="preserve"> &lt; .001), while the direct effect of PjBL on RPP was non-significant (beta = 0.013, </w:t>
      </w:r>
      <w:r>
        <w:rPr>
          <w:i/>
          <w:iCs/>
        </w:rPr>
        <w:t xml:space="preserve">p</w:t>
      </w:r>
      <w:r>
        <w:t xml:space="preserve"> = .731). This pattern is consistent with full mediation: PjBL influences integrative lesson plan quality not directly, but through the enhancement of integration competences—predominantly STEM and, to a lesser extent, TPACK. The total effect of PjBL on RPP was significant (beta = 0.310, </w:t>
      </w:r>
      <w:r>
        <w:rPr>
          <w:i/>
          <w:iCs/>
        </w:rPr>
        <w:t xml:space="preserve">p</w:t>
      </w:r>
      <w:r>
        <w:t xml:space="preserve"> &lt; .001), confirming that the overall influence of PjBL on lesson plan quality is meaningful and operates through mediating dimensions.</w:t>
      </w:r>
    </w:p>
    <w:p>
      <w:pPr>
        <w:pStyle w:val="BodyText"/>
      </w:pPr>
      <w:r>
        <w:t xml:space="preserve"/>
      </w:r>
    </w:p>
    <w:p>
      <w:pPr>
        <w:pStyle w:val="BodyText"/>
      </w:pPr>
      <w:r>
        <w:t xml:space="preserve"/>
      </w:r>
    </w:p>
    <w:p>
      <w:pPr>
        <w:pStyle w:val="Heading1"/>
        <w:jc w:val="left"/>
      </w:pPr>
      <w:r>
        <w:t xml:space="preserve">5. Discussion</w:t>
      </w:r>
    </w:p>
    <w:p>
      <w:pPr>
        <w:pStyle w:val="BodyText"/>
      </w:pPr>
      <w:r>
        <w:t xml:space="preserve"/>
      </w:r>
    </w:p>
    <w:p>
      <w:pPr>
        <w:pStyle w:val="BodyText"/>
      </w:pPr>
      <w:r>
        <w:t xml:space="preserve">This study examined the influence of Project-Based Learning on pre-service science teachers' integrative lesson planning competence, operationalized through three integration dimensions—TPACK, STEM, and ESD—using a combination of pre-post comparison and PLS-SEM analysis. The findings yield both encouraging evidence and important caveats that merit careful interpretation.</w:t>
      </w:r>
    </w:p>
    <w:p>
      <w:pPr>
        <w:pStyle w:val="BodyText"/>
      </w:pPr>
      <w:r>
        <w:t xml:space="preserve"/>
      </w:r>
    </w:p>
    <w:p>
      <w:pPr>
        <w:pStyle w:val="Heading2"/>
        <w:jc w:val="left"/>
      </w:pPr>
      <w:r>
        <w:t xml:space="preserve">5.1 Effectiveness of PjBL in Enhancing Integrative Competence (RQ1)</w:t>
      </w:r>
    </w:p>
    <w:p>
      <w:pPr>
        <w:pStyle w:val="BodyText"/>
      </w:pPr>
      <w:r>
        <w:t xml:space="preserve"/>
      </w:r>
    </w:p>
    <w:p>
      <w:pPr>
        <w:pStyle w:val="BodyText"/>
      </w:pPr>
      <w:r>
        <w:t xml:space="preserve">The pre-post analysis revealed statistically significant improvements across all four constructs, with uniformly large effect sizes (Cohen's </w:t>
      </w:r>
      <w:r>
        <w:rPr>
          <w:i/>
          <w:iCs/>
        </w:rPr>
        <w:t xml:space="preserve">d</w:t>
      </w:r>
      <w:r>
        <w:t xml:space="preserve"> &gt; 2.3). These results provide strong evidence that participants' integrative lesson planning competences were substantially higher after the PjBL intervention than before it. The magnitude of improvement is consistent with Dewi et al.'s (2022) finding that PjBL scaffolding models produce meaningful gains in pre-service teachers' TPACK and lesson design abilities, and extends this evidence by demonstrating that gains are not confined to technology integration but extend to STEM and ESD dimensions as well.</w:t>
      </w:r>
    </w:p>
    <w:p>
      <w:pPr>
        <w:pStyle w:val="BodyText"/>
      </w:pPr>
      <w:r>
        <w:t xml:space="preserve"/>
      </w:r>
    </w:p>
    <w:p>
      <w:pPr>
        <w:pStyle w:val="BodyText"/>
      </w:pPr>
      <w:r>
        <w:t xml:space="preserve">The N-Gain analysis, however, reveals an important pattern of differential responsiveness. TPACK (</w:t>
      </w:r>
      <w:r>
        <w:rPr>
          <w:i/>
          <w:iCs/>
        </w:rPr>
        <w:t xml:space="preserve">M</w:t>
      </w:r>
      <w:r>
        <w:t xml:space="preserve"> = 0.596) and STEM (</w:t>
      </w:r>
      <w:r>
        <w:rPr>
          <w:i/>
          <w:iCs/>
        </w:rPr>
        <w:t xml:space="preserve">M</w:t>
      </w:r>
      <w:r>
        <w:t xml:space="preserve"> = 0.574) achieved the highest normalized gains, both approaching the upper boundary of the Medium category. RPP Integratif (</w:t>
      </w:r>
      <w:r>
        <w:rPr>
          <w:i/>
          <w:iCs/>
        </w:rPr>
        <w:t xml:space="preserve">M</w:t>
      </w:r>
      <w:r>
        <w:t xml:space="preserve"> = 0.513) fell in the mid-range of Medium. ESD exhibited the lowest N-Gain (</w:t>
      </w:r>
      <w:r>
        <w:rPr>
          <w:i/>
          <w:iCs/>
        </w:rPr>
        <w:t xml:space="preserve">M</w:t>
      </w:r>
      <w:r>
        <w:t xml:space="preserve"> = 0.376), barely exceeding the Medium threshold, with no participant achieving a High gain and 28.4% remaining in the Low category.</w:t>
      </w:r>
    </w:p>
    <w:p>
      <w:pPr>
        <w:pStyle w:val="BodyText"/>
      </w:pPr>
      <w:r>
        <w:t xml:space="preserve"/>
      </w:r>
    </w:p>
    <w:p>
      <w:pPr>
        <w:pStyle w:val="BodyText"/>
      </w:pPr>
      <w:r>
        <w:t xml:space="preserve">This differential pattern is educationally meaningful. The relatively strong gains in TPACK and STEM likely reflect the natural alignment between PjBL's structural elements and these competences. PjBL's emphasis on artifact creation inherently requires technology integration (activating TPACK), and its driving questions typically span multiple STEM disciplines, facilitating interdisciplinary thinking. In contrast, ESD competences—particularly the capacity to embed sustainability perspectives, inquiry-based environmental investigation, and evaluative reasoning about socio-scientific issues—require a form of pedagogical reorientation that may not emerge organically from a general PjBL experience. Purwianingsih et al. (2022) observed a similar pattern, noting that integrating ESD into pre-service teachers' TPACK required a structured, dedicated program rather than incidental exposure. The present findings suggest that while PjBL provides a fertile context for ESD development, explicit scaffolding—such as sustainability-focused driving questions, structured reflection on SDG connections, or dedicated ESD design criteria—may be necessary to push ESD gains beyond the Medium threshold.</w:t>
      </w:r>
    </w:p>
    <w:p>
      <w:pPr>
        <w:pStyle w:val="BodyText"/>
      </w:pPr>
      <w:r>
        <w:t xml:space="preserve"/>
      </w:r>
    </w:p>
    <w:p>
      <w:pPr>
        <w:pStyle w:val="BodyText"/>
      </w:pPr>
      <w:r>
        <w:t xml:space="preserve">It should be noted that the absence of a control group precludes attributing the observed improvements solely to the PjBL intervention. Maturation effects, concurrent coursework, and testing effects (pretest sensitization) remain plausible alternative explanations. The large effect sizes mitigate this concern somewhat—gains of this magnitude are unlikely to result from maturation alone over a single semester—but causal claims must remain tentative pending replication with quasi-experimental designs.</w:t>
      </w:r>
    </w:p>
    <w:p>
      <w:pPr>
        <w:pStyle w:val="BodyText"/>
      </w:pPr>
      <w:r>
        <w:t xml:space="preserve"/>
      </w:r>
    </w:p>
    <w:p>
      <w:pPr>
        <w:pStyle w:val="Heading2"/>
        <w:jc w:val="left"/>
      </w:pPr>
      <w:r>
        <w:t xml:space="preserve">5.2 PjBL as a Driver of Integration Dimensions (RQ2)</w:t>
      </w:r>
    </w:p>
    <w:p>
      <w:pPr>
        <w:pStyle w:val="BodyText"/>
      </w:pPr>
      <w:r>
        <w:t xml:space="preserve"/>
      </w:r>
    </w:p>
    <w:p>
      <w:pPr>
        <w:pStyle w:val="BodyText"/>
      </w:pPr>
      <w:r>
        <w:t xml:space="preserve">The PLS-SEM analysis provided a more nuanced picture of PjBL's influence. PjBL exerted a statistically significant positive effect on STEM (β = 0.291, </w:t>
      </w:r>
      <w:r>
        <w:rPr>
          <w:i/>
          <w:iCs/>
        </w:rPr>
        <w:t xml:space="preserve">p</w:t>
      </w:r>
      <w:r>
        <w:t xml:space="preserve"> &lt; .001) and TPACK (β = 0.199, </w:t>
      </w:r>
      <w:r>
        <w:rPr>
          <w:i/>
          <w:iCs/>
        </w:rPr>
        <w:t xml:space="preserve">p</w:t>
      </w:r>
      <w:r>
        <w:t xml:space="preserve"> = .027), but its effect on ESD was positive yet non-significant (β = 0.188, </w:t>
      </w:r>
      <w:r>
        <w:rPr>
          <w:i/>
          <w:iCs/>
        </w:rPr>
        <w:t xml:space="preserve">p</w:t>
      </w:r>
      <w:r>
        <w:t xml:space="preserve"> = .109). The direct path from PjBL to RPP was negligible (β = 0.013, </w:t>
      </w:r>
      <w:r>
        <w:rPr>
          <w:i/>
          <w:iCs/>
        </w:rPr>
        <w:t xml:space="preserve">p</w:t>
      </w:r>
      <w:r>
        <w:t xml:space="preserve"> = .731). These findings partially support H1: PjBL significantly influences STEM and TPACK integration, but not ESD.</w:t>
      </w:r>
    </w:p>
    <w:p>
      <w:pPr>
        <w:pStyle w:val="BodyText"/>
      </w:pPr>
      <w:r>
        <w:t xml:space="preserve"/>
      </w:r>
    </w:p>
    <w:p>
      <w:pPr>
        <w:pStyle w:val="BodyText"/>
      </w:pPr>
      <w:r>
        <w:t xml:space="preserve">The significant PjBL → STEM path is theoretically coherent. PjBL's core elements—authentic driving questions, collaborative investigation, and artifact creation—naturally require pre-service teachers to draw upon multiple STEM disciplines simultaneously. When designing lesson plans through a PjBL process, participants must consider how science content connects to engineering design challenges, how technology supports data collection and analysis, and how mathematical reasoning informs problem-solving. This alignment between PjBL's structural demands and STEM integration explains why STEM was the most responsive dimension.</w:t>
      </w:r>
    </w:p>
    <w:p>
      <w:pPr>
        <w:pStyle w:val="BodyText"/>
      </w:pPr>
      <w:r>
        <w:t xml:space="preserve"/>
      </w:r>
    </w:p>
    <w:p>
      <w:pPr>
        <w:pStyle w:val="BodyText"/>
      </w:pPr>
      <w:r>
        <w:t xml:space="preserve">The significant but weaker PjBL → TPACK path suggests that PjBL encourages technology integration in lesson design, though the effect is more modest than for STEM. This finding is consistent with Mansour et al.'s (2024) SEM study in Qatar, which found significant but moderate structural relationships between pedagogical approaches and TPACK integration. One explanation is that TPACK development may require more explicit technological scaffolding—such as training in specific digital tools or technology integration models—than a general PjBL approach provides. Novallyan and Nehru (2025) similarly found that project methods improve pedagogical competencies but noted that targeted technology support enhanced outcomes.</w:t>
      </w:r>
    </w:p>
    <w:p>
      <w:pPr>
        <w:pStyle w:val="BodyText"/>
      </w:pPr>
      <w:r>
        <w:t xml:space="preserve"/>
      </w:r>
    </w:p>
    <w:p>
      <w:pPr>
        <w:pStyle w:val="BodyText"/>
      </w:pPr>
      <w:r>
        <w:t xml:space="preserve">The non-significant PjBL → ESD path warrants careful interpretation. This finding does not mean that ESD competences did not improve—the pre-post analysis clearly demonstrates significant improvement—but rather that, within the SEM model using posttest data only, variation in PjBL implementation quality does not significantly predict variation in ESD competence. Two explanations are plausible. First, ESD integration may require domain-specific knowledge and dispositions (e.g., understanding of sustainability frameworks, familiarity with socio-scientific issues) that are not automatically activated by PjBL's general structure. Unlike STEM integration, which naturally emerges from interdisciplinary problem-solving, and TPACK, which is prompted by the technological demands of artifact creation, ESD competences may require deliberate instructional design that foregrounds sustainability content. Second, the non-significant path may partly reflect measurement limitations: the PjBL construct exhibited weak psychometric properties (AVE = 0.320, α = 0.386), potentially attenuating its observed relationships with all endogenous constructs. This measurement issue is discussed further in Section 5.8.</w:t>
      </w:r>
    </w:p>
    <w:p>
      <w:pPr>
        <w:pStyle w:val="BodyText"/>
      </w:pPr>
      <w:r>
        <w:t xml:space="preserve"/>
      </w:r>
    </w:p>
    <w:p>
      <w:pPr>
        <w:pStyle w:val="BodyText"/>
      </w:pPr>
      <w:r>
        <w:t xml:space="preserve">All three effect sizes for the PjBL-to-dimension paths were small (</w:t>
      </w:r>
      <w:r>
        <w:rPr>
          <w:i/>
          <w:iCs/>
        </w:rPr>
        <w:t xml:space="preserve">f</w:t>
      </w:r>
      <w:r>
        <w:t xml:space="preserve">² = 0.037–0.092), and PjBL explained only 3.5%–8.4% of variance in the integration dimensions. These modest R² values indicate that PjBL, as the sole exogenous predictor, captures only a fraction of the factors influencing integration competences. Other unmeasured variables—such as prior content knowledge, digital literacy, teaching self-efficacy, beliefs about sustainability, and metacognitive skills—likely account for substantial additional variance. This is not a failure of the model but a realistic acknowledgment that pedagogical interventions operate within a complex ecology of influences on teacher competence development.</w:t>
      </w:r>
    </w:p>
    <w:p>
      <w:pPr>
        <w:pStyle w:val="BodyText"/>
      </w:pPr>
      <w:r>
        <w:t xml:space="preserve"/>
      </w:r>
    </w:p>
    <w:p>
      <w:pPr>
        <w:pStyle w:val="Heading2"/>
        <w:jc w:val="left"/>
      </w:pPr>
      <w:r>
        <w:t xml:space="preserve">5.3 The Most Responsive Integration Dimension (RQ3)</w:t>
      </w:r>
    </w:p>
    <w:p>
      <w:pPr>
        <w:pStyle w:val="BodyText"/>
      </w:pPr>
      <w:r>
        <w:t xml:space="preserve"/>
      </w:r>
    </w:p>
    <w:p>
      <w:pPr>
        <w:pStyle w:val="BodyText"/>
      </w:pPr>
      <w:r>
        <w:t xml:space="preserve">The comparative analysis ranked STEM as the most strongly influenced dimension (β = 0.291), followed by TPACK (β = 0.199) and ESD (β = 0.188). This ranking converges with the N-Gain pattern from the pre-post analysis, reinforcing the conclusion that STEM integration is the dimension most naturally activated by PjBL. However, the overlapping 95% bootstrap confidence intervals indicate that these differences are not statistically distinguishable—a finding that tempers strong claims about dimensional dominance.</w:t>
      </w:r>
    </w:p>
    <w:p>
      <w:pPr>
        <w:pStyle w:val="BodyText"/>
      </w:pPr>
      <w:r>
        <w:t xml:space="preserve"/>
      </w:r>
    </w:p>
    <w:p>
      <w:pPr>
        <w:pStyle w:val="BodyText"/>
      </w:pPr>
      <w:r>
        <w:t xml:space="preserve">The practical significance of this ranking lies in its curricular implications. If STEM integration is the dimension that responds most readily to PjBL, teacher education programs can leverage PjBL as a primary vehicle for STEM competence development while designing supplementary interventions for dimensions that require additional support. For ESD, this might include embedding sustainability-focused driving questions, providing explicit instruction in sustainability pedagogies, or extending the duration of ESD-related design tasks within the PjBL cycle.</w:t>
      </w:r>
    </w:p>
    <w:p>
      <w:pPr>
        <w:pStyle w:val="BodyText"/>
      </w:pPr>
      <w:r>
        <w:t xml:space="preserve"/>
      </w:r>
    </w:p>
    <w:p>
      <w:pPr>
        <w:pStyle w:val="Heading2"/>
        <w:jc w:val="left"/>
      </w:pPr>
      <w:r>
        <w:t xml:space="preserve">5.4 Dimensions as Constituents of Integrative Lesson Plan Quality (RQ4)</w:t>
      </w:r>
    </w:p>
    <w:p>
      <w:pPr>
        <w:pStyle w:val="BodyText"/>
      </w:pPr>
      <w:r>
        <w:t xml:space="preserve"/>
      </w:r>
    </w:p>
    <w:p>
      <w:pPr>
        <w:pStyle w:val="BodyText"/>
      </w:pPr>
      <w:r>
        <w:t xml:space="preserve">All three integration dimensions contributed significantly and substantially to integrative lesson plan quality, with consistently large effect sizes: STEM (β = 0.492, </w:t>
      </w:r>
      <w:r>
        <w:rPr>
          <w:i/>
          <w:iCs/>
        </w:rPr>
        <w:t xml:space="preserve">f</w:t>
      </w:r>
      <w:r>
        <w:t xml:space="preserve">² = 7.711), TPACK (β = 0.438, </w:t>
      </w:r>
      <w:r>
        <w:rPr>
          <w:i/>
          <w:iCs/>
        </w:rPr>
        <w:t xml:space="preserve">f</w:t>
      </w:r>
      <w:r>
        <w:t xml:space="preserve">² = 7.120), and ESD (β = 0.357, </w:t>
      </w:r>
      <w:r>
        <w:rPr>
          <w:i/>
          <w:iCs/>
        </w:rPr>
        <w:t xml:space="preserve">f</w:t>
      </w:r>
      <w:r>
        <w:t xml:space="preserve">² = 5.572). This finding supports H2 and validates the conceptualization of integrative lesson planning as a higher-order competence constituted by three distinct but complementary dimensions.</w:t>
      </w:r>
    </w:p>
    <w:p>
      <w:pPr>
        <w:pStyle w:val="BodyText"/>
      </w:pPr>
      <w:r>
        <w:t xml:space="preserve"/>
      </w:r>
    </w:p>
    <w:p>
      <w:pPr>
        <w:pStyle w:val="BodyText"/>
      </w:pPr>
      <w:r>
        <w:t xml:space="preserve">The large </w:t>
      </w:r>
      <w:r>
        <w:rPr>
          <w:i/>
          <w:iCs/>
        </w:rPr>
        <w:t xml:space="preserve">f</w:t>
      </w:r>
      <w:r>
        <w:t xml:space="preserve">² values (all exceeding 5.5) indicate that each dimension makes a substantial, non-redundant contribution to lesson plan quality. This is theoretically significant for the Teacher Design Capacity framework (Brown, 2009; McKenney et al., 2015): it suggests that integrative lesson planning competence cannot be reduced to proficiency in a single dimension but requires the coordinated development of technology integration, interdisciplinary reasoning, and sustainability perspectives. Teacher education programs that emphasize only one dimension—for instance, focusing exclusively on TPACK—would be insufficient for developing the full spectrum of integrative design competence.</w:t>
      </w:r>
    </w:p>
    <w:p>
      <w:pPr>
        <w:pStyle w:val="BodyText"/>
      </w:pPr>
      <w:r>
        <w:t xml:space="preserve"/>
      </w:r>
    </w:p>
    <w:p>
      <w:pPr>
        <w:pStyle w:val="BodyText"/>
      </w:pPr>
      <w:r>
        <w:t xml:space="preserve">An important methodological caveat applies to these findings. The R² for RPP was 0.980, an unusually high value that reflects the compositional nature of the construct: RPPInt_total_post is computed as the mean of all TPACK, STEM, and ESD indicator scores, making the three dimensions near-perfect predictors by construction. Consequently, the large </w:t>
      </w:r>
      <w:r>
        <w:rPr>
          <w:i/>
          <w:iCs/>
        </w:rPr>
        <w:t xml:space="preserve">f</w:t>
      </w:r>
      <w:r>
        <w:t xml:space="preserve">² values and the high R² do not solely reflect empirically discovered relationships but partly capture mathematical inevitability. This does not invalidate the conceptual insight—that integrative lesson planning comprises multiple dimensions—but the magnitude of the path coefficients should be interpreted as reflecting the construct's operationalization rather than purely empirical effect magnitudes.</w:t>
      </w:r>
    </w:p>
    <w:p>
      <w:pPr>
        <w:pStyle w:val="BodyText"/>
      </w:pPr>
      <w:r>
        <w:t xml:space="preserve"/>
      </w:r>
    </w:p>
    <w:p>
      <w:pPr>
        <w:pStyle w:val="Heading2"/>
        <w:jc w:val="left"/>
      </w:pPr>
      <w:r>
        <w:t xml:space="preserve">5.5 Mediating Role of Integration Dimensions (RQ5)</w:t>
      </w:r>
    </w:p>
    <w:p>
      <w:pPr>
        <w:pStyle w:val="BodyText"/>
      </w:pPr>
      <w:r>
        <w:t xml:space="preserve"/>
      </w:r>
    </w:p>
    <w:p>
      <w:pPr>
        <w:pStyle w:val="BodyText"/>
      </w:pPr>
      <w:r>
        <w:t xml:space="preserve">The mediation analysis revealed a pattern of full mediation: the total indirect effect was significant (β = 0.297, </w:t>
      </w:r>
      <w:r>
        <w:rPr>
          <w:i/>
          <w:iCs/>
        </w:rPr>
        <w:t xml:space="preserve">p</w:t>
      </w:r>
      <w:r>
        <w:t xml:space="preserve"> &lt; .001), while the direct effect of PjBL on RPP was non-significant (β = 0.013, </w:t>
      </w:r>
      <w:r>
        <w:rPr>
          <w:i/>
          <w:iCs/>
        </w:rPr>
        <w:t xml:space="preserve">p</w:t>
      </w:r>
      <w:r>
        <w:t xml:space="preserve"> = .731). This finding supports H3 and offers a key theoretical insight: PjBL does not influence integrative lesson plan quality directly but operates through the enhancement of specific integration competences.</w:t>
      </w:r>
    </w:p>
    <w:p>
      <w:pPr>
        <w:pStyle w:val="BodyText"/>
      </w:pPr>
      <w:r>
        <w:t xml:space="preserve"/>
      </w:r>
    </w:p>
    <w:p>
      <w:pPr>
        <w:pStyle w:val="BodyText"/>
      </w:pPr>
      <w:r>
        <w:t xml:space="preserve">Among the three mediating pathways, STEM was the strongest and most robust mediator (indirect β = 0.143, </w:t>
      </w:r>
      <w:r>
        <w:rPr>
          <w:i/>
          <w:iCs/>
        </w:rPr>
        <w:t xml:space="preserve">p</w:t>
      </w:r>
      <w:r>
        <w:t xml:space="preserve"> = .002, VAF = 46.1%), with both bootstrap and Sobel test confirming significance. TPACK exhibited a significant bootstrap indirect effect (β = 0.087, </w:t>
      </w:r>
      <w:r>
        <w:rPr>
          <w:i/>
          <w:iCs/>
        </w:rPr>
        <w:t xml:space="preserve">p</w:t>
      </w:r>
      <w:r>
        <w:t xml:space="preserve"> = .027) but a borderline Sobel test (</w:t>
      </w:r>
      <w:r>
        <w:rPr>
          <w:i/>
          <w:iCs/>
        </w:rPr>
        <w:t xml:space="preserve">p</w:t>
      </w:r>
      <w:r>
        <w:t xml:space="preserve"> = .053), warranting cautious interpretation. ESD did not function as a significant mediator (indirect β = 0.067, </w:t>
      </w:r>
      <w:r>
        <w:rPr>
          <w:i/>
          <w:iCs/>
        </w:rPr>
        <w:t xml:space="preserve">p</w:t>
      </w:r>
      <w:r>
        <w:t xml:space="preserve"> = .111), consistent with the non-significant direct path from PjBL to ESD.</w:t>
      </w:r>
    </w:p>
    <w:p>
      <w:pPr>
        <w:pStyle w:val="BodyText"/>
      </w:pPr>
      <w:r>
        <w:t xml:space="preserve"/>
      </w:r>
    </w:p>
    <w:p>
      <w:pPr>
        <w:pStyle w:val="BodyText"/>
      </w:pPr>
      <w:r>
        <w:t xml:space="preserve">This differential mediation pattern carries important implications for intervention design. The dominance of the STEM mediation pathway suggests that PjBL's primary mechanism of action on lesson plan quality operates through activating interdisciplinary STEM reasoning. When pre-service teachers engage in PjBL, the resulting improvement in their ability to integrate science, technology, engineering, and mathematics into lesson designs is the principal channel through which lesson plan quality improves. The weaker TPACK pathway suggests that technology integration contributes to this mechanism but to a lesser degree, while the non-significant ESD pathway indicates that the PjBL experience alone is insufficient for ESD to serve as a bridge between pedagogical intervention and design quality.</w:t>
      </w:r>
    </w:p>
    <w:p>
      <w:pPr>
        <w:pStyle w:val="BodyText"/>
      </w:pPr>
      <w:r>
        <w:t xml:space="preserve"/>
      </w:r>
    </w:p>
    <w:p>
      <w:pPr>
        <w:pStyle w:val="BodyText"/>
      </w:pPr>
      <w:r>
        <w:t xml:space="preserve">This finding aligns with Gumbi et al.'s (2024) observation that STEM-oriented interventions produce differential effects on various competence dimensions, with some dimensions requiring more explicit instructional attention. It also resonates with the broader mediation literature in education, where full mediation patterns are interpreted as evidence that pedagogical interventions work </w:t>
      </w:r>
      <w:r>
        <w:rPr>
          <w:i/>
          <w:iCs/>
        </w:rPr>
        <w:t xml:space="preserve">through</w:t>
      </w:r>
      <w:r>
        <w:t xml:space="preserve"> specific skill development rather than through diffuse, unspecified mechanisms (Hair et al., 2022).</w:t>
      </w:r>
    </w:p>
    <w:p>
      <w:pPr>
        <w:pStyle w:val="BodyText"/>
      </w:pPr>
      <w:r>
        <w:t xml:space="preserve"/>
      </w:r>
    </w:p>
    <w:p>
      <w:pPr>
        <w:pStyle w:val="Heading2"/>
        <w:jc w:val="left"/>
      </w:pPr>
      <w:r>
        <w:t xml:space="preserve">5.6 Theoretical Implications</w:t>
      </w:r>
    </w:p>
    <w:p>
      <w:pPr>
        <w:pStyle w:val="BodyText"/>
      </w:pPr>
      <w:r>
        <w:t xml:space="preserve"/>
      </w:r>
    </w:p>
    <w:p>
      <w:pPr>
        <w:pStyle w:val="BodyText"/>
      </w:pPr>
      <w:r>
        <w:t xml:space="preserve">This study makes three contributions to theory. First, it provides the first empirical test of a structural model that positions TPACK, STEM, and ESD as simultaneous mediating dimensions between PjBL and integrative lesson plan quality. The full mediation pattern suggests that theoretical models of teacher design capacity (Brown, 2009) should specify the compositional pathways through which interventions influence design competence, rather than treating design capacity as a unitary outcome of pedagogical experience.</w:t>
      </w:r>
    </w:p>
    <w:p>
      <w:pPr>
        <w:pStyle w:val="BodyText"/>
      </w:pPr>
      <w:r>
        <w:t xml:space="preserve"/>
      </w:r>
    </w:p>
    <w:p>
      <w:pPr>
        <w:pStyle w:val="BodyText"/>
      </w:pPr>
      <w:r>
        <w:t xml:space="preserve">Second, the differential mediation pattern challenges the assumption that pedagogical frameworks exert uniform influence across integration dimensions. The finding that STEM mediates strongly, TPACK mediates partially, and ESD does not mediate suggests that different integration competences have different developmental trajectories and different degrees of alignment with PjBL's structural features. Future theoretical models should accommodate this dimensional heterogeneity.</w:t>
      </w:r>
    </w:p>
    <w:p>
      <w:pPr>
        <w:pStyle w:val="BodyText"/>
      </w:pPr>
      <w:r>
        <w:t xml:space="preserve"/>
      </w:r>
    </w:p>
    <w:p>
      <w:pPr>
        <w:pStyle w:val="BodyText"/>
      </w:pPr>
      <w:r>
        <w:t xml:space="preserve">Third, the study validates the operationalization of integrative lesson planning as a construct that is constituted by—rather than merely correlated with—TPACK, STEM, and ESD competences. While the near-perfect R² for RPP is partly an artifact of the construct's composite computation, the consistent significance and large effect sizes of all three dimensional paths provide empirical grounding for the higher-order construct conceptualization.</w:t>
      </w:r>
    </w:p>
    <w:p>
      <w:pPr>
        <w:pStyle w:val="BodyText"/>
      </w:pPr>
      <w:r>
        <w:t xml:space="preserve"/>
      </w:r>
    </w:p>
    <w:p>
      <w:pPr>
        <w:pStyle w:val="Heading2"/>
        <w:jc w:val="left"/>
      </w:pPr>
      <w:r>
        <w:t xml:space="preserve">5.7 Practical Implications</w:t>
      </w:r>
    </w:p>
    <w:p>
      <w:pPr>
        <w:pStyle w:val="BodyText"/>
      </w:pPr>
      <w:r>
        <w:t xml:space="preserve"/>
      </w:r>
    </w:p>
    <w:p>
      <w:pPr>
        <w:pStyle w:val="BodyText"/>
      </w:pPr>
      <w:r>
        <w:t xml:space="preserve">The findings offer actionable guidance for teacher education programs (Lembaga Pendidikan Tenaga Kependidikan, LPTK). First, PjBL should be adopted as a core pedagogical strategy in science teacher preparation courses, given its demonstrated capacity to enhance integrative competences—particularly STEM integration. However, PjBL alone is insufficient: the non-significant PjBL → ESD path and the weak ESD N-Gain indicate that explicit ESD scaffolding must complement the PjBL experience.</w:t>
      </w:r>
    </w:p>
    <w:p>
      <w:pPr>
        <w:pStyle w:val="BodyText"/>
      </w:pPr>
      <w:r>
        <w:t xml:space="preserve"/>
      </w:r>
    </w:p>
    <w:p>
      <w:pPr>
        <w:pStyle w:val="BodyText"/>
      </w:pPr>
      <w:r>
        <w:t xml:space="preserve">Second, the rubric-based assessment approach used in this study offers a practical tool for evaluating pre-service teachers' integrative lesson plan quality. The 14-indicator rubric spanning TPACK (7 items), STEM (4 items), and ESD (3 items) can be adopted or adapted by teacher education institutions seeking to assess multi-dimensional design competence through authentic performance tasks rather than self-report measures.</w:t>
      </w:r>
    </w:p>
    <w:p>
      <w:pPr>
        <w:pStyle w:val="BodyText"/>
      </w:pPr>
      <w:r>
        <w:t xml:space="preserve"/>
      </w:r>
    </w:p>
    <w:p>
      <w:pPr>
        <w:pStyle w:val="BodyText"/>
      </w:pPr>
      <w:r>
        <w:t xml:space="preserve">Third, the mediation findings suggest a specific instructional sequence: teacher educators should first ensure that PjBL activities effectively develop STEM integration skills, which serve as the primary channel to lesson plan quality, and then layer additional scaffolding for TPACK and ESD dimensions that are less naturally activated by PjBL's structure. This staged approach could optimize the efficiency of teacher preparation programs operating under time constraints.</w:t>
      </w:r>
    </w:p>
    <w:p>
      <w:pPr>
        <w:pStyle w:val="BodyText"/>
      </w:pPr>
      <w:r>
        <w:t xml:space="preserve"/>
      </w:r>
    </w:p>
    <w:p>
      <w:pPr>
        <w:pStyle w:val="Heading2"/>
        <w:jc w:val="left"/>
      </w:pPr>
      <w:r>
        <w:t xml:space="preserve">5.8 Limitations</w:t>
      </w:r>
    </w:p>
    <w:p>
      <w:pPr>
        <w:pStyle w:val="BodyText"/>
      </w:pPr>
      <w:r>
        <w:t xml:space="preserve"/>
      </w:r>
    </w:p>
    <w:p>
      <w:pPr>
        <w:pStyle w:val="BodyText"/>
      </w:pPr>
      <w:r>
        <w:t xml:space="preserve">Several limitations constrain the interpretation and generalizability of these findings.</w:t>
      </w:r>
    </w:p>
    <w:p>
      <w:pPr>
        <w:pStyle w:val="BodyText"/>
      </w:pPr>
      <w:r>
        <w:t xml:space="preserve"/>
      </w:r>
    </w:p>
    <w:p>
      <w:pPr>
        <w:pStyle w:val="BodyText"/>
      </w:pPr>
      <w:r>
        <w:rPr>
          <w:i/>
          <w:iCs/>
        </w:rPr>
        <w:t xml:space="preserve">Design limitations.</w:t>
      </w:r>
      <w:r>
        <w:t xml:space="preserve"> The pre-experimental one-group pretest-posttest design lacks a control group, precluding unambiguous causal attribution. Observed improvements may be partly explained by maturation, concurrent coursework, or testing effects. Future studies should employ quasi-experimental designs with comparison groups.</w:t>
      </w:r>
    </w:p>
    <w:p>
      <w:pPr>
        <w:pStyle w:val="BodyText"/>
      </w:pPr>
      <w:r>
        <w:t xml:space="preserve"/>
      </w:r>
    </w:p>
    <w:p>
      <w:pPr>
        <w:pStyle w:val="BodyText"/>
      </w:pPr>
      <w:r>
        <w:rPr>
          <w:i/>
          <w:iCs/>
        </w:rPr>
        <w:t xml:space="preserve">Measurement quality.</w:t>
      </w:r>
      <w:r>
        <w:t xml:space="preserve"> The PjBL construct exhibited weak psychometric properties (AVE = 0.320, CR = 0.683, α = 0.386), with all indices falling below standard thresholds. The indicator PjBL04 (loading = 0.206) and PK_post (loading = 0.249) were particularly weak. While these indicators were retained following Hair et al.'s (2022) recommendation for exploratory research with indicators loading above 0.20, the suboptimal measurement quality likely attenuated path coefficients involving PjBL. The TPACK construct (AVE = 0.419) and STEM construct (AVE = 0.482) also fell below the 0.50 AVE threshold, though their composite reliabilities were acceptable. Future studies should refine the PjBL instrument—possibly by expanding the item pool, revising low-loading items, or adopting a validated PjBL implementation checklist—to improve measurement precision.</w:t>
      </w:r>
    </w:p>
    <w:p>
      <w:pPr>
        <w:pStyle w:val="BodyText"/>
      </w:pPr>
      <w:r>
        <w:t xml:space="preserve"/>
      </w:r>
    </w:p>
    <w:p>
      <w:pPr>
        <w:pStyle w:val="BodyText"/>
      </w:pPr>
      <w:r>
        <w:rPr>
          <w:i/>
          <w:iCs/>
        </w:rPr>
        <w:t xml:space="preserve">Construct operationalization.</w:t>
      </w:r>
      <w:r>
        <w:t xml:space="preserve"> The RPP Integratif construct was operationalized as a single indicator (RPPInt_total_post), which is the arithmetic mean of all TPACK, STEM, and ESD indicator scores. This compositional operationalization produces a mechanistically high R² (0.980) for the RPP construct, because the constituent indicators mathematically determine the composite score. While this approach is consistent with the higher-order construct logic (the whole is defined by its parts), it limits the interpretive value of the R² statistic and inflates the apparent explanatory power of the model. Alternative operationalizations—such as independent holistic ratings of lesson plan quality by external evaluators—would provide a more stringent test of the model.</w:t>
      </w:r>
    </w:p>
    <w:p>
      <w:pPr>
        <w:pStyle w:val="BodyText"/>
      </w:pPr>
      <w:r>
        <w:t xml:space="preserve"/>
      </w:r>
    </w:p>
    <w:p>
      <w:pPr>
        <w:pStyle w:val="BodyText"/>
      </w:pPr>
      <w:r>
        <w:rPr>
          <w:i/>
          <w:iCs/>
        </w:rPr>
        <w:t xml:space="preserve">Predictive relevance.</w:t>
      </w:r>
      <w:r>
        <w:t xml:space="preserve"> The Q² for ESD was slightly negative (−0.012), indicating that the model has no predictive relevance for ESD from PjBL alone. This reinforces the finding that PjBL is not a sufficient predictor of ESD competence and underscores the need for additional predictors or intervention components targeting ESD development.</w:t>
      </w:r>
    </w:p>
    <w:p>
      <w:pPr>
        <w:pStyle w:val="BodyText"/>
      </w:pPr>
      <w:r>
        <w:t xml:space="preserve"/>
      </w:r>
    </w:p>
    <w:p>
      <w:pPr>
        <w:pStyle w:val="BodyText"/>
      </w:pPr>
      <w:r>
        <w:rPr>
          <w:i/>
          <w:iCs/>
        </w:rPr>
        <w:t xml:space="preserve">Sample and generalizability.</w:t>
      </w:r>
      <w:r>
        <w:t xml:space="preserve"> All participants were drawn from a single teacher education institution, limiting generalizability to other institutional and cultural contexts. The sample size (N = 95), while exceeding the minimum requirements for PLS-SEM (10 × rule = 40 paths), is modest for the complexity of the model. Replication across multiple institutions and with larger samples would strengthen the evidence base.</w:t>
      </w:r>
    </w:p>
    <w:p>
      <w:pPr>
        <w:pStyle w:val="BodyText"/>
      </w:pPr>
      <w:r>
        <w:t xml:space="preserve"/>
      </w:r>
    </w:p>
    <w:p>
      <w:pPr>
        <w:pStyle w:val="BodyText"/>
      </w:pPr>
      <w:r>
        <w:rPr>
          <w:i/>
          <w:iCs/>
        </w:rPr>
        <w:t xml:space="preserve">Intervention scope.</w:t>
      </w:r>
      <w:r>
        <w:t xml:space="preserve"> The PjBL intervention duration may have been insufficient for developing ESD competences, which require sustained engagement with sustainability concepts and pedagogical approaches that differ from conventional science teaching. Longer interventions with explicit ESD integration may yield different results.</w:t>
      </w:r>
    </w:p>
    <w:p>
      <w:pPr>
        <w:pStyle w:val="BodyText"/>
      </w:pPr>
      <w:r>
        <w:t xml:space="preserve"/>
      </w:r>
    </w:p>
    <w:p>
      <w:pPr>
        <w:pStyle w:val="BodyText"/>
      </w:pPr>
      <w:r>
        <w:rPr>
          <w:i/>
          <w:iCs/>
        </w:rPr>
        <w:t xml:space="preserve">Bootstrap iterations.</w:t>
      </w:r>
      <w:r>
        <w:t xml:space="preserve"> The structural model was estimated with 500 bootstrap iterations rather than the 5,000 recommended by Hair et al. (2022), due to computational constraints. While the key findings (significance patterns) are unlikely to change substantially with more iterations, the precision of standard errors and confidence intervals may be affected. The marginal results—particularly the TPACK mediation path with a borderline Sobel test (</w:t>
      </w:r>
      <w:r>
        <w:rPr>
          <w:i/>
          <w:iCs/>
        </w:rPr>
        <w:t xml:space="preserve">p</w:t>
      </w:r>
      <w:r>
        <w:t xml:space="preserve"> = .053)—should be interpreted with this limitation in mind.</w:t>
      </w:r>
    </w:p>
    <w:p>
      <w:pPr>
        <w:pStyle w:val="BodyText"/>
      </w:pPr>
      <w:r>
        <w:t xml:space="preserve"/>
      </w:r>
    </w:p>
    <w:p>
      <w:pPr>
        <w:pStyle w:val="BodyText"/>
      </w:pPr>
      <w:r>
        <w:rPr>
          <w:i/>
          <w:iCs/>
        </w:rPr>
        <w:t xml:space="preserve">SEM data.</w:t>
      </w:r>
      <w:r>
        <w:t xml:space="preserve"> The SEM analysis used posttest-only scores rather than gain scores or change scores, meaning that the structural relationships reflect posttest associations rather than intervention-induced change. This is a common approach in single-group SEM designs but limits the strength of causal interpretation.</w:t>
      </w:r>
    </w:p>
    <w:p>
      <w:pPr>
        <w:pStyle w:val="BodyText"/>
      </w:pPr>
      <w:r>
        <w:t xml:space="preserve"/>
      </w:r>
    </w:p>
    <w:p>
      <w:pPr>
        <w:pStyle w:val="BodyText"/>
      </w:pPr>
      <w:r>
        <w:t xml:space="preserve">Despite these limitations, the study provides a coherent and empirically grounded initial test of the integrative model. The convergence between the pre-post findings (RQ1) and the SEM findings (RQ2–RQ5) strengthens confidence in the overall pattern of results, even as individual parameter estimates should be treated with appropriate caution.</w:t>
      </w:r>
    </w:p>
    <w:p>
      <w:pPr>
        <w:pStyle w:val="BodyText"/>
      </w:pPr>
      <w:r>
        <w:t xml:space="preserve"/>
      </w:r>
    </w:p>
    <w:p>
      <w:pPr>
        <w:pStyle w:val="BodyText"/>
      </w:pPr>
      <w:r>
        <w:t xml:space="preserve"/>
      </w:r>
    </w:p>
    <w:p>
      <w:pPr>
        <w:pStyle w:val="Heading1"/>
        <w:jc w:val="left"/>
      </w:pPr>
      <w:r>
        <w:t xml:space="preserve">6. Conclusion</w:t>
      </w:r>
    </w:p>
    <w:p>
      <w:pPr>
        <w:pStyle w:val="BodyText"/>
      </w:pPr>
      <w:r>
        <w:t xml:space="preserve"/>
      </w:r>
    </w:p>
    <w:p>
      <w:pPr>
        <w:pStyle w:val="BodyText"/>
      </w:pPr>
      <w:r>
        <w:t xml:space="preserve">This study investigated how Project-Based Learning influences pre-service science teachers' integrative lesson planning competence, conceptualized as the simultaneous integration of TPACK, STEM, and ESD dimensions in lesson plan design. Using a pre-experimental one-group pretest-posttest design with 95 pre-service science teachers and a combination of paired tests, N-Gain analysis, and PLS-SEM, the study addressed five research questions and tested three hypotheses. The key findings are summarized below.</w:t>
      </w:r>
    </w:p>
    <w:p>
      <w:pPr>
        <w:pStyle w:val="BodyText"/>
      </w:pPr>
      <w:r>
        <w:t xml:space="preserve"/>
      </w:r>
    </w:p>
    <w:p>
      <w:pPr>
        <w:pStyle w:val="BodyText"/>
      </w:pPr>
      <w:r>
        <w:rPr>
          <w:b/>
          <w:bCs/>
        </w:rPr>
        <w:t xml:space="preserve">RQ1:</w:t>
      </w:r>
      <w:r>
        <w:t xml:space="preserve"> All four constructs—TPACK, STEM, ESD, and integrative lesson plan quality—showed statistically significant improvement following the PjBL intervention, with uniformly large effect sizes (Cohen's </w:t>
      </w:r>
      <w:r>
        <w:rPr>
          <w:i/>
          <w:iCs/>
        </w:rPr>
        <w:t xml:space="preserve">d</w:t>
      </w:r>
      <w:r>
        <w:t xml:space="preserve"> &gt; 2.3) and Medium N-Gain values. TPACK and STEM were the most responsive constructs, while ESD exhibited the weakest gains, with no participant achieving High N-Gain and 28.4% remaining in the Low category.</w:t>
      </w:r>
    </w:p>
    <w:p>
      <w:pPr>
        <w:pStyle w:val="BodyText"/>
      </w:pPr>
      <w:r>
        <w:t xml:space="preserve"/>
      </w:r>
    </w:p>
    <w:p>
      <w:pPr>
        <w:pStyle w:val="BodyText"/>
      </w:pPr>
      <w:r>
        <w:rPr>
          <w:b/>
          <w:bCs/>
        </w:rPr>
        <w:t xml:space="preserve">RQ2:</w:t>
      </w:r>
      <w:r>
        <w:t xml:space="preserve"> PLS-SEM analysis revealed that PjBL significantly predicted STEM (β = 0.291) and TPACK (β = 0.199) integration but not ESD (β = 0.188, </w:t>
      </w:r>
      <w:r>
        <w:rPr>
          <w:i/>
          <w:iCs/>
        </w:rPr>
        <w:t xml:space="preserve">p</w:t>
      </w:r>
      <w:r>
        <w:t xml:space="preserve"> = .109). H1 was partially supported.</w:t>
      </w:r>
    </w:p>
    <w:p>
      <w:pPr>
        <w:pStyle w:val="BodyText"/>
      </w:pPr>
      <w:r>
        <w:t xml:space="preserve"/>
      </w:r>
    </w:p>
    <w:p>
      <w:pPr>
        <w:pStyle w:val="BodyText"/>
      </w:pPr>
      <w:r>
        <w:rPr>
          <w:b/>
          <w:bCs/>
        </w:rPr>
        <w:t xml:space="preserve">RQ3:</w:t>
      </w:r>
      <w:r>
        <w:t xml:space="preserve"> STEM was the most strongly influenced dimension, followed by TPACK and ESD, though the differences were not statistically distinguishable given overlapping confidence intervals.</w:t>
      </w:r>
    </w:p>
    <w:p>
      <w:pPr>
        <w:pStyle w:val="BodyText"/>
      </w:pPr>
      <w:r>
        <w:t xml:space="preserve"/>
      </w:r>
    </w:p>
    <w:p>
      <w:pPr>
        <w:pStyle w:val="BodyText"/>
      </w:pPr>
      <w:r>
        <w:rPr>
          <w:b/>
          <w:bCs/>
        </w:rPr>
        <w:t xml:space="preserve">RQ4:</w:t>
      </w:r>
      <w:r>
        <w:t xml:space="preserve"> All three integration dimensions contributed significantly to integrative lesson plan quality with large effect sizes (</w:t>
      </w:r>
      <w:r>
        <w:rPr>
          <w:i/>
          <w:iCs/>
        </w:rPr>
        <w:t xml:space="preserve">f</w:t>
      </w:r>
      <w:r>
        <w:t xml:space="preserve">² &gt; 5.5), supporting H2 and validating the higher-order construct conceptualization of integrative lesson planning.</w:t>
      </w:r>
    </w:p>
    <w:p>
      <w:pPr>
        <w:pStyle w:val="BodyText"/>
      </w:pPr>
      <w:r>
        <w:t xml:space="preserve"/>
      </w:r>
    </w:p>
    <w:p>
      <w:pPr>
        <w:pStyle w:val="BodyText"/>
      </w:pPr>
      <w:r>
        <w:rPr>
          <w:b/>
          <w:bCs/>
        </w:rPr>
        <w:t xml:space="preserve">RQ5:</w:t>
      </w:r>
      <w:r>
        <w:t xml:space="preserve"> A full mediation pattern was observed: PjBL influenced lesson plan quality not directly but through the enhancement of integration competences, predominantly via the STEM pathway (VAF = 46.1%). The TPACK pathway was borderline significant, while the ESD pathway was not significant. H3 was partially supported.</w:t>
      </w:r>
    </w:p>
    <w:p>
      <w:pPr>
        <w:pStyle w:val="BodyText"/>
      </w:pPr>
      <w:r>
        <w:t xml:space="preserve"/>
      </w:r>
    </w:p>
    <w:p>
      <w:pPr>
        <w:pStyle w:val="BodyText"/>
      </w:pPr>
      <w:r>
        <w:t xml:space="preserve">The study's principal contribution lies in providing the first empirical test of a structural model that simultaneously positions TPACK, STEM, and ESD as mediating dimensions between PjBL and integrative lesson plan quality. The full mediation pattern advances the Teacher Design Capacity framework by specifying the compositional pathways through which a pedagogical intervention translates into design competence. The differential mediation finding—STEM as the primary mechanism, TPACK as a secondary mechanism, and ESD as a non-significant pathway—offers actionable insight for teacher education: PjBL effectively activates STEM and TPACK integration but requires explicit supplementary scaffolding for ESD competence development.</w:t>
      </w:r>
    </w:p>
    <w:p>
      <w:pPr>
        <w:pStyle w:val="BodyText"/>
      </w:pPr>
      <w:r>
        <w:t xml:space="preserve"/>
      </w:r>
    </w:p>
    <w:p>
      <w:pPr>
        <w:pStyle w:val="BodyText"/>
      </w:pPr>
      <w:r>
        <w:t xml:space="preserve">Future research should address the limitations of this study through quasi-experimental designs with control groups, improved PjBL instrumentation, multi-site replication, increased bootstrap iterations, and extended intervention durations with dedicated ESD scaffolding. Mixed-methods studies incorporating qualitative data—such as interview and observation—would provide richer insight into the mechanisms through which PjBL shapes integrative design thinking. Longitudinal studies tracking the retention of integrative competences beyond the intervention period would further strengthen the evidence base for PjBL's role in pre-service science teacher preparation.</w:t>
      </w:r>
    </w:p>
    <w:p>
      <w:pPr>
        <w:pStyle w:val="BodyText"/>
      </w:pPr>
      <w:r>
        <w:t xml:space="preserve"/>
      </w:r>
    </w:p>
    <w:p>
      <w:pPr>
        <w:pStyle w:val="BodyText"/>
      </w:pPr>
      <w:r>
        <w:t xml:space="preserve"/>
      </w:r>
    </w:p>
    <w:p>
      <w:pPr>
        <w:pStyle w:val="Title"/>
        <w:jc w:val="center"/>
      </w:pPr>
      <w:r>
        <w:t xml:space="preserve">References</w:t>
      </w:r>
    </w:p>
    <w:p>
      <w:pPr>
        <w:pStyle w:val="BodyText"/>
      </w:pPr>
      <w:r>
        <w:t xml:space="preserve"/>
      </w:r>
    </w:p>
    <w:p>
      <w:pPr>
        <w:pStyle w:val="ReferenceText"/>
      </w:pPr>
      <w:r>
        <w:t xml:space="preserve">Akbulut, M. Ş., &amp; Öner, D. (2021). Developing pre-service teachers' technology competencies: A project-based learning experience. </w:t>
      </w:r>
      <w:r>
        <w:rPr>
          <w:i/>
          <w:iCs/>
        </w:rPr>
        <w:t xml:space="preserve">Çukurova Üniversitesi Eğitim Fakültesi Dergisi, 50</w:t>
      </w:r>
      <w:r>
        <w:t xml:space="preserve">(1), 240–260. https://dergipark.org.tr/en/pub/cuefd/issue/59484/753044</w:t>
      </w:r>
    </w:p>
    <w:p>
      <w:pPr>
        <w:pStyle w:val="BodyText"/>
      </w:pPr>
      <w:r>
        <w:t xml:space="preserve"/>
      </w:r>
    </w:p>
    <w:p>
      <w:pPr>
        <w:pStyle w:val="ReferenceText"/>
      </w:pPr>
      <w:r>
        <w:t xml:space="preserve">Bell, S. (2010). Project-based learning for the 21st century: Skills for the future. </w:t>
      </w:r>
      <w:r>
        <w:rPr>
          <w:i/>
          <w:iCs/>
        </w:rPr>
        <w:t xml:space="preserve">The Clearing House: A Journal of Educational Strategies, Issues and Ideas, 83</w:t>
      </w:r>
      <w:r>
        <w:t xml:space="preserve">(2), 39–43. https://doi.org/10.1080/00098650903505415</w:t>
      </w:r>
    </w:p>
    <w:p>
      <w:pPr>
        <w:pStyle w:val="BodyText"/>
      </w:pPr>
      <w:r>
        <w:t xml:space="preserve"/>
      </w:r>
    </w:p>
    <w:p>
      <w:pPr>
        <w:pStyle w:val="ReferenceText"/>
      </w:pPr>
      <w:r>
        <w:t xml:space="preserve">Brown, M. W. (2009). The teacher–tool relationship: Theorizing the design and use of curriculum materials. In J. T. Remillard, B. A. Herbel-Eisenmann, &amp; G. M. Lloyd (Eds.), </w:t>
      </w:r>
      <w:r>
        <w:rPr>
          <w:i/>
          <w:iCs/>
        </w:rPr>
        <w:t xml:space="preserve">Mathematics teachers at work: Connecting curriculum materials and classroom instruction</w:t>
      </w:r>
      <w:r>
        <w:t xml:space="preserve"> (pp. 17–36). Routledge. https://doi.org/10.4324/9780203884645-11</w:t>
      </w:r>
    </w:p>
    <w:p>
      <w:pPr>
        <w:pStyle w:val="BodyText"/>
      </w:pPr>
      <w:r>
        <w:t xml:space="preserve"/>
      </w:r>
    </w:p>
    <w:p>
      <w:pPr>
        <w:pStyle w:val="ReferenceText"/>
      </w:pPr>
      <w:r>
        <w:t xml:space="preserve">Cohen, J. (1988). </w:t>
      </w:r>
      <w:r>
        <w:rPr>
          <w:i/>
          <w:iCs/>
        </w:rPr>
        <w:t xml:space="preserve">Statistical power analysis for the behavioral sciences</w:t>
      </w:r>
      <w:r>
        <w:t xml:space="preserve"> (2nd ed.). Lawrence Erlbaum Associates.</w:t>
      </w:r>
    </w:p>
    <w:p>
      <w:pPr>
        <w:pStyle w:val="BodyText"/>
      </w:pPr>
      <w:r>
        <w:t xml:space="preserve"/>
      </w:r>
    </w:p>
    <w:p>
      <w:pPr>
        <w:pStyle w:val="ReferenceText"/>
      </w:pPr>
      <w:r>
        <w:t xml:space="preserve">Creswell, J. W., &amp; Creswell, J. D. (2018). </w:t>
      </w:r>
      <w:r>
        <w:rPr>
          <w:i/>
          <w:iCs/>
        </w:rPr>
        <w:t xml:space="preserve">Research design: Qualitative, quantitative, and mixed methods approaches</w:t>
      </w:r>
      <w:r>
        <w:t xml:space="preserve"> (5th ed.). SAGE Publications.</w:t>
      </w:r>
    </w:p>
    <w:p>
      <w:pPr>
        <w:pStyle w:val="BodyText"/>
      </w:pPr>
      <w:r>
        <w:t xml:space="preserve"/>
      </w:r>
    </w:p>
    <w:p>
      <w:pPr>
        <w:pStyle w:val="ReferenceText"/>
      </w:pPr>
      <w:r>
        <w:t xml:space="preserve">Dewi, N. R., Rusilowati, A., Saptono, S., &amp; Haryani, S. (2022). Project-based scaffolding TPACK model to improve learning design ability and TPACK of pre-service science teachers. </w:t>
      </w:r>
      <w:r>
        <w:rPr>
          <w:i/>
          <w:iCs/>
        </w:rPr>
        <w:t xml:space="preserve">Jurnal Pendidikan IPA Indonesia, 11</w:t>
      </w:r>
      <w:r>
        <w:t xml:space="preserve">(3), 439–451. https://doi.org/10.15294/jpii.v11i3.38566</w:t>
      </w:r>
    </w:p>
    <w:p>
      <w:pPr>
        <w:pStyle w:val="BodyText"/>
      </w:pPr>
      <w:r>
        <w:t xml:space="preserve"/>
      </w:r>
    </w:p>
    <w:p>
      <w:pPr>
        <w:pStyle w:val="ReferenceText"/>
      </w:pPr>
      <w:r>
        <w:t xml:space="preserve">Gumbi, N. M., Sibaya, D., &amp; Chibisa, A. (2024). Exploring pre-service teachers' perspectives on the integration of digital game-based learning for sustainable STEM education. </w:t>
      </w:r>
      <w:r>
        <w:rPr>
          <w:i/>
          <w:iCs/>
        </w:rPr>
        <w:t xml:space="preserve">Sustainability, 16</w:t>
      </w:r>
      <w:r>
        <w:t xml:space="preserve">(3), Article 1314. https://doi.org/10.3390/su16031314</w:t>
      </w:r>
    </w:p>
    <w:p>
      <w:pPr>
        <w:pStyle w:val="BodyText"/>
      </w:pPr>
      <w:r>
        <w:t xml:space="preserve"/>
      </w:r>
    </w:p>
    <w:p>
      <w:pPr>
        <w:pStyle w:val="ReferenceText"/>
      </w:pPr>
      <w:r>
        <w:t xml:space="preserve">Hair, J. F., Hult, G. T. M., Ringle, C. M., &amp; Sarstedt, M. (2022). </w:t>
      </w:r>
      <w:r>
        <w:rPr>
          <w:i/>
          <w:iCs/>
        </w:rPr>
        <w:t xml:space="preserve">A primer on partial least squares structural equation modeling (PLS-SEM)</w:t>
      </w:r>
      <w:r>
        <w:t xml:space="preserve"> (3rd ed.). SAGE Publications.</w:t>
      </w:r>
    </w:p>
    <w:p>
      <w:pPr>
        <w:pStyle w:val="BodyText"/>
      </w:pPr>
      <w:r>
        <w:t xml:space="preserve"/>
      </w:r>
    </w:p>
    <w:p>
      <w:pPr>
        <w:pStyle w:val="ReferenceText"/>
      </w:pPr>
      <w:r>
        <w:t xml:space="preserve">Hake, R. R. (1998). Interactive-engagement versus traditional methods: A six-thousand-student survey of mechanics test data for introductory physics courses. </w:t>
      </w:r>
      <w:r>
        <w:rPr>
          <w:i/>
          <w:iCs/>
        </w:rPr>
        <w:t xml:space="preserve">American Journal of Physics, 66</w:t>
      </w:r>
      <w:r>
        <w:t xml:space="preserve">(1), 64–74. https://doi.org/10.1119/1.18809</w:t>
      </w:r>
    </w:p>
    <w:p>
      <w:pPr>
        <w:pStyle w:val="BodyText"/>
      </w:pPr>
      <w:r>
        <w:t xml:space="preserve"/>
      </w:r>
    </w:p>
    <w:p>
      <w:pPr>
        <w:pStyle w:val="ReferenceText"/>
      </w:pPr>
      <w:r>
        <w:t xml:space="preserve">Henseler, J., Ringle, C. M., &amp; Sarstedt, M. (2015). A new criterion for assessing discriminant validity in variance-based structural equation modeling. </w:t>
      </w:r>
      <w:r>
        <w:rPr>
          <w:i/>
          <w:iCs/>
        </w:rPr>
        <w:t xml:space="preserve">Journal of the Academy of Marketing Science, 43</w:t>
      </w:r>
      <w:r>
        <w:t xml:space="preserve">(1), 115–135. https://doi.org/10.1007/s11747-014-0403-8</w:t>
      </w:r>
    </w:p>
    <w:p>
      <w:pPr>
        <w:pStyle w:val="BodyText"/>
      </w:pPr>
      <w:r>
        <w:t xml:space="preserve"/>
      </w:r>
    </w:p>
    <w:p>
      <w:pPr>
        <w:pStyle w:val="ReferenceText"/>
      </w:pPr>
      <w:r>
        <w:t xml:space="preserve">Kelley, T. R., &amp; Knowles, J. G. (2016). A conceptual framework for integrated STEM education. </w:t>
      </w:r>
      <w:r>
        <w:rPr>
          <w:i/>
          <w:iCs/>
        </w:rPr>
        <w:t xml:space="preserve">International Journal of STEM Education, 3</w:t>
      </w:r>
      <w:r>
        <w:t xml:space="preserve">, Article 11. https://doi.org/10.1186/s40594-016-0046-z</w:t>
      </w:r>
    </w:p>
    <w:p>
      <w:pPr>
        <w:pStyle w:val="BodyText"/>
      </w:pPr>
      <w:r>
        <w:t xml:space="preserve"/>
      </w:r>
    </w:p>
    <w:p>
      <w:pPr>
        <w:pStyle w:val="ReferenceText"/>
      </w:pPr>
      <w:r>
        <w:t xml:space="preserve">Krajcik, J. S., &amp; Shin, N. (2014). Project-based learning. In R. K. Sawyer (Ed.), </w:t>
      </w:r>
      <w:r>
        <w:rPr>
          <w:i/>
          <w:iCs/>
        </w:rPr>
        <w:t xml:space="preserve">The Cambridge handbook of the learning sciences</w:t>
      </w:r>
      <w:r>
        <w:t xml:space="preserve"> (2nd ed., pp. 275–297). Cambridge University Press. https://doi.org/10.1017/CBO9781139519526.018</w:t>
      </w:r>
    </w:p>
    <w:p>
      <w:pPr>
        <w:pStyle w:val="BodyText"/>
      </w:pPr>
      <w:r>
        <w:t xml:space="preserve"/>
      </w:r>
    </w:p>
    <w:p>
      <w:pPr>
        <w:pStyle w:val="ReferenceText"/>
      </w:pPr>
      <w:r>
        <w:t xml:space="preserve">Mansour, N., Said, Z., Çevik, M., &amp; Abu-Tineh, A. (2024). Science and mathematics teachers' integration of TPACK in STEM subjects in Qatar: A structural equation modeling study. </w:t>
      </w:r>
      <w:r>
        <w:rPr>
          <w:i/>
          <w:iCs/>
        </w:rPr>
        <w:t xml:space="preserve">Education Sciences, 14</w:t>
      </w:r>
      <w:r>
        <w:t xml:space="preserve">(10), Article 1138. https://doi.org/10.3390/educsci14101138</w:t>
      </w:r>
    </w:p>
    <w:p>
      <w:pPr>
        <w:pStyle w:val="BodyText"/>
      </w:pPr>
      <w:r>
        <w:t xml:space="preserve"/>
      </w:r>
    </w:p>
    <w:p>
      <w:pPr>
        <w:pStyle w:val="ReferenceText"/>
      </w:pPr>
      <w:r>
        <w:t xml:space="preserve">McKenney, S., Kali, Y., Markauskaite, L., &amp; Voogt, J. (2015). Teacher design knowledge for technology enhanced learning: An ecological framework for investigating assets and needs. </w:t>
      </w:r>
      <w:r>
        <w:rPr>
          <w:i/>
          <w:iCs/>
        </w:rPr>
        <w:t xml:space="preserve">Instructional Science, 43</w:t>
      </w:r>
      <w:r>
        <w:t xml:space="preserve">(2), 181–202. https://doi.org/10.1007/s11251-014-9337-2</w:t>
      </w:r>
    </w:p>
    <w:p>
      <w:pPr>
        <w:pStyle w:val="BodyText"/>
      </w:pPr>
      <w:r>
        <w:t xml:space="preserve"/>
      </w:r>
    </w:p>
    <w:p>
      <w:pPr>
        <w:pStyle w:val="ReferenceText"/>
      </w:pPr>
      <w:r>
        <w:t xml:space="preserve">Mishra, P., &amp; Koehler, M. J. (2006). Technological pedagogical content knowledge: A framework for teacher knowledge. </w:t>
      </w:r>
      <w:r>
        <w:rPr>
          <w:i/>
          <w:iCs/>
        </w:rPr>
        <w:t xml:space="preserve">Teachers College Record, 108</w:t>
      </w:r>
      <w:r>
        <w:t xml:space="preserve">(6), 1017–1054. https://doi.org/10.1177/016146810610800610</w:t>
      </w:r>
    </w:p>
    <w:p>
      <w:pPr>
        <w:pStyle w:val="BodyText"/>
      </w:pPr>
      <w:r>
        <w:t xml:space="preserve"/>
      </w:r>
    </w:p>
    <w:p>
      <w:pPr>
        <w:pStyle w:val="ReferenceText"/>
      </w:pPr>
      <w:r>
        <w:t xml:space="preserve">Novallyan, D., &amp; Nehru. (2025). Optimization of teaching profession courses through project methods: Impact on biology education students. </w:t>
      </w:r>
      <w:r>
        <w:rPr>
          <w:i/>
          <w:iCs/>
        </w:rPr>
        <w:t xml:space="preserve">International Journal of Education, Technology, and Science, 4</w:t>
      </w:r>
      <w:r>
        <w:t xml:space="preserve">(2), 431. https://doi.org/10.57092/ijetz.v4i2.431</w:t>
      </w:r>
    </w:p>
    <w:p>
      <w:pPr>
        <w:pStyle w:val="BodyText"/>
      </w:pPr>
      <w:r>
        <w:t xml:space="preserve"/>
      </w:r>
    </w:p>
    <w:p>
      <w:pPr>
        <w:pStyle w:val="ReferenceText"/>
      </w:pPr>
      <w:r>
        <w:t xml:space="preserve">Offermann, L. R., Pham, H. T., Baskerville, K. A., &amp; Langkamer, K. L. (2025). Technological pedagogical content knowledge (TPACK) among educators: A meta-analytic review. </w:t>
      </w:r>
      <w:r>
        <w:rPr>
          <w:i/>
          <w:iCs/>
        </w:rPr>
        <w:t xml:space="preserve">Frontiers in Psychology, 16</w:t>
      </w:r>
      <w:r>
        <w:t xml:space="preserve">, Article 1656795. https://doi.org/10.3389/fpsyg.2025.1656795</w:t>
      </w:r>
    </w:p>
    <w:p>
      <w:pPr>
        <w:pStyle w:val="BodyText"/>
      </w:pPr>
      <w:r>
        <w:t xml:space="preserve"/>
      </w:r>
    </w:p>
    <w:p>
      <w:pPr>
        <w:pStyle w:val="ReferenceText"/>
      </w:pPr>
      <w:r>
        <w:t xml:space="preserve">Preacher, K. J., &amp; Hayes, A. F. (2008). Asymptotic and resampling strategies for assessing and comparing indirect effects in multiple mediator models. </w:t>
      </w:r>
      <w:r>
        <w:rPr>
          <w:i/>
          <w:iCs/>
        </w:rPr>
        <w:t xml:space="preserve">Behavior Research Methods, 40</w:t>
      </w:r>
      <w:r>
        <w:t xml:space="preserve">(3), 879–891. https://doi.org/10.3758/BRM.40.3.879</w:t>
      </w:r>
    </w:p>
    <w:p>
      <w:pPr>
        <w:pStyle w:val="BodyText"/>
      </w:pPr>
      <w:r>
        <w:t xml:space="preserve"/>
      </w:r>
    </w:p>
    <w:p>
      <w:pPr>
        <w:pStyle w:val="ReferenceText"/>
      </w:pPr>
      <w:r>
        <w:t xml:space="preserve">Purwianingsih, W., Novidsa, I., &amp; Riandi, R. (2022). Program for integrating education for sustainable development (ESD) into prospective biology teachers' technological pedagogical content knowledge (TPACK). </w:t>
      </w:r>
      <w:r>
        <w:rPr>
          <w:i/>
          <w:iCs/>
        </w:rPr>
        <w:t xml:space="preserve">Jurnal Pendidikan IPA Indonesia, 11</w:t>
      </w:r>
      <w:r>
        <w:t xml:space="preserve">(2), 298–312. https://doi.org/10.15294/jpii.v11i2.34772</w:t>
      </w:r>
    </w:p>
    <w:p>
      <w:pPr>
        <w:pStyle w:val="BodyText"/>
      </w:pPr>
      <w:r>
        <w:t xml:space="preserve"/>
      </w:r>
    </w:p>
    <w:p>
      <w:pPr>
        <w:pStyle w:val="ReferenceText"/>
      </w:pPr>
      <w:r>
        <w:t xml:space="preserve">Salleh, M. F. M., Awang, M. I., &amp; Aziz, N. A. A. (2025). How pre-service science teachers develop TPACK competence: A systematic literature review. </w:t>
      </w:r>
      <w:r>
        <w:rPr>
          <w:i/>
          <w:iCs/>
        </w:rPr>
        <w:t xml:space="preserve">Jurnal Pendidikan IPA Indonesia, 14</w:t>
      </w:r>
      <w:r>
        <w:t xml:space="preserve">(1), 168–179. https://doi.org/10.15294/jpii.v14i1.16819</w:t>
      </w:r>
    </w:p>
    <w:p>
      <w:pPr>
        <w:pStyle w:val="BodyText"/>
      </w:pPr>
      <w:r>
        <w:t xml:space="preserve"/>
      </w:r>
    </w:p>
    <w:p>
      <w:pPr>
        <w:pStyle w:val="ReferenceText"/>
      </w:pPr>
      <w:r>
        <w:t xml:space="preserve">Shulman, L. S. (1986). Those who understand: Knowledge growth in teaching. </w:t>
      </w:r>
      <w:r>
        <w:rPr>
          <w:i/>
          <w:iCs/>
        </w:rPr>
        <w:t xml:space="preserve">Educational Researcher, 15</w:t>
      </w:r>
      <w:r>
        <w:t xml:space="preserve">(2), 4–14. https://doi.org/10.3102/0013189X015002004</w:t>
      </w:r>
    </w:p>
    <w:p>
      <w:pPr>
        <w:pStyle w:val="BodyText"/>
      </w:pPr>
      <w:r>
        <w:t xml:space="preserve"/>
      </w:r>
    </w:p>
    <w:p>
      <w:pPr>
        <w:pStyle w:val="ReferenceText"/>
      </w:pPr>
      <w:r>
        <w:t xml:space="preserve">Shumba, O., &amp; Kampamba, R. (2013). Mainstreaming ESD into science teacher education courses: A case for ESD pedagogical content knowledge and learning as connection. </w:t>
      </w:r>
      <w:r>
        <w:rPr>
          <w:i/>
          <w:iCs/>
        </w:rPr>
        <w:t xml:space="preserve">Southern African Journal of Environmental Education, 29</w:t>
      </w:r>
      <w:r>
        <w:t xml:space="preserve">, 151–166. https://www.ajol.info/index.php/sajee/article/view/122267</w:t>
      </w:r>
    </w:p>
    <w:p>
      <w:pPr>
        <w:pStyle w:val="BodyText"/>
      </w:pPr>
      <w:r>
        <w:t xml:space="preserve"/>
      </w:r>
    </w:p>
    <w:p>
      <w:pPr>
        <w:pStyle w:val="ReferenceText"/>
      </w:pPr>
      <w:r>
        <w:t xml:space="preserve">Tucker, S. I., Lommatsch, C. W., Burroughs, E. A., &amp; Yopp, D. (2024). Examining STEM integration in elementary mathematics methods courses. </w:t>
      </w:r>
      <w:r>
        <w:rPr>
          <w:i/>
          <w:iCs/>
        </w:rPr>
        <w:t xml:space="preserve">Journal of Research in STEM Education, 10</w:t>
      </w:r>
      <w:r>
        <w:t xml:space="preserve">(SI), Article 313. https://doi.org/10.31756/jrsmte.313si</w:t>
      </w:r>
    </w:p>
    <w:p>
      <w:pPr>
        <w:pStyle w:val="BodyText"/>
      </w:pPr>
      <w:r>
        <w:t xml:space="preserve"/>
      </w:r>
    </w:p>
    <w:p>
      <w:pPr>
        <w:pStyle w:val="ReferenceText"/>
      </w:pPr>
      <w:r>
        <w:t xml:space="preserve">UNECE. (2012). </w:t>
      </w:r>
      <w:r>
        <w:rPr>
          <w:i/>
          <w:iCs/>
        </w:rPr>
        <w:t xml:space="preserve">Learning for the future: Competences in education for sustainable development</w:t>
      </w:r>
      <w:r>
        <w:t xml:space="preserve"> (ECE/CEP/AC.13/2012/6). United Nations Economic Commission for Europe. https://unece.org/fileadmin/DAM/env/esd/ESD_Publications/Competences_Publication.pdf</w:t>
      </w:r>
    </w:p>
    <w:p>
      <w:pPr>
        <w:pStyle w:val="BodyText"/>
      </w:pPr>
      <w:r>
        <w:t xml:space="preserve"/>
      </w:r>
    </w:p>
    <w:p>
      <w:pPr>
        <w:pStyle w:val="ReferenceText"/>
      </w:pPr>
      <w:r>
        <w:t xml:space="preserve">UNESCO. (2017). </w:t>
      </w:r>
      <w:r>
        <w:rPr>
          <w:i/>
          <w:iCs/>
        </w:rPr>
        <w:t xml:space="preserve">Education for Sustainable Development Goals: Learning objectives</w:t>
      </w:r>
      <w:r>
        <w:t xml:space="preserve">. UNESCO Publishing. https://doi.org/10.54675/CGBA9153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80" w:line="276"/>
      <w:jc w:val="center"/>
    </w:pPr>
    <w:rPr>
      <w:rFonts w:ascii="Times New Roman" w:cs="Times New Roman" w:eastAsia="Times New Roman" w:hAnsi="Times New Roman"/>
      <w:b/>
      <w:bCs/>
      <w:sz w:val="32"/>
      <w:szCs w:val="32"/>
    </w:rPr>
  </w:style>
  <w:style w:type="paragraph" w:styleId="Heading1">
    <w:name w:val="Heading 1"/>
    <w:basedOn w:val="Normal"/>
    <w:next w:val="BodyText"/>
    <w:qFormat/>
    <w:pPr>
      <w:spacing w:before="180" w:after="120" w:line="276"/>
      <w:outlineLvl w:val="0"/>
    </w:pPr>
    <w:rPr>
      <w:rFonts w:ascii="Times New Roman" w:cs="Times New Roman" w:eastAsia="Times New Roman" w:hAnsi="Times New Roman"/>
      <w:b/>
      <w:bCs/>
      <w:sz w:val="28"/>
      <w:szCs w:val="28"/>
    </w:rPr>
  </w:style>
  <w:style w:type="paragraph" w:styleId="Heading2">
    <w:name w:val="Heading 2"/>
    <w:basedOn w:val="Normal"/>
    <w:next w:val="BodyText"/>
    <w:qFormat/>
    <w:pPr>
      <w:spacing w:before="120" w:after="80" w:line="276"/>
      <w:outlineLvl w:val="1"/>
    </w:pPr>
    <w:rPr>
      <w:rFonts w:ascii="Times New Roman" w:cs="Times New Roman" w:eastAsia="Times New Roman" w:hAnsi="Times New Roman"/>
      <w:b/>
      <w:bCs/>
      <w:sz w:val="26"/>
      <w:szCs w:val="26"/>
    </w:rPr>
  </w:style>
  <w:style w:type="paragraph" w:styleId="Heading3">
    <w:name w:val="Heading 3"/>
    <w:basedOn w:val="Normal"/>
    <w:next w:val="BodyText"/>
    <w:qFormat/>
    <w:pPr>
      <w:spacing w:before="100" w:after="60" w:line="276"/>
      <w:outlineLvl w:val="2"/>
    </w:pPr>
    <w:rPr>
      <w:rFonts w:ascii="Times New Roman" w:cs="Times New Roman" w:eastAsia="Times New Roman" w:hAnsi="Times New Roman"/>
      <w:b/>
      <w:bCs/>
      <w:sz w:val="24"/>
      <w:szCs w:val="24"/>
    </w:rPr>
  </w:style>
  <w:style w:type="paragraph" w:styleId="BodyText">
    <w:name w:val="Body Text"/>
    <w:basedOn w:val="Normal"/>
    <w:pPr>
      <w:spacing w:line="276" w:after="120"/>
      <w:ind w:firstLine="720"/>
      <w:jc w:val="both"/>
    </w:pPr>
    <w:rPr>
      <w:rFonts w:ascii="Times New Roman" w:cs="Times New Roman" w:eastAsia="Times New Roman" w:hAnsi="Times New Roman"/>
      <w:sz w:val="24"/>
      <w:szCs w:val="24"/>
    </w:rPr>
  </w:style>
  <w:style w:type="paragraph" w:styleId="MetaText">
    <w:name w:val="Meta Text"/>
    <w:basedOn w:val="Normal"/>
    <w:pPr>
      <w:spacing w:after="80" w:line="240"/>
      <w:jc w:val="center"/>
    </w:pPr>
    <w:rPr>
      <w:rFonts w:ascii="Times New Roman" w:cs="Times New Roman" w:eastAsia="Times New Roman" w:hAnsi="Times New Roman"/>
      <w:sz w:val="22"/>
      <w:szCs w:val="22"/>
    </w:rPr>
  </w:style>
  <w:style w:type="paragraph" w:styleId="QuoteText">
    <w:name w:val="Quote Text"/>
    <w:basedOn w:val="Normal"/>
    <w:pPr>
      <w:spacing w:line="276" w:after="100"/>
      <w:ind w:left="720"/>
      <w:jc w:val="left"/>
    </w:pPr>
    <w:rPr>
      <w:rFonts w:ascii="Times New Roman" w:cs="Times New Roman" w:eastAsia="Times New Roman" w:hAnsi="Times New Roman"/>
      <w:i/>
      <w:iCs/>
      <w:sz w:val="24"/>
      <w:szCs w:val="24"/>
    </w:rPr>
  </w:style>
  <w:style w:type="paragraph" w:styleId="ReferenceText">
    <w:name w:val="Reference Text"/>
    <w:basedOn w:val="Normal"/>
    <w:pPr>
      <w:spacing w:line="240" w:after="60"/>
      <w:ind w:left="540" w:hanging="540"/>
      <w:jc w:val="left"/>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2026-02-07T12:51:57.880Z</dcterms:created>
  <dcterms:modified xsi:type="dcterms:W3CDTF">2026-02-07T12:51:57.881Z</dcterms:modified>
</cp:coreProperties>
</file>

<file path=docProps/custom.xml><?xml version="1.0" encoding="utf-8"?>
<Properties xmlns="http://schemas.openxmlformats.org/officeDocument/2006/custom-properties" xmlns:vt="http://schemas.openxmlformats.org/officeDocument/2006/docPropsVTypes"/>
</file>