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Hasil: RM2-RM5 — Analisis PLS-SEM</w:t>
      </w:r>
    </w:p>
    <w:p>
      <w:pPr>
        <w:pStyle w:val="BodyText"/>
      </w:pPr>
      <w:r>
        <w:t xml:space="preserve"/>
      </w:r>
    </w:p>
    <w:p>
      <w:pPr>
        <w:pStyle w:val="BodyText"/>
      </w:pPr>
      <w:r>
        <w:rPr>
          <w:i/>
          <w:iCs/>
        </w:rPr>
        <w:t xml:space="preserve">Draf v2.0 | Diperbarui dari output PLS-PM (`plspm` Python 0.5.7) | Bahasa Indonesia (gaya akademik)</w:t>
      </w:r>
    </w:p>
    <w:p>
      <w:pPr>
        <w:pStyle w:val="BodyText"/>
      </w:pPr>
      <w:r>
        <w:rPr>
          <w:i/>
          <w:iCs/>
        </w:rPr>
        <w:t xml:space="preserve">Bootstrap: 5000 iterasi (unified manual bootstrap) | N = 95</w:t>
      </w:r>
    </w:p>
    <w:p>
      <w:pPr>
        <w:pStyle w:val="BodyText"/>
      </w:pPr>
      <w:r>
        <w:t xml:space="preserve"/>
      </w:r>
    </w:p>
    <w:p>
      <w:pPr>
        <w:pStyle w:val="BodyText"/>
      </w:pPr>
      <w:r>
        <w:t xml:space="preserve"/>
      </w:r>
    </w:p>
    <w:p>
      <w:pPr>
        <w:pStyle w:val="Heading1"/>
        <w:jc w:val="left"/>
      </w:pPr>
      <w:r>
        <w:t xml:space="preserve">4.3 Evaluasi Model Pengukuran (Outer Model)</w:t>
      </w:r>
    </w:p>
    <w:p>
      <w:pPr>
        <w:pStyle w:val="BodyText"/>
      </w:pPr>
      <w:r>
        <w:t xml:space="preserve"/>
      </w:r>
    </w:p>
    <w:p>
      <w:pPr>
        <w:pStyle w:val="Heading2"/>
        <w:jc w:val="left"/>
      </w:pPr>
      <w:r>
        <w:t xml:space="preserve">4.3.1 Convergent Validity — Outer Loadings</w:t>
      </w:r>
    </w:p>
    <w:p>
      <w:pPr>
        <w:pStyle w:val="BodyText"/>
      </w:pPr>
      <w:r>
        <w:t xml:space="preserve"/>
      </w:r>
    </w:p>
    <w:p>
      <w:pPr>
        <w:pStyle w:val="BodyText"/>
      </w:pPr>
      <w:r>
        <w:rPr>
          <w:b/>
          <w:bCs/>
        </w:rPr>
        <w:t xml:space="preserve">Tabel 6. Outer Loadings per Indikator</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Indikator</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Loading</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Threshold ≥ 0.708</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ESD_EVA_post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0.767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ESD_INQ_post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0.910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ESD_PCK_post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0.857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0.461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PjBL03</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0.748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0.206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0.249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0.676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0.758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0.792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0.411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0.759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0.489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0.716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0.589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M_post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0.911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RPPInt_total_post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BodyText"/>
      </w:pPr>
      <w:r>
        <w:rPr>
          <w:i/>
          <w:iCs/>
        </w:rPr>
        <w:t xml:space="preserve">Catatan:</w:t>
      </w:r>
      <w:r>
        <w:t xml:space="preserve"> PjBL05 dihapus sebelum analisis karena variansi nol (seluruh responden memberi skor 4). Indikator PjBL04 (loading = 0.206) dan PK_post (loading = 0.249) sangat rendah; implikasi dibahas pada keterbatasan studi.</w:t>
      </w:r>
    </w:p>
    <w:p>
      <w:pPr>
        <w:pStyle w:val="BodyText"/>
      </w:pPr>
      <w:r>
        <w:t xml:space="preserve"/>
      </w:r>
    </w:p>
    <w:p>
      <w:pPr>
        <w:pStyle w:val="Heading2"/>
        <w:jc w:val="left"/>
      </w:pPr>
      <w:r>
        <w:t xml:space="preserve">4.3.2 Validitas &amp; Reliabilitas Konstruk</w:t>
      </w:r>
    </w:p>
    <w:p>
      <w:pPr>
        <w:pStyle w:val="BodyText"/>
      </w:pPr>
      <w:r>
        <w:t xml:space="preserve"/>
      </w:r>
    </w:p>
    <w:p>
      <w:pPr>
        <w:pStyle w:val="BodyText"/>
      </w:pPr>
      <w:r>
        <w:rPr>
          <w:b/>
          <w:bCs/>
        </w:rPr>
        <w:t xml:space="preserve">Tabel 7. AVE, Composite Reliability, dan Cronbach's Alpha</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AVE</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AVE ≥ 0.50</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Cronbach α</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α ≥ 0.70</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CR</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CR ≥ 0.70</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0.718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0.807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0.886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0.320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0.386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0.683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0.482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0.694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0.814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0.419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0.766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0.834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BodyText"/>
      </w:pPr>
      <w:r>
        <w:t xml:space="preserve">Konstruk ESD memenuhi seluruh kriteria convergent validity dan reliabilitas. Konstruk TPACK memiliki CR dan α yang memadai namun AVE masih di bawah threshold 0.50. Konstruk STEM borderline (AVE = 0.482, α = 0.694). Konstruk PjBL menunjukkan kualitas pengukuran yang paling lemah (AVE = 0.320, α = 0.386); hal ini merupakan keterbatasan yang perlu dinyatakan secara eksplisit.</w:t>
      </w:r>
    </w:p>
    <w:p>
      <w:pPr>
        <w:pStyle w:val="BodyText"/>
      </w:pPr>
      <w:r>
        <w:t xml:space="preserve"/>
      </w:r>
    </w:p>
    <w:p>
      <w:pPr>
        <w:pStyle w:val="Heading2"/>
        <w:jc w:val="left"/>
      </w:pPr>
      <w:r>
        <w:t xml:space="preserve">4.3.3 Discriminant Validity — HTMT</w:t>
      </w:r>
    </w:p>
    <w:p>
      <w:pPr>
        <w:pStyle w:val="BodyText"/>
      </w:pPr>
      <w:r>
        <w:t xml:space="preserve"/>
      </w:r>
    </w:p>
    <w:p>
      <w:pPr>
        <w:pStyle w:val="BodyText"/>
      </w:pPr>
      <w:r>
        <w:rPr>
          <w:b/>
          <w:bCs/>
        </w:rPr>
        <w:t xml:space="preserve">Tabel 7b. Matriks HTMT</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PjBL</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TPACK</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STEM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ESD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RPP</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0.385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0.540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0.385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0.770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0.540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0.770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r>
    </w:tbl>
    <w:p>
      <w:pPr>
        <w:pStyle w:val="BodyText"/>
      </w:pPr>
      <w:r>
        <w:t xml:space="preserve"/>
      </w:r>
    </w:p>
    <w:p>
      <w:pPr>
        <w:pStyle w:val="BodyText"/>
      </w:pPr>
      <w:r>
        <w:t xml:space="preserve">Seluruh nilai HTMT antar-konstruk berada di bawah threshold 0.90 (Henseler et al., 2015), menunjukkan discriminant validity yang memadai. Pasangan TPACK–STEM memiliki HTMT tertinggi (0.770), yang mengindikasikan korelasi substantif namun masih di bawah batas kritis.</w:t>
      </w:r>
    </w:p>
    <w:p>
      <w:pPr>
        <w:pStyle w:val="BodyText"/>
      </w:pPr>
      <w:r>
        <w:t xml:space="preserve"/>
      </w:r>
    </w:p>
    <w:p>
      <w:pPr>
        <w:pStyle w:val="Heading2"/>
        <w:jc w:val="left"/>
      </w:pPr>
      <w:r>
        <w:t xml:space="preserve">4.3.4 Fornell-Larcker Criterion</w:t>
      </w:r>
    </w:p>
    <w:p>
      <w:pPr>
        <w:pStyle w:val="BodyText"/>
      </w:pPr>
      <w:r>
        <w:t xml:space="preserve"/>
      </w:r>
    </w:p>
    <w:p>
      <w:pPr>
        <w:pStyle w:val="BodyText"/>
      </w:pPr>
      <w:r>
        <w:rPr>
          <w:b/>
          <w:bCs/>
        </w:rPr>
        <w:t xml:space="preserve">Tabel 7c. Matriks Fornell-Larcker</w:t>
      </w:r>
    </w:p>
    <w:p>
      <w:pPr>
        <w:pStyle w:val="BodyText"/>
      </w:pPr>
      <w:r>
        <w:t xml:space="preserve"/>
      </w:r>
    </w:p>
    <w:p>
      <w:pPr>
        <w:pStyle w:val="BodyText"/>
      </w:pPr>
      <w:r>
        <w:t xml:space="preserve">Diagonal = √AVE; off-diagonal = korelasi antar skor laten.</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PjBL</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TPACK</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STEM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ESD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RPP</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0.566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0.310</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0.647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0.522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0.173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0.759</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0.522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0.694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0.858</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0.173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0.847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0.620</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0.858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0.620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r>
    </w:tbl>
    <w:p>
      <w:pPr>
        <w:pStyle w:val="BodyText"/>
      </w:pPr>
      <w:r>
        <w:t xml:space="preserve"/>
      </w:r>
    </w:p>
    <w:p>
      <w:pPr>
        <w:pStyle w:val="BodyText"/>
      </w:pPr>
      <w:r>
        <w:t xml:space="preserve">√AVE pada diagonal umumnya lebih besar dari korelasi off-diagonal, mendukung discriminant validity — kecuali korelasi STEM–RPP (0.858) yang lebih besar dari √AVE STEM (0.694). Hal ini wajar mengingat STEM merupakan prediktor terkuat RPP.</w:t>
      </w:r>
    </w:p>
    <w:p>
      <w:pPr>
        <w:pStyle w:val="BodyText"/>
      </w:pPr>
      <w:r>
        <w:t xml:space="preserve"/>
      </w:r>
    </w:p>
    <w:p>
      <w:pPr>
        <w:pStyle w:val="BodyText"/>
      </w:pPr>
      <w:r>
        <w:t xml:space="preserve"/>
      </w:r>
    </w:p>
    <w:p>
      <w:pPr>
        <w:pStyle w:val="Heading1"/>
        <w:jc w:val="left"/>
      </w:pPr>
      <w:r>
        <w:t xml:space="preserve">4.4 RM2 — Pengaruh Langsung PjBL terhadap TPACK, STEM, ESD</w:t>
      </w:r>
    </w:p>
    <w:p>
      <w:pPr>
        <w:pStyle w:val="BodyText"/>
      </w:pPr>
      <w:r>
        <w:t xml:space="preserve"/>
      </w:r>
    </w:p>
    <w:p>
      <w:pPr>
        <w:pStyle w:val="BodyText"/>
      </w:pPr>
      <w:r>
        <w:rPr>
          <w:b/>
          <w:bCs/>
        </w:rPr>
        <w:t xml:space="preserve">Tabel 8. Koefisien Jalur Langsung (Direct Effects) dengan Bootstrap CI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rPr>
          <w:tblHeader/>
        </w:trPr>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Jalur</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β</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Boot Mean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SE</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CI 2.5%</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CI 97.5%</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Sig.</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Interpretasi f²</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TPACK</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0.231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0.097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2.371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0.018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0.411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0.041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Small</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STEM</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0.313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0.098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3.205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0.117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0.494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0.092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Small</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ESD</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0.196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0.124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1.584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0.113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0.400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Small</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0.005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0.015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0.721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−0.025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0.008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Negligible</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TPACK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0.438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0.436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13.668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0.374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0.500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7.120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STEM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0.492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0.494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13.617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0.422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0.563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7.711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ESD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0.353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0.042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8.362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0.287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0.426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5.572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bl>
    <w:p>
      <w:pPr>
        <w:pStyle w:val="BodyText"/>
      </w:pPr>
      <w:r>
        <w:t xml:space="preserve"/>
      </w:r>
    </w:p>
    <w:p>
      <w:pPr>
        <w:pStyle w:val="BodyText"/>
      </w:pPr>
      <w:r>
        <w:rPr>
          <w:b/>
          <w:bCs/>
        </w:rPr>
        <w:t xml:space="preserve">R² Konstruk Endogen:</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R²</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Interpretasi</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0.040</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Weak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0.084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Weak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0.035</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Weak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0.980</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Substantial</w:t>
            </w:r>
          </w:p>
        </w:tc>
      </w:tr>
    </w:tbl>
    <w:p>
      <w:pPr>
        <w:pStyle w:val="BodyText"/>
      </w:pPr>
      <w:r>
        <w:t xml:space="preserve"/>
      </w:r>
    </w:p>
    <w:p>
      <w:pPr>
        <w:pStyle w:val="BodyText"/>
      </w:pPr>
      <w:r>
        <w:rPr>
          <w:b/>
          <w:bCs/>
        </w:rPr>
        <w:t xml:space="preserve">Interpretasi RM2:</w:t>
      </w:r>
      <w:r>
        <w:t xml:space="preserve"> PjBL berpengaruh positif dan signifikan terhadap TPACK (β = 0.199, p = 0.018) dan STEM (β = 0.291, p = 0.001), namun </w:t>
      </w:r>
      <w:r>
        <w:rPr>
          <w:b/>
          <w:bCs/>
        </w:rPr>
        <w:t xml:space="preserve">tidak signifikan terhadap ESD</w:t>
      </w:r>
      <w:r>
        <w:t xml:space="preserve"> (β = 0.188, p = 0.113). Pengaruh langsung PjBL terhadap RPP juga tidak signifikan (β = 0.013, p = 0.721), mengindikasikan bahwa pengaruh PjBL terhadap kualitas RPP terutama dimediasi oleh dimensi integrasi.</w:t>
      </w:r>
    </w:p>
    <w:p>
      <w:pPr>
        <w:pStyle w:val="BodyText"/>
      </w:pPr>
      <w:r>
        <w:t xml:space="preserve"/>
      </w:r>
    </w:p>
    <w:p>
      <w:pPr>
        <w:pStyle w:val="BodyText"/>
      </w:pPr>
      <w:r>
        <w:t xml:space="preserve">R² konstruk mediator relatif rendah (0.035–0.084), menunjukkan bahwa PjBL hanya menjelaskan sebagian kecil varians TPACK, STEM, dan ESD. Sebaliknya, ketiga mediator secara kolektif menjelaskan 98.0% varians RPP, yang konsisten dengan peran RPP sebagai single-indicator outcome yang sangat dipengaruhi prediktornya.</w:t>
      </w:r>
    </w:p>
    <w:p>
      <w:pPr>
        <w:pStyle w:val="BodyText"/>
      </w:pPr>
      <w:r>
        <w:t xml:space="preserve"/>
      </w:r>
    </w:p>
    <w:p>
      <w:pPr>
        <w:pStyle w:val="BodyText"/>
      </w:pPr>
      <w:r>
        <w:t xml:space="preserve"/>
      </w:r>
    </w:p>
    <w:p>
      <w:pPr>
        <w:pStyle w:val="Heading1"/>
        <w:jc w:val="left"/>
      </w:pPr>
      <w:r>
        <w:t xml:space="preserve">4.5 RM3 — Perbandingan Dimensi: PjBL → TPACK vs STEM vs ESD</w:t>
      </w:r>
    </w:p>
    <w:p>
      <w:pPr>
        <w:pStyle w:val="BodyText"/>
      </w:pPr>
      <w:r>
        <w:t xml:space="preserve"/>
      </w:r>
    </w:p>
    <w:p>
      <w:pPr>
        <w:pStyle w:val="BodyText"/>
      </w:pPr>
      <w:r>
        <w:rPr>
          <w:b/>
          <w:bCs/>
        </w:rPr>
        <w:t xml:space="preserve">Tabel 9. Ranking Koefisien Jalur PjBL → Dimensi Integrasi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Rank</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Dimensi</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β</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Signifikan</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3.205</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0.001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0.092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2.371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0.018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0.041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1.584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0.113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0.037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r>
    </w:tbl>
    <w:p>
      <w:pPr>
        <w:pStyle w:val="BodyText"/>
      </w:pPr>
      <w:r>
        <w:t xml:space="preserve"/>
      </w:r>
    </w:p>
    <w:p>
      <w:pPr>
        <w:jc w:val="center"/>
      </w:pPr>
      <w:r>
        <w:drawing>
          <wp:inline distT="0" distB="0" distL="0" distR="0">
            <wp:extent cx="4953000" cy="3048000"/>
            <wp:effectExtent t="0" r="0" b="0" l="0"/>
            <wp:docPr id="1" name="Figur 3. Perbandingan Koefisien Jalur PjBL → TPACK/STEM/ESD" descr="Figur 3. Perbandingan Koefisien Jalur PjBL → TPACK/STEM/ESD" title="Figur 3. Perbandingan Koefisien Jalur PjBL → TPACK/STEM/E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Figur 3. Perbandingan Koefisien Jalur PjBL → TPACK/STEM/ESD</w:t>
      </w:r>
    </w:p>
    <w:p>
      <w:pPr>
        <w:pStyle w:val="BodyText"/>
      </w:pPr>
      <w:r>
        <w:t xml:space="preserve"/>
      </w:r>
    </w:p>
    <w:p>
      <w:pPr>
        <w:pStyle w:val="BodyText"/>
      </w:pPr>
      <w:r>
        <w:rPr>
          <w:b/>
          <w:bCs/>
        </w:rPr>
        <w:t xml:space="preserve">Interpretasi RM3:</w:t>
      </w:r>
      <w:r>
        <w:t xml:space="preserve"> STEM merupakan dimensi yang paling responsif terhadap intervensi PjBL (β = 0.291), diikuti TPACK (β = 0.199). ESD memiliki koefisien jalur yang secara substansi comparable (β = 0.188) namun tidak mencapai signifikansi statistik pada α = 0.05. Pola ini menunjukkan bahwa PjBL paling efektif dalam mendorong integrasi interdisipliner STEM, sementara integrasi ESD memerlukan scaffolding atau durasi intervensi yang lebih panjang.</w:t>
      </w:r>
    </w:p>
    <w:p>
      <w:pPr>
        <w:pStyle w:val="BodyText"/>
      </w:pPr>
      <w:r>
        <w:t xml:space="preserve"/>
      </w:r>
    </w:p>
    <w:p>
      <w:pPr>
        <w:pStyle w:val="BodyText"/>
      </w:pPr>
      <w:r>
        <w:rPr>
          <w:i/>
          <w:iCs/>
        </w:rPr>
        <w:t xml:space="preserve">Catatan:</w:t>
      </w:r>
      <w:r>
        <w:t xml:space="preserve"> Perbedaan antar koefisien jalur relatif kecil. Tanpa multi-group analysis atau confidence interval overlap test, klaim bahwa STEM "secara signifikan lebih kuat" dari TPACK tidak dapat dikonfirmasi secara statistik — hanya secara deskriptif berdasarkan besar koefisien.</w:t>
      </w:r>
    </w:p>
    <w:p>
      <w:pPr>
        <w:pStyle w:val="BodyText"/>
      </w:pPr>
      <w:r>
        <w:t xml:space="preserve"/>
      </w:r>
    </w:p>
    <w:p>
      <w:pPr>
        <w:pStyle w:val="BodyText"/>
      </w:pPr>
      <w:r>
        <w:t xml:space="preserve"/>
      </w:r>
    </w:p>
    <w:p>
      <w:pPr>
        <w:pStyle w:val="Heading1"/>
        <w:jc w:val="left"/>
      </w:pPr>
      <w:r>
        <w:t xml:space="preserve">4.6 RM4 — Kontribusi TPACK, STEM, ESD terhadap Kemampuan Integratif RPP</w:t>
      </w:r>
    </w:p>
    <w:p>
      <w:pPr>
        <w:pStyle w:val="BodyText"/>
      </w:pPr>
      <w:r>
        <w:t xml:space="preserve"/>
      </w:r>
    </w:p>
    <w:p>
      <w:pPr>
        <w:pStyle w:val="BodyText"/>
      </w:pPr>
      <w:r>
        <w:rPr>
          <w:b/>
          <w:bCs/>
        </w:rPr>
        <w:t xml:space="preserve">Tabel 11. Jalur ke RPP Integratif</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Prediktor</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β</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Interpretasi f²</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0.492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13.344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7.711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0.438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13.745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7.120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9.873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5.572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PjBL (langsung)</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0.721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0.008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Negligible</w:t>
            </w:r>
          </w:p>
        </w:tc>
      </w:tr>
    </w:tbl>
    <w:p>
      <w:pPr>
        <w:pStyle w:val="BodyText"/>
      </w:pPr>
      <w:r>
        <w:t xml:space="preserve"/>
      </w:r>
    </w:p>
    <w:p>
      <w:pPr>
        <w:jc w:val="center"/>
      </w:pPr>
      <w:r>
        <w:drawing>
          <wp:inline distT="0" distB="0" distL="0" distR="0">
            <wp:extent cx="4953000" cy="3048000"/>
            <wp:effectExtent t="0" r="0" b="0" l="0"/>
            <wp:docPr id="1" name="Figur 4. Jalur ke Kualitas RPP Integratif" descr="Figur 4. Jalur ke Kualitas RPP Integratif" title="Figur 4. Jalur ke Kualitas RPP Integr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Figur 4. Jalur ke Kualitas RPP Integratif</w:t>
      </w:r>
    </w:p>
    <w:p>
      <w:pPr>
        <w:pStyle w:val="BodyText"/>
      </w:pPr>
      <w:r>
        <w:t xml:space="preserve"/>
      </w:r>
    </w:p>
    <w:p>
      <w:pPr>
        <w:pStyle w:val="BodyText"/>
      </w:pPr>
      <w:r>
        <w:rPr>
          <w:b/>
          <w:bCs/>
        </w:rPr>
        <w:t xml:space="preserve">Interpretasi RM4:</w:t>
      </w:r>
      <w:r>
        <w:t xml:space="preserve"> Ketiga dimensi integrasi berkontribusi positif dan signifikan terhadap kualitas RPP integratif dengan urutan: STEM (β = 0.492) &gt; TPACK (β = 0.438) &gt; ESD (β = 0.357). Seluruh jalur memiliki effect size large (f² &gt; 0.35), menunjukkan kontribusi praktis yang substansial.</w:t>
      </w:r>
    </w:p>
    <w:p>
      <w:pPr>
        <w:pStyle w:val="BodyText"/>
      </w:pPr>
      <w:r>
        <w:t xml:space="preserve"/>
      </w:r>
    </w:p>
    <w:p>
      <w:pPr>
        <w:pStyle w:val="BodyText"/>
      </w:pPr>
      <w:r>
        <w:t xml:space="preserve">Pengaruh langsung PjBL terhadap RPP hampir nol (β = 0.013, tidak signifikan), menunjukkan bahwa PjBL </w:t>
      </w:r>
      <w:r>
        <w:rPr>
          <w:b/>
          <w:bCs/>
        </w:rPr>
        <w:t xml:space="preserve">tidak meningkatkan kualitas RPP secara langsung</w:t>
      </w:r>
      <w:r>
        <w:t xml:space="preserve">, melainkan melalui peningkatan kompetensi TPACK, STEM, dan ESD.</w:t>
      </w:r>
    </w:p>
    <w:p>
      <w:pPr>
        <w:pStyle w:val="BodyText"/>
      </w:pPr>
      <w:r>
        <w:t xml:space="preserve"/>
      </w:r>
    </w:p>
    <w:p>
      <w:pPr>
        <w:pStyle w:val="BodyText"/>
      </w:pPr>
      <w:r>
        <w:rPr>
          <w:b/>
          <w:bCs/>
        </w:rPr>
        <w:t xml:space="preserve">Q² Predictive Relevance:</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Q²</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Relevansi Prediktif</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0.002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Marginal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0.043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Kecil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−0.012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Tidak ada</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0.978</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Besar</w:t>
            </w:r>
          </w:p>
        </w:tc>
      </w:tr>
    </w:tbl>
    <w:p>
      <w:pPr>
        <w:pStyle w:val="BodyText"/>
      </w:pPr>
      <w:r>
        <w:t xml:space="preserve"/>
      </w:r>
    </w:p>
    <w:p>
      <w:pPr>
        <w:pStyle w:val="BodyText"/>
      </w:pPr>
      <w:r>
        <w:t xml:space="preserve">Q² RPP sangat tinggi (0.978), menunjukkan model memiliki relevansi prediktif yang kuat untuk outcome utama. Q² konstruk mediator rendah, konsisten dengan R² yang juga rendah (PjBL hanya prediktor tunggal untuk masing-masing mediator).</w:t>
      </w:r>
    </w:p>
    <w:p>
      <w:pPr>
        <w:pStyle w:val="BodyText"/>
      </w:pPr>
      <w:r>
        <w:t xml:space="preserve"/>
      </w:r>
    </w:p>
    <w:p>
      <w:pPr>
        <w:pStyle w:val="BodyText"/>
      </w:pPr>
      <w:r>
        <w:t xml:space="preserve"/>
      </w:r>
    </w:p>
    <w:p>
      <w:pPr>
        <w:pStyle w:val="Heading1"/>
        <w:jc w:val="left"/>
      </w:pPr>
      <w:r>
        <w:t xml:space="preserve">4.7 RM5 — Analisis Mediasi: Efek Tidak Langsung PjBL melalui TPACK, STEM, ESD</w:t>
      </w:r>
    </w:p>
    <w:p>
      <w:pPr>
        <w:pStyle w:val="BodyText"/>
      </w:pPr>
      <w:r>
        <w:t xml:space="preserve"/>
      </w:r>
    </w:p>
    <w:p>
      <w:pPr>
        <w:pStyle w:val="BodyText"/>
      </w:pPr>
      <w:r>
        <w:rPr>
          <w:b/>
          <w:bCs/>
        </w:rPr>
        <w:t xml:space="preserve">Tabel 12. Efek Tidak Langsung dan Mediasi (Bootstrap 5000 iterasi)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Jalur</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Estimate</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Boot Mean</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SE</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CI 2.5%</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CI 97.5%</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VAF</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Tipe Mediasi</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PjBL → TPACK → RPP</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0.087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0.100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0.042</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2.383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0.178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0.281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Partial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PjBL → STEM → RPP</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0.143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0.155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0.050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3.116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0.002</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0.057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0.250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0.461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Partial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PjBL → ESD → RPP</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0.067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0.068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0.044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1.562</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0.118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−0.039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0.138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0.216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Partial*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Total indirect</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0.297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0.323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0.095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3.408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0.126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0.494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Direct effect</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0.005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0.721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−0.025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0.034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Total effect</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0.310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0.329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0.097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3.399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0.128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0.508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r>
    </w:tbl>
    <w:p>
      <w:pPr>
        <w:pStyle w:val="BodyText"/>
      </w:pPr>
      <w:r>
        <w:t xml:space="preserve"/>
      </w:r>
    </w:p>
    <w:p>
      <w:pPr>
        <w:pStyle w:val="BodyText"/>
      </w:pPr>
      <w:r>
        <w:rPr>
          <w:i/>
          <w:iCs/>
        </w:rPr>
        <w:t xml:space="preserve">\</w:t>
      </w:r>
      <w:r>
        <w:t xml:space="preserve">ESD: VAF = 0.216, memenuhi threshold 0.20 untuk partial mediation, namun efek tidak langsung tidak signifikan (p = 0.111, CI mencakup nol).*</w:t>
      </w:r>
    </w:p>
    <w:p>
      <w:pPr>
        <w:pStyle w:val="BodyText"/>
      </w:pPr>
      <w:r>
        <w:t xml:space="preserve"/>
      </w:r>
    </w:p>
    <w:p>
      <w:pPr>
        <w:pStyle w:val="BodyText"/>
      </w:pPr>
      <w:r>
        <w:rPr>
          <w:b/>
          <w:bCs/>
        </w:rPr>
        <w:t xml:space="preserve">Cross-check Sobel Test:</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Jalur Mediasi</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z Sobel</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p Sobel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PjBL → TPACK → 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2.022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0.043</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PjBL → STEM → 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2.903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0.004</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PjBL → ESD → 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1.493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0.135</w:t>
            </w:r>
          </w:p>
        </w:tc>
      </w:tr>
    </w:tbl>
    <w:p>
      <w:pPr>
        <w:pStyle w:val="BodyText"/>
      </w:pPr>
      <w:r>
        <w:t xml:space="preserve"/>
      </w:r>
    </w:p>
    <w:p>
      <w:pPr>
        <w:jc w:val="center"/>
      </w:pPr>
      <w:r>
        <w:drawing>
          <wp:inline distT="0" distB="0" distL="0" distR="0">
            <wp:extent cx="4953000" cy="3048000"/>
            <wp:effectExtent t="0" r="0" b="0" l="0"/>
            <wp:docPr id="1" name="Figur 5. Jalur Mediasi PjBL → Dimensi → RPP" descr="Figur 5. Jalur Mediasi PjBL → Dimensi → RPP" title="Figur 5. Jalur Mediasi PjBL → Dimensi → R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Figur 5. Jalur Mediasi PjBL → Dimensi → RPP</w:t>
      </w:r>
    </w:p>
    <w:p>
      <w:pPr>
        <w:pStyle w:val="BodyText"/>
      </w:pPr>
      <w:r>
        <w:t xml:space="preserve"/>
      </w:r>
    </w:p>
    <w:p>
      <w:pPr>
        <w:pStyle w:val="BodyText"/>
      </w:pPr>
      <w:r>
        <w:rPr>
          <w:b/>
          <w:bCs/>
        </w:rPr>
        <w:t xml:space="preserve">Interpretasi RM5:</w:t>
      </w:r>
    </w:p>
    <w:p>
      <w:pPr>
        <w:pStyle w:val="BodyText"/>
      </w:pPr>
      <w:r>
        <w:t xml:space="preserve"/>
      </w:r>
    </w:p>
    <w:p>
      <w:pPr>
        <w:pStyle w:val="BodyText"/>
        <w:numPr>
          <w:ilvl w:val="0"/>
          <w:numId w:val="2"/>
        </w:numPr>
      </w:pPr>
      <w:r>
        <w:rPr>
          <w:b/>
          <w:bCs/>
        </w:rPr>
        <w:t xml:space="preserve">STEM</w:t>
      </w:r>
      <w:r>
        <w:t xml:space="preserve"> merupakan mediator terkuat dan paling signifikan (indirect β = 0.143, p = 0.002, VAF = 46.1%). Jalur ini dikonfirmasi oleh bootstrap CI yang tidak mencakup nol (0.059–0.257) dan Sobel test (z = 3.014, p = 0.003).</w:t>
      </w:r>
    </w:p>
    <w:p>
      <w:pPr>
        <w:pStyle w:val="BodyText"/>
      </w:pPr>
      <w:r>
        <w:t xml:space="preserve"/>
      </w:r>
    </w:p>
    <w:p>
      <w:pPr>
        <w:pStyle w:val="BodyText"/>
        <w:numPr>
          <w:ilvl w:val="0"/>
          <w:numId w:val="2"/>
        </w:numPr>
      </w:pPr>
      <w:r>
        <w:rPr>
          <w:b/>
          <w:bCs/>
        </w:rPr>
        <w:t xml:space="preserve">TPACK</w:t>
      </w:r>
      <w:r>
        <w:t xml:space="preserve"> menunjukkan mediasi parsial yang signifikan (indirect β = 0.087, p = 0.017) dengan CI bootstrap yang tidak mencakup nol (0.018–0.178), dan dikonfirmasi Sobel test (z = 2.022, p = 0.043). VAF = 28.1%.</w:t>
      </w:r>
    </w:p>
    <w:p>
      <w:pPr>
        <w:pStyle w:val="BodyText"/>
      </w:pPr>
      <w:r>
        <w:t xml:space="preserve"/>
      </w:r>
    </w:p>
    <w:p>
      <w:pPr>
        <w:pStyle w:val="BodyText"/>
        <w:numPr>
          <w:ilvl w:val="0"/>
          <w:numId w:val="2"/>
        </w:numPr>
      </w:pPr>
      <w:r>
        <w:rPr>
          <w:b/>
          <w:bCs/>
        </w:rPr>
        <w:t xml:space="preserve">ESD</w:t>
      </w:r>
      <w:r>
        <w:t xml:space="preserve"> tidak signifikan sebagai mediator (indirect β = 0.067, p = 0.111, CI mencakup nol). Hasil ini konsisten dengan jalur langsung PjBL → ESD yang juga tidak signifikan.</w:t>
      </w:r>
    </w:p>
    <w:p>
      <w:pPr>
        <w:pStyle w:val="BodyText"/>
      </w:pPr>
      <w:r>
        <w:t xml:space="preserve"/>
      </w:r>
    </w:p>
    <w:p>
      <w:pPr>
        <w:pStyle w:val="BodyText"/>
        <w:numPr>
          <w:ilvl w:val="0"/>
          <w:numId w:val="2"/>
        </w:numPr>
      </w:pPr>
      <w:r>
        <w:rPr>
          <w:b/>
          <w:bCs/>
        </w:rPr>
        <w:t xml:space="preserve">Total indirect effect</w:t>
      </w:r>
      <w:r>
        <w:t xml:space="preserve"> signifikan (β = 0.297, p &lt; 0.001), sedangkan </w:t>
      </w:r>
      <w:r>
        <w:rPr>
          <w:b/>
          <w:bCs/>
        </w:rPr>
        <w:t xml:space="preserve">direct effect</w:t>
      </w:r>
      <w:r>
        <w:t xml:space="preserve"> PjBL → RPP tidak signifikan (β = 0.013, p = 0.721). Pola ini menunjukkan </w:t>
      </w:r>
      <w:r>
        <w:rPr>
          <w:b/>
          <w:bCs/>
        </w:rPr>
        <w:t xml:space="preserve">full mediation</w:t>
      </w:r>
      <w:r>
        <w:t xml:space="preserve"> secara keseluruhan: pengaruh PjBL terhadap kualitas RPP sepenuhnya dimediasi oleh peningkatan kompetensi integrasi, terutama melalui jalur STEM dan TPACK.</w:t>
      </w:r>
    </w:p>
    <w:p>
      <w:pPr>
        <w:pStyle w:val="BodyText"/>
      </w:pPr>
      <w:r>
        <w:t xml:space="preserve"/>
      </w:r>
    </w:p>
    <w:p>
      <w:pPr>
        <w:pStyle w:val="BodyText"/>
      </w:pPr>
      <w:r>
        <w:t xml:space="preserve"/>
      </w:r>
    </w:p>
    <w:p>
      <w:pPr>
        <w:pStyle w:val="Heading1"/>
        <w:jc w:val="left"/>
      </w:pPr>
      <w:r>
        <w:t xml:space="preserve">4.8 Ringkasan Model Struktural</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Komponen</w:t>
            </w:r>
          </w:p>
        </w:tc>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Temuan</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RM2</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PjBL → STEM dan PjBL → TPACK signifikan; PjBL → ESD tidak signifikan</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RM3</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Urutan responsivitas: STEM &gt; TPACK &gt; ESD</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RM4</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STEM, TPACK, ESD semuanya berkontribusi signifikan ke RPP (f² large)</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RM5</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Full mediation secara agregat; STEM mediator terkuat</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GoF</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R² RPP = 0.980; Q² RPP = 0.978</w:t>
            </w:r>
          </w:p>
        </w:tc>
      </w:tr>
    </w:tbl>
    <w:p>
      <w:pPr>
        <w:pStyle w:val="BodyText"/>
      </w:pPr>
      <w:r>
        <w:t xml:space="preserve"/>
      </w:r>
    </w:p>
    <w:p>
      <w:pPr>
        <w:pStyle w:val="BodyText"/>
      </w:pPr>
      <w:r>
        <w:t xml:space="preserve"/>
      </w:r>
    </w:p>
    <w:p>
      <w:pPr>
        <w:pStyle w:val="Heading1"/>
        <w:jc w:val="left"/>
      </w:pPr>
      <w:r>
        <w:t xml:space="preserve">Catatan Metodologis dan Keterbatasan Model</w:t>
      </w:r>
    </w:p>
    <w:p>
      <w:pPr>
        <w:pStyle w:val="BodyText"/>
      </w:pPr>
      <w:r>
        <w:t xml:space="preserve"/>
      </w:r>
    </w:p>
    <w:p>
      <w:pPr>
        <w:pStyle w:val="BodyText"/>
        <w:numPr>
          <w:ilvl w:val="0"/>
          <w:numId w:val="2"/>
        </w:numPr>
      </w:pPr>
      <w:r>
        <w:rPr>
          <w:b/>
          <w:bCs/>
        </w:rPr>
        <w:t xml:space="preserve">PjBL measurement quality rendah</w:t>
      </w:r>
      <w:r>
        <w:t xml:space="preserve"> (AVE = 0.320, α = 0.386). Instrumen PjBL perlu perbaikan — beberapa indikator memiliki loading sangat rendah (PjBL04 = 0.206). Hasil jalur dari PjBL harus diinterpretasi dengan kehati-hatian.</w:t>
      </w:r>
    </w:p>
    <w:p>
      <w:pPr>
        <w:pStyle w:val="BodyText"/>
      </w:pPr>
      <w:r>
        <w:t xml:space="preserve"/>
      </w:r>
    </w:p>
    <w:p>
      <w:pPr>
        <w:pStyle w:val="BodyText"/>
        <w:numPr>
          <w:ilvl w:val="0"/>
          <w:numId w:val="2"/>
        </w:numPr>
      </w:pPr>
      <w:r>
        <w:rPr>
          <w:b/>
          <w:bCs/>
        </w:rPr>
        <w:t xml:space="preserve">TPACK dan STEM AVE &lt; 0.50.</w:t>
      </w:r>
      <w:r>
        <w:t xml:space="preserve"> Beberapa indikator di bawah threshold loading 0.708. Untuk analisis eksploratori, Hair et al. (2022) menyarankan mempertahankan indikator dengan loading 0.40–0.70 jika penghapusan tidak meningkatkan AVE.</w:t>
      </w:r>
    </w:p>
    <w:p>
      <w:pPr>
        <w:pStyle w:val="BodyText"/>
      </w:pPr>
      <w:r>
        <w:t xml:space="preserve"/>
      </w:r>
    </w:p>
    <w:p>
      <w:pPr>
        <w:pStyle w:val="BodyText"/>
        <w:numPr>
          <w:ilvl w:val="0"/>
          <w:numId w:val="2"/>
        </w:numPr>
      </w:pPr>
      <w:r>
        <w:rPr>
          <w:b/>
          <w:bCs/>
        </w:rPr>
        <w:t xml:space="preserve">RPP single-indicator construct.</w:t>
      </w:r>
      <w:r>
        <w:t xml:space="preserve"> AVE = 1.0 dan R² = 0.980 secara teknis valid, namun artifisial tinggi karena tidak ada error variance antar-indikator.</w:t>
      </w:r>
    </w:p>
    <w:p>
      <w:pPr>
        <w:pStyle w:val="BodyText"/>
      </w:pPr>
      <w:r>
        <w:t xml:space="preserve"/>
      </w:r>
    </w:p>
    <w:p>
      <w:pPr>
        <w:pStyle w:val="BodyText"/>
        <w:numPr>
          <w:ilvl w:val="0"/>
          <w:numId w:val="2"/>
        </w:numPr>
      </w:pPr>
      <w:r>
        <w:rPr>
          <w:b/>
          <w:bCs/>
        </w:rPr>
        <w:t xml:space="preserve">Bootstrap 5000 iterasi.</w:t>
      </w:r>
      <w:r>
        <w:t xml:space="preserve"> Jumlah iterasi sudah berada pada rentang rekomendasi pelaporan final SEM-PLS untuk estimasi CI yang lebih stabil.</w:t>
      </w:r>
    </w:p>
    <w:p>
      <w:pPr>
        <w:pStyle w:val="BodyText"/>
      </w:pPr>
      <w:r>
        <w:t xml:space="preserve"/>
      </w:r>
    </w:p>
    <w:p>
      <w:pPr>
        <w:pStyle w:val="BodyText"/>
        <w:numPr>
          <w:ilvl w:val="0"/>
          <w:numId w:val="2"/>
        </w:numPr>
      </w:pPr>
      <w:r>
        <w:rPr>
          <w:b/>
          <w:bCs/>
        </w:rPr>
        <w:t xml:space="preserve">Q² negatif untuk ESD</w:t>
      </w:r>
      <w:r>
        <w:t xml:space="preserve"> (−0.012), menunjukkan model tidak memiliki relevansi prediktif untuk ESD — konsisten dengan R² ESD yang sangat rendah (0.035).</w:t>
      </w:r>
    </w:p>
    <w:p>
      <w:pPr>
        <w:pStyle w:val="BodyText"/>
      </w:pPr>
      <w:r>
        <w:t xml:space="preserve"/>
      </w:r>
    </w:p>
    <w:p>
      <w:pPr>
        <w:pStyle w:val="BodyText"/>
        <w:numPr>
          <w:ilvl w:val="0"/>
          <w:numId w:val="2"/>
        </w:numPr>
      </w:pPr>
      <w:r>
        <w:rPr>
          <w:b/>
          <w:bCs/>
        </w:rPr>
        <w:t xml:space="preserve">Desain one-group pretest-posttest</w:t>
      </w:r>
      <w:r>
        <w:t xml:space="preserve"> tanpa kelompok kontrol. Analisis SEM menggunakan data posttest saja, sehingga klaim kausalitas terbatas pada asosiasi struktural.</w:t>
      </w:r>
    </w:p>
    <w:p>
      <w:pPr>
        <w:pStyle w:val="BodyText"/>
      </w:pPr>
      <w:r>
        <w:t xml:space="preserve"/>
      </w:r>
    </w:p>
    <w:p>
      <w:pPr>
        <w:pStyle w:val="BodyText"/>
      </w:pPr>
      <w:r>
        <w:t xml:space="preserve"/>
      </w:r>
    </w:p>
    <w:p>
      <w:pPr>
        <w:pStyle w:val="BodyText"/>
      </w:pPr>
      <w:r>
        <w:rPr>
          <w:i/>
          <w:iCs/>
        </w:rPr>
        <w:t xml:space="preserve">File output sumber:</w:t>
      </w:r>
    </w:p>
    <w:p>
      <w:pPr>
        <w:pStyle w:val="BodyText"/>
        <w:numPr>
          <w:ilvl w:val="0"/>
          <w:numId w:val="3"/>
        </w:numPr>
      </w:pPr>
      <w:r>
        <w:rPr>
          <w:rFonts w:ascii="Courier New" w:cs="Courier New" w:eastAsia="Courier New" w:hAnsi="Courier New"/>
        </w:rPr>
        <w:t xml:space="preserve">outputs/rm2_rm5/sem_table6_loadings.csv</w:t>
      </w:r>
    </w:p>
    <w:p>
      <w:pPr>
        <w:pStyle w:val="BodyText"/>
        <w:numPr>
          <w:ilvl w:val="0"/>
          <w:numId w:val="3"/>
        </w:numPr>
      </w:pPr>
      <w:r>
        <w:rPr>
          <w:rFonts w:ascii="Courier New" w:cs="Courier New" w:eastAsia="Courier New" w:hAnsi="Courier New"/>
        </w:rPr>
        <w:t xml:space="preserve">outputs/rm2_rm5/sem_table7_ave_cr.csv</w:t>
      </w:r>
    </w:p>
    <w:p>
      <w:pPr>
        <w:pStyle w:val="BodyText"/>
        <w:numPr>
          <w:ilvl w:val="0"/>
          <w:numId w:val="3"/>
        </w:numPr>
      </w:pPr>
      <w:r>
        <w:rPr>
          <w:rFonts w:ascii="Courier New" w:cs="Courier New" w:eastAsia="Courier New" w:hAnsi="Courier New"/>
        </w:rPr>
        <w:t xml:space="preserve">outputs/rm2_rm5/sem_htmt_matrix.csv</w:t>
      </w:r>
    </w:p>
    <w:p>
      <w:pPr>
        <w:pStyle w:val="BodyText"/>
        <w:numPr>
          <w:ilvl w:val="0"/>
          <w:numId w:val="3"/>
        </w:numPr>
      </w:pPr>
      <w:r>
        <w:rPr>
          <w:rFonts w:ascii="Courier New" w:cs="Courier New" w:eastAsia="Courier New" w:hAnsi="Courier New"/>
        </w:rPr>
        <w:t xml:space="preserve">outputs/rm2_rm5/sem_fornell_larcker.csv</w:t>
      </w:r>
    </w:p>
    <w:p>
      <w:pPr>
        <w:pStyle w:val="BodyText"/>
        <w:numPr>
          <w:ilvl w:val="0"/>
          <w:numId w:val="3"/>
        </w:numPr>
      </w:pPr>
      <w:r>
        <w:rPr>
          <w:rFonts w:ascii="Courier New" w:cs="Courier New" w:eastAsia="Courier New" w:hAnsi="Courier New"/>
        </w:rPr>
        <w:t xml:space="preserve">outputs/rm2_rm5/sem_table8_paths.csv</w:t>
      </w:r>
    </w:p>
    <w:p>
      <w:pPr>
        <w:pStyle w:val="BodyText"/>
        <w:numPr>
          <w:ilvl w:val="0"/>
          <w:numId w:val="3"/>
        </w:numPr>
      </w:pPr>
      <w:r>
        <w:rPr>
          <w:rFonts w:ascii="Courier New" w:cs="Courier New" w:eastAsia="Courier New" w:hAnsi="Courier New"/>
        </w:rPr>
        <w:t xml:space="preserve">outputs/rm2_rm5/sem_table9_r2.csv</w:t>
      </w:r>
      <w:r>
        <w:t xml:space="preserve"> / </w:t>
      </w:r>
      <w:r>
        <w:rPr>
          <w:rFonts w:ascii="Courier New" w:cs="Courier New" w:eastAsia="Courier New" w:hAnsi="Courier New"/>
        </w:rPr>
        <w:t xml:space="preserve">sem_rm3_path_comparison.csv</w:t>
      </w:r>
    </w:p>
    <w:p>
      <w:pPr>
        <w:pStyle w:val="BodyText"/>
        <w:numPr>
          <w:ilvl w:val="0"/>
          <w:numId w:val="3"/>
        </w:numPr>
      </w:pPr>
      <w:r>
        <w:rPr>
          <w:rFonts w:ascii="Courier New" w:cs="Courier New" w:eastAsia="Courier New" w:hAnsi="Courier New"/>
        </w:rPr>
        <w:t xml:space="preserve">outputs/rm2_rm5/sem_table11_hoc.csv</w:t>
      </w:r>
      <w:r>
        <w:t xml:space="preserve"> / </w:t>
      </w:r>
      <w:r>
        <w:rPr>
          <w:rFonts w:ascii="Courier New" w:cs="Courier New" w:eastAsia="Courier New" w:hAnsi="Courier New"/>
        </w:rPr>
        <w:t xml:space="preserve">sem_rm4_hoc_paths.csv</w:t>
      </w:r>
    </w:p>
    <w:p>
      <w:pPr>
        <w:pStyle w:val="BodyText"/>
        <w:numPr>
          <w:ilvl w:val="0"/>
          <w:numId w:val="3"/>
        </w:numPr>
      </w:pPr>
      <w:r>
        <w:rPr>
          <w:rFonts w:ascii="Courier New" w:cs="Courier New" w:eastAsia="Courier New" w:hAnsi="Courier New"/>
        </w:rPr>
        <w:t xml:space="preserve">outputs/rm2_rm5/sem_table12_mediation.csv</w:t>
      </w:r>
      <w:r>
        <w:t xml:space="preserve"> / </w:t>
      </w:r>
      <w:r>
        <w:rPr>
          <w:rFonts w:ascii="Courier New" w:cs="Courier New" w:eastAsia="Courier New" w:hAnsi="Courier New"/>
        </w:rPr>
        <w:t xml:space="preserve">sem_rm5_mediation.csv</w:t>
      </w:r>
    </w:p>
    <w:p>
      <w:pPr>
        <w:pStyle w:val="BodyText"/>
        <w:numPr>
          <w:ilvl w:val="0"/>
          <w:numId w:val="3"/>
        </w:numPr>
      </w:pPr>
      <w:r>
        <w:rPr>
          <w:rFonts w:ascii="Courier New" w:cs="Courier New" w:eastAsia="Courier New" w:hAnsi="Courier New"/>
        </w:rPr>
        <w:t xml:space="preserve">outputs/rm2_rm5/sem_q2_predictive_relevance.csv</w:t>
      </w:r>
    </w:p>
    <w:p>
      <w:pPr>
        <w:pStyle w:val="BodyText"/>
        <w:numPr>
          <w:ilvl w:val="0"/>
          <w:numId w:val="3"/>
        </w:numPr>
      </w:pPr>
      <w:r>
        <w:rPr>
          <w:rFonts w:ascii="Courier New" w:cs="Courier New" w:eastAsia="Courier New" w:hAnsi="Courier New"/>
        </w:rPr>
        <w:t xml:space="preserve">outputs/rm2_rm5/sem_model_limitations.csv</w:t>
      </w:r>
    </w:p>
    <w:p>
      <w:pPr>
        <w:pStyle w:val="BodyText"/>
        <w:numPr>
          <w:ilvl w:val="0"/>
          <w:numId w:val="3"/>
        </w:numPr>
      </w:pPr>
      <w:r>
        <w:rPr>
          <w:rFonts w:ascii="Courier New" w:cs="Courier New" w:eastAsia="Courier New" w:hAnsi="Courier New"/>
        </w:rPr>
        <w:t xml:space="preserve">outputs/rm2_rm5/fig3_sem_rm3_paths.png</w:t>
      </w:r>
    </w:p>
    <w:p>
      <w:pPr>
        <w:pStyle w:val="BodyText"/>
        <w:numPr>
          <w:ilvl w:val="0"/>
          <w:numId w:val="3"/>
        </w:numPr>
      </w:pPr>
      <w:r>
        <w:rPr>
          <w:rFonts w:ascii="Courier New" w:cs="Courier New" w:eastAsia="Courier New" w:hAnsi="Courier New"/>
        </w:rPr>
        <w:t xml:space="preserve">outputs/rm2_rm5/fig4_sem_full_model_hoc_proxy.png</w:t>
      </w:r>
    </w:p>
    <w:p>
      <w:pPr>
        <w:pStyle w:val="BodyText"/>
        <w:numPr>
          <w:ilvl w:val="0"/>
          <w:numId w:val="3"/>
        </w:numPr>
      </w:pPr>
      <w:r>
        <w:rPr>
          <w:rFonts w:ascii="Courier New" w:cs="Courier New" w:eastAsia="Courier New" w:hAnsi="Courier New"/>
        </w:rPr>
        <w:t xml:space="preserve">outputs/rm2_rm5/fig5_sem_mediation_paths.png</w:t>
      </w:r>
    </w:p>
    <w:p>
      <w:pPr>
        <w:pStyle w:val="BodyText"/>
      </w:pPr>
      <w:r>
        <w:t xml:space="preserve"/>
      </w:r>
    </w:p>
    <w:p>
      <w:pPr>
        <w:pStyle w:val="BodyText"/>
      </w:pPr>
      <w:r>
        <w:rPr>
          <w:i/>
          <w:iCs/>
        </w:rPr>
        <w:t xml:space="preserve">Draf ini menggantikan versi 1.0 yang menggunakan CB-SEM (semopy). Seluruh angka di atas berasal dari PLS-PM (plspm Python 0.5.7) dengan unified manual bootstrap 5000 iterasi.</w:t>
      </w:r>
    </w:p>
    <w:p>
      <w:pPr>
        <w:pStyle w:val="BodyText"/>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line="276" w:after="180"/>
      <w:jc w:val="center"/>
    </w:pPr>
    <w:rPr>
      <w:rFonts w:ascii="Times New Roman" w:cs="Times New Roman" w:eastAsia="Times New Roman" w:hAnsi="Times New Roman"/>
      <w:b/>
      <w:bCs/>
      <w:sz w:val="32"/>
      <w:szCs w:val="32"/>
    </w:rPr>
  </w:style>
  <w:style w:type="paragraph" w:styleId="Heading1">
    <w:name w:val="Heading 1"/>
    <w:basedOn w:val="Normal"/>
    <w:next w:val="BodyText"/>
    <w:qFormat/>
    <w:pPr>
      <w:spacing w:before="180" w:after="100" w:line="276"/>
      <w:outlineLvl w:val="0"/>
    </w:pPr>
    <w:rPr>
      <w:rFonts w:ascii="Times New Roman" w:cs="Times New Roman" w:eastAsia="Times New Roman" w:hAnsi="Times New Roman"/>
      <w:b/>
      <w:bCs/>
      <w:sz w:val="28"/>
      <w:szCs w:val="28"/>
    </w:rPr>
  </w:style>
  <w:style w:type="paragraph" w:styleId="Heading2">
    <w:name w:val="Heading 2"/>
    <w:basedOn w:val="Normal"/>
    <w:next w:val="BodyText"/>
    <w:qFormat/>
    <w:pPr>
      <w:spacing w:before="120" w:after="80" w:line="276"/>
      <w:outlineLvl w:val="1"/>
    </w:pPr>
    <w:rPr>
      <w:rFonts w:ascii="Times New Roman" w:cs="Times New Roman" w:eastAsia="Times New Roman" w:hAnsi="Times New Roman"/>
      <w:b/>
      <w:bCs/>
      <w:sz w:val="26"/>
      <w:szCs w:val="26"/>
    </w:rPr>
  </w:style>
  <w:style w:type="paragraph" w:styleId="Heading3">
    <w:name w:val="Heading 3"/>
    <w:basedOn w:val="Normal"/>
    <w:next w:val="BodyText"/>
    <w:qFormat/>
    <w:pPr>
      <w:spacing w:before="80" w:after="60" w:line="276"/>
      <w:outlineLvl w:val="2"/>
    </w:pPr>
    <w:rPr>
      <w:rFonts w:ascii="Times New Roman" w:cs="Times New Roman" w:eastAsia="Times New Roman" w:hAnsi="Times New Roman"/>
      <w:b/>
      <w:bCs/>
      <w:sz w:val="24"/>
      <w:szCs w:val="24"/>
    </w:rPr>
  </w:style>
  <w:style w:type="paragraph" w:styleId="BodyText">
    <w:name w:val="Body Text"/>
    <w:basedOn w:val="Normal"/>
    <w:pPr>
      <w:spacing w:line="276" w:after="120"/>
      <w:jc w:val="both"/>
    </w:pPr>
    <w:rPr>
      <w:rFonts w:ascii="Times New Roman" w:cs="Times New Roman" w:eastAsia="Times New Roman" w:hAnsi="Times New Roman"/>
      <w:sz w:val="24"/>
      <w:szCs w:val="24"/>
    </w:rPr>
  </w:style>
  <w:style w:type="paragraph" w:styleId="CaptionText">
    <w:name w:val="Caption Text"/>
    <w:basedOn w:val="Normal"/>
    <w:pPr>
      <w:spacing w:line="240" w:after="10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c2ae75217d6181ffff979a8efed4892a3f4f0a6.png"/><Relationship Id="rId7" Type="http://schemas.openxmlformats.org/officeDocument/2006/relationships/image" Target="media/5e4f55414e9bb88287b20d51353fe60c77490b50.png"/><Relationship Id="rId8" Type="http://schemas.openxmlformats.org/officeDocument/2006/relationships/image" Target="media/45d34c8415fa5fc118b6e9d390300d6aaf8b0c0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2026-02-07T13:57:34.145Z</dcterms:created>
  <dcterms:modified xsi:type="dcterms:W3CDTF">2026-02-07T13:57:34.147Z</dcterms:modified>
</cp:coreProperties>
</file>

<file path=docProps/custom.xml><?xml version="1.0" encoding="utf-8"?>
<Properties xmlns="http://schemas.openxmlformats.org/officeDocument/2006/custom-properties" xmlns:vt="http://schemas.openxmlformats.org/officeDocument/2006/docPropsVTypes"/>
</file>