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F8" w:rsidRDefault="00D95AF8" w:rsidP="00D95AF8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Since in all the compared methods, </w:t>
      </w:r>
      <w:r w:rsidRPr="008D7C2C">
        <w:rPr>
          <w:rFonts w:ascii="Times New Roman" w:eastAsia="宋体" w:hAnsi="Times New Roman" w:cs="Times New Roman"/>
          <w:bCs/>
          <w:sz w:val="24"/>
          <w:szCs w:val="24"/>
        </w:rPr>
        <w:t>GTAN, VADLP and CNNLDA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utilized the same dataset about the lncRNAs, diseases, and miRNAs with our method, we conducted the control experiments on these methods and our method (GSMV).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F</w:t>
      </w:r>
      <w:r>
        <w:rPr>
          <w:rFonts w:ascii="Times New Roman" w:eastAsia="宋体" w:hAnsi="Times New Roman" w:cs="Times New Roman"/>
          <w:bCs/>
          <w:sz w:val="24"/>
          <w:szCs w:val="24"/>
        </w:rPr>
        <w:t>or each method, we randomly generated 1000, 2000, 3000, 4000, and 2687 (the number of original positive samples) connection edges as the positive samples, and then performed 5-fold cross-validation to evaluate the prediction performance.</w:t>
      </w:r>
      <w:r w:rsidRPr="0093484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="008C51DA">
        <w:rPr>
          <w:rFonts w:ascii="Times New Roman" w:eastAsia="宋体" w:hAnsi="Times New Roman" w:cs="Times New Roman"/>
          <w:bCs/>
          <w:sz w:val="24"/>
          <w:szCs w:val="24"/>
        </w:rPr>
        <w:t xml:space="preserve">s shown in Supplementary Table </w:t>
      </w:r>
      <w:r w:rsidR="008C51DA">
        <w:rPr>
          <w:rFonts w:ascii="Times New Roman" w:eastAsia="宋体" w:hAnsi="Times New Roman" w:cs="Times New Roman" w:hint="eastAsia"/>
          <w:bCs/>
          <w:sz w:val="24"/>
          <w:szCs w:val="24"/>
        </w:rPr>
        <w:t>ST</w:t>
      </w:r>
      <w:r w:rsidR="008C51DA">
        <w:rPr>
          <w:rFonts w:ascii="Times New Roman" w:eastAsia="宋体" w:hAnsi="Times New Roman" w:cs="Times New Roman"/>
          <w:bCs/>
          <w:sz w:val="24"/>
          <w:szCs w:val="24"/>
        </w:rPr>
        <w:t>2</w:t>
      </w:r>
      <w:bookmarkStart w:id="0" w:name="_GoBack"/>
      <w:bookmarkEnd w:id="0"/>
      <w:r>
        <w:rPr>
          <w:rFonts w:ascii="Times New Roman" w:eastAsia="宋体" w:hAnsi="Times New Roman" w:cs="Times New Roman"/>
          <w:bCs/>
          <w:sz w:val="24"/>
          <w:szCs w:val="24"/>
        </w:rPr>
        <w:t>, not only</w:t>
      </w:r>
      <w:r w:rsidRPr="00A34BD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8D7C2C">
        <w:rPr>
          <w:rFonts w:ascii="Times New Roman" w:eastAsia="宋体" w:hAnsi="Times New Roman" w:cs="Times New Roman"/>
          <w:bCs/>
          <w:sz w:val="24"/>
          <w:szCs w:val="24"/>
        </w:rPr>
        <w:t>GSMV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, but also </w:t>
      </w:r>
      <w:r w:rsidRPr="008D7C2C">
        <w:rPr>
          <w:rFonts w:ascii="Times New Roman" w:eastAsia="宋体" w:hAnsi="Times New Roman" w:cs="Times New Roman"/>
          <w:bCs/>
          <w:sz w:val="24"/>
          <w:szCs w:val="24"/>
        </w:rPr>
        <w:t>GTAN, VADLP and CNNLDA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achieved much better performances than their control experiments. The possible reason is that there are closed relationships among the actual known lncRNA-disease associations (positive samples) and the similarities and associations about the lncRNAs, diseases, and miRNAs. When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</w:t>
      </w:r>
      <w:r>
        <w:rPr>
          <w:rFonts w:ascii="Times New Roman" w:eastAsia="宋体" w:hAnsi="Times New Roman" w:cs="Times New Roman"/>
          <w:bCs/>
          <w:sz w:val="24"/>
          <w:szCs w:val="24"/>
        </w:rPr>
        <w:t>e randomly generate the lncRNA-disease connections, the closed relationships were damaged.</w:t>
      </w:r>
    </w:p>
    <w:p w:rsidR="00D95AF8" w:rsidRDefault="00D95AF8" w:rsidP="00D95AF8">
      <w:pPr>
        <w:spacing w:line="288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:rsidR="00D95AF8" w:rsidRPr="007D3C12" w:rsidRDefault="00D95AF8" w:rsidP="00D95AF8">
      <w:pPr>
        <w:spacing w:line="288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Supplementary Table </w:t>
      </w:r>
      <w:r w:rsidR="00882B94">
        <w:rPr>
          <w:rFonts w:ascii="Times New Roman" w:eastAsia="宋体" w:hAnsi="Times New Roman" w:cs="Times New Roman" w:hint="eastAsia"/>
          <w:bCs/>
          <w:szCs w:val="21"/>
        </w:rPr>
        <w:t>ST</w:t>
      </w:r>
      <w:r>
        <w:rPr>
          <w:rFonts w:ascii="Times New Roman" w:eastAsia="宋体" w:hAnsi="Times New Roman" w:cs="Times New Roman"/>
          <w:bCs/>
          <w:szCs w:val="21"/>
        </w:rPr>
        <w:t>2</w:t>
      </w:r>
      <w:r w:rsidRPr="00AF065C">
        <w:rPr>
          <w:rFonts w:ascii="Times New Roman" w:eastAsia="宋体" w:hAnsi="Times New Roman" w:cs="Times New Roman"/>
          <w:bCs/>
          <w:szCs w:val="21"/>
        </w:rPr>
        <w:t>.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The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result</w:t>
      </w:r>
      <w:r>
        <w:rPr>
          <w:rFonts w:ascii="Times New Roman" w:eastAsia="宋体" w:hAnsi="Times New Roman" w:cs="Times New Roman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o</w:t>
      </w:r>
      <w:r>
        <w:rPr>
          <w:rFonts w:ascii="Times New Roman" w:eastAsia="宋体" w:hAnsi="Times New Roman" w:cs="Times New Roman"/>
          <w:bCs/>
          <w:szCs w:val="21"/>
        </w:rPr>
        <w:t>f control experiment by randomly selecting</w:t>
      </w:r>
      <w:r w:rsidRPr="00AF065C">
        <w:rPr>
          <w:rFonts w:ascii="Times New Roman" w:eastAsia="宋体" w:hAnsi="Times New Roman" w:cs="Times New Roman"/>
          <w:bCs/>
          <w:szCs w:val="21"/>
        </w:rPr>
        <w:t xml:space="preserve"> lncRNA-disease </w:t>
      </w:r>
      <w:r>
        <w:rPr>
          <w:rFonts w:ascii="Times New Roman" w:eastAsia="宋体" w:hAnsi="Times New Roman" w:cs="Times New Roman"/>
          <w:bCs/>
          <w:szCs w:val="21"/>
        </w:rPr>
        <w:t>connections as positive samples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"/>
        <w:gridCol w:w="1250"/>
        <w:gridCol w:w="1250"/>
        <w:gridCol w:w="1251"/>
        <w:gridCol w:w="1251"/>
        <w:gridCol w:w="1251"/>
        <w:gridCol w:w="1212"/>
      </w:tblGrid>
      <w:tr w:rsidR="00D95AF8" w:rsidRPr="008D7C2C" w:rsidTr="00E7397E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5AF8" w:rsidRPr="00AF065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1000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selected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connections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2000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selected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connections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3000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selected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connections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4000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selected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connections</w:t>
            </w:r>
            <w:r w:rsidRPr="008D7C2C" w:rsidDel="00164408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2687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selected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>connections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sz w:val="15"/>
                <w:szCs w:val="15"/>
              </w:rPr>
              <w:t>2687 actual a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ssociations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GSMV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 0.702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870F6B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sz w:val="15"/>
                <w:szCs w:val="15"/>
              </w:rPr>
              <w:t>AUC: 0.713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0.745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870F6B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 0.724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5AF8" w:rsidRPr="00942FE5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 0.983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GTAN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 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b/>
                <w:sz w:val="15"/>
                <w:szCs w:val="15"/>
              </w:rPr>
              <w:t xml:space="preserve"> 0.73</w:t>
            </w: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AUC: 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0.983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 w:hint="eastAsia"/>
                <w:sz w:val="15"/>
                <w:szCs w:val="15"/>
              </w:rPr>
              <w:t>V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ADLP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D13FBA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70F6B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0.947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 w:hint="eastAsia"/>
                <w:sz w:val="15"/>
                <w:szCs w:val="15"/>
              </w:rPr>
              <w:t>C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NNLDA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AUC: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0.932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GSMV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AUPR: 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AUPR: 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70F6B">
              <w:rPr>
                <w:rFonts w:ascii="Times New Roman" w:hAnsi="Times New Roman" w:cs="Times New Roman"/>
                <w:sz w:val="15"/>
                <w:szCs w:val="15"/>
              </w:rPr>
              <w:t>AUPR: 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AUPR: 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70F6B">
              <w:rPr>
                <w:rFonts w:ascii="Times New Roman" w:hAnsi="Times New Roman" w:cs="Times New Roman"/>
                <w:b/>
                <w:sz w:val="15"/>
                <w:szCs w:val="15"/>
              </w:rPr>
              <w:t>AUPR: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942FE5">
              <w:rPr>
                <w:rFonts w:ascii="Times New Roman" w:hAnsi="Times New Roman" w:cs="Times New Roman"/>
                <w:b/>
                <w:sz w:val="15"/>
                <w:szCs w:val="15"/>
              </w:rPr>
              <w:t>AUPR: 0.589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GTAN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0.453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 w:hint="eastAsia"/>
                <w:sz w:val="15"/>
                <w:szCs w:val="15"/>
              </w:rPr>
              <w:t>V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ADLP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70F6B">
              <w:rPr>
                <w:rFonts w:ascii="Times New Roman" w:hAnsi="Times New Roman" w:cs="Times New Roman"/>
                <w:b/>
                <w:sz w:val="15"/>
                <w:szCs w:val="15"/>
              </w:rPr>
              <w:t>AUPR: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70F6B">
              <w:rPr>
                <w:rFonts w:ascii="Times New Roman" w:hAnsi="Times New Roman" w:cs="Times New Roman"/>
                <w:sz w:val="15"/>
                <w:szCs w:val="15"/>
              </w:rPr>
              <w:t>AUPR: 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0.364</w:t>
            </w:r>
          </w:p>
        </w:tc>
      </w:tr>
      <w:tr w:rsidR="00D95AF8" w:rsidRPr="008D7C2C" w:rsidTr="00E7397E">
        <w:trPr>
          <w:trHeight w:val="27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5AF8" w:rsidRPr="008D7C2C" w:rsidRDefault="00D95AF8" w:rsidP="00E7397E">
            <w:pPr>
              <w:spacing w:line="288" w:lineRule="auto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 w:hint="eastAsia"/>
                <w:sz w:val="15"/>
                <w:szCs w:val="15"/>
              </w:rPr>
              <w:t>C</w:t>
            </w: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NNLDA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5AF8" w:rsidRPr="008D7C2C" w:rsidRDefault="00D95AF8" w:rsidP="00E7397E">
            <w:pPr>
              <w:spacing w:line="288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7C2C">
              <w:rPr>
                <w:rFonts w:ascii="Times New Roman" w:hAnsi="Times New Roman" w:cs="Times New Roman"/>
                <w:sz w:val="15"/>
                <w:szCs w:val="15"/>
              </w:rPr>
              <w:t>AUPR:</w:t>
            </w:r>
            <w:r>
              <w:rPr>
                <w:rFonts w:ascii="Times New Roman" w:hAnsi="Times New Roman" w:cs="Times New Roman"/>
                <w:sz w:val="15"/>
                <w:szCs w:val="15"/>
              </w:rPr>
              <w:t xml:space="preserve"> 0.283</w:t>
            </w:r>
          </w:p>
        </w:tc>
      </w:tr>
    </w:tbl>
    <w:p w:rsidR="004B3FDE" w:rsidRDefault="004B3FDE"/>
    <w:sectPr w:rsidR="004B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224" w:rsidRDefault="00931224" w:rsidP="00D95AF8">
      <w:r>
        <w:separator/>
      </w:r>
    </w:p>
  </w:endnote>
  <w:endnote w:type="continuationSeparator" w:id="0">
    <w:p w:rsidR="00931224" w:rsidRDefault="00931224" w:rsidP="00D95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224" w:rsidRDefault="00931224" w:rsidP="00D95AF8">
      <w:r>
        <w:separator/>
      </w:r>
    </w:p>
  </w:footnote>
  <w:footnote w:type="continuationSeparator" w:id="0">
    <w:p w:rsidR="00931224" w:rsidRDefault="00931224" w:rsidP="00D95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75"/>
    <w:rsid w:val="000B40DE"/>
    <w:rsid w:val="001344C8"/>
    <w:rsid w:val="004B3FDE"/>
    <w:rsid w:val="00626D75"/>
    <w:rsid w:val="00882B94"/>
    <w:rsid w:val="008C51DA"/>
    <w:rsid w:val="00931224"/>
    <w:rsid w:val="00D95AF8"/>
    <w:rsid w:val="00F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A1564"/>
  <w15:chartTrackingRefBased/>
  <w15:docId w15:val="{C5B010BE-1E80-4DBA-9FF7-E7D92223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A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AF8"/>
    <w:rPr>
      <w:sz w:val="18"/>
      <w:szCs w:val="18"/>
    </w:rPr>
  </w:style>
  <w:style w:type="table" w:styleId="a7">
    <w:name w:val="Table Grid"/>
    <w:basedOn w:val="a1"/>
    <w:qFormat/>
    <w:rsid w:val="00D95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</dc:creator>
  <cp:keywords/>
  <dc:description/>
  <cp:lastModifiedBy>Shuai Wang</cp:lastModifiedBy>
  <cp:revision>4</cp:revision>
  <dcterms:created xsi:type="dcterms:W3CDTF">2022-07-17T05:24:00Z</dcterms:created>
  <dcterms:modified xsi:type="dcterms:W3CDTF">2022-07-18T11:22:00Z</dcterms:modified>
</cp:coreProperties>
</file>