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MTU-5A to MTH5</w:t>
      </w:r>
    </w:p>
    <w:p>
      <w:pPr>
        <w:pStyle w:val="Subtitle"/>
      </w:pPr>
      <w:r>
        <w:t>User Manual — legacy TSn conversion with raw ADC-count preservation</w:t>
      </w:r>
    </w:p>
    <w:p>
      <w:r>
        <w:t>Based on the supplied Python source code • October 2026</w:t>
      </w:r>
    </w:p>
    <w:p>
      <w:pPr>
        <w:pStyle w:val="Heading1"/>
      </w:pPr>
      <w:r>
        <w:t>1. Purpose and processing sequence</w:t>
      </w:r>
    </w:p>
    <w:p>
      <w:r>
        <w:t>This tool reads legacy Phoenix MTU-5A TSn files and exports a multi-run MTH5 while preserving the numerical time series as original ADC counts.</w:t>
      </w:r>
    </w:p>
    <w:p>
      <w:r>
        <w:t>Recommended workflow: legacy TSn + TBL → raw-count MTH5; original Phoenix SysCal + TBL/CLB/CLC → CTS; then MTH5 + CTS → pyTRACMT processing.</w:t>
      </w:r>
    </w:p>
    <w:p>
      <w:pPr>
        <w:pStyle w:val="Heading1"/>
      </w:pPr>
      <w:r>
        <w:t>2. Installation and launch</w:t>
      </w:r>
    </w:p>
    <w:p>
      <w:r>
        <w:t>Install Python and numpy, pandas, matplotlib, mth5, and mt_metadata in a compatible environment.</w:t>
      </w:r>
    </w:p>
    <w:p>
      <w:r>
        <w:t>Example: python -m pip install numpy pandas matplotlib mth5 mt_metadata</w:t>
      </w:r>
    </w:p>
    <w:p>
      <w:r>
        <w:t>GUI: python "Phoenix_MTU5A_to_MTH5(6).py"</w:t>
      </w:r>
    </w:p>
    <w:p>
      <w:r>
        <w:t>Folder CLI: python "Phoenix_MTU5A_to_MTH5(6).py" --folder "PATH_TO_SURVEY"</w:t>
      </w:r>
    </w:p>
    <w:p>
      <w:pPr>
        <w:pStyle w:val="Heading1"/>
      </w:pPr>
      <w:r>
        <w:t>3. Input data and acquisition parameters</w:t>
      </w:r>
    </w:p>
    <w:p>
      <w:r>
        <w:t>The folder scanner searches for .TBL, .TS2/.TS3/.TS4/.TS5 (and supported additional TSn extensions), .CLB, .CLC, and .CLE, including shallow calibration subfolders.</w:t>
      </w:r>
    </w:p>
    <w:p>
      <w:r>
        <w:t>TBL provides recording and channel settings such as sample rate, electrode length, and gain codes. The program matches TSn and TBL by recording filename/family when possible.</w:t>
      </w:r>
    </w:p>
    <w:p>
      <w:r>
        <w:t>Nominal fallback sample rates are TS2=24000 Hz, TS3=2400 Hz, TS4=150 Hz, TS5=15 Hz; verify actual rates against TBL.</w:t>
      </w:r>
    </w:p>
    <w:p>
      <w:pPr>
        <w:pStyle w:val="Heading1"/>
      </w:pPr>
      <w:r>
        <w:t>4. GUI operating procedure</w:t>
      </w:r>
    </w:p>
    <w:p>
      <w:r>
        <w:t>1. Click “Select folder”, then “Scan folder and load”. Inspect the discovered TBL, TSn, and calibration files.</w:t>
      </w:r>
    </w:p>
    <w:p>
      <w:r>
        <w:t>2. Alternatively choose “Select TBL(s)” and “Select TSn files” manually.</w:t>
      </w:r>
    </w:p>
    <w:p>
      <w:r>
        <w:t>3. Review acquisition settings, electrode lengths, and gain values; correct erroneous entries where supported by the GUI.</w:t>
      </w:r>
    </w:p>
    <w:p>
      <w:r>
        <w:t>4. Use “Select CLB”, “Select CLC/CLE(s)”, “Auto Detect Coil Calibration”, and “Show Match Report” to inspect calibration associations.</w:t>
      </w:r>
    </w:p>
    <w:p>
      <w:r>
        <w:t>5. Use “Load selected TS data” and plotting controls to inspect raw recordings and continuity.</w:t>
      </w:r>
    </w:p>
    <w:p>
      <w:r>
        <w:t>6. Choose “Auto convert folder → MTH5” or “Export MTH5 (Auto Multi-Run)” and specify output.</w:t>
      </w:r>
    </w:p>
    <w:p>
      <w:r>
        <w:t>7. Optional diagnostics include CSV, merged absolute-time CSV, JSON/LOG, and calibration plots.</w:t>
      </w:r>
    </w:p>
    <w:p>
      <w:pPr>
        <w:pStyle w:val="Heading1"/>
      </w:pPr>
      <w:r>
        <w:t>5. Raw-count and calibration policy</w:t>
      </w:r>
    </w:p>
    <w:p>
      <w:r>
        <w:t>The MTH5 waveform remains in counts: it is NOT preconverted to mV/km, nT, or volts. This avoids ambiguous gain and calibration being applied twice.</w:t>
      </w:r>
    </w:p>
    <w:p>
      <w:r>
        <w:t>The GUI may display estimated input voltage for inspection, using ADC_volts = counts / 2^24 × full_scale_range_Vpp and input_volts = ADC_volts / gain. Display conversion does not change stored raw-count data.</w:t>
      </w:r>
    </w:p>
    <w:p>
      <w:r>
        <w:t>The program can export EMpower-style metadata and calibration JSON and mount FAP/ADC filters with applied=False. Its proprietary CLB/CLC/CLE decoding is heuristic and requires independent validation.</w:t>
      </w:r>
    </w:p>
    <w:p>
      <w:r>
        <w:t>The separate manufacturer-produced CTS file should be used as the authoritative calibration input in the intended pyTRACMT workflow. Do not assume a reconstructed JSON response is identical to CTS.</w:t>
      </w:r>
    </w:p>
    <w:p>
      <w:pPr>
        <w:pStyle w:val="Heading1"/>
      </w:pPr>
      <w:r>
        <w:t>6. Export structure and quality checks</w:t>
      </w:r>
    </w:p>
    <w:p>
      <w:r>
        <w:t>Exported MTH5 organizes separate sample-rate segments/runs and preserves the original counts. Verify run names, timestamps, sample counts, channel assignment, and electrode geometry.</w:t>
      </w:r>
    </w:p>
    <w:p>
      <w:r>
        <w:t>Where recordings overlap, check the time-continuity and merging reports before accepting a combined time series.</w:t>
      </w:r>
    </w:p>
    <w:p>
      <w:pPr>
        <w:pStyle w:val="Heading1"/>
      </w:pPr>
      <w:r>
        <w:t>7. Using the output with pyTRACMT</w:t>
      </w:r>
    </w:p>
    <w:p>
      <w:r>
        <w:t>Load the exported raw-count MTH5, select the appropriate run and CTS response, and confirm pyTRACMT’s count-to-physical-unit and response-calibration settings.</w:t>
      </w:r>
    </w:p>
    <w:p>
      <w:r>
        <w:t>Inspect resulting apparent resistivity and phase across TS frequency bands, especially at band transitions and where calibrations overlap.</w:t>
      </w:r>
    </w:p>
    <w:p>
      <w:pPr>
        <w:pStyle w:val="Heading1"/>
      </w:pPr>
      <w:r>
        <w:t>8. Troubleshooting</w:t>
      </w:r>
    </w:p>
    <w:p>
      <w:r>
        <w:t>Missing TBL or uncertain pairing: select the matching file manually. Incorrect electrode length: correct the acquisition geometry before processing.</w:t>
      </w:r>
    </w:p>
    <w:p>
      <w:r>
        <w:t>Missing coil response: verify serial identifiers and calibration directory. Implausible amplitude: check ADC full-scale and gain assumptions, and whether calibration was inadvertently applied twice.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Source-based operating guide | Verify instrument-specific calibration before scientific interpretation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PHOENIX MT DATA PROCESSING  |  TECHNICAL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