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pyTRACMT Professional v12</w:t>
        <w:br/>
        <w:t>GUI Option Guide</w:t>
      </w:r>
    </w:p>
    <w:p>
      <w:pPr>
        <w:pStyle w:val="Heading2"/>
      </w:pPr>
      <w:r>
        <w:t>1. Input Files</w:t>
      </w:r>
    </w:p>
    <w:p>
      <w:pPr>
        <w:pStyle w:val="Heading3"/>
      </w:pPr>
      <w:r>
        <w:t>Parameter File (param.dat)</w:t>
      </w:r>
    </w:p>
    <w:p>
      <w:r>
        <w:t>The main control file used by TRACMT. It defines nearly all processing options, including DATA_FILES, SEGMENT, PROCEDURE, RRMS, MESTIMATORS, PREWHITENING, ROBUST_FILTER, COHERENCE_CRITERIA, and OUTPUT.</w:t>
      </w:r>
    </w:p>
    <w:p>
      <w:pPr>
        <w:pStyle w:val="Heading3"/>
      </w:pPr>
      <w:r>
        <w:t>Data Files</w:t>
      </w:r>
    </w:p>
    <w:p>
      <w:r>
        <w:t>Time-series files for each channel, such as Ex, Ey, Hx, Hy, Hz, Hxr, and Hyr. These files can be specified directly in the GUI or loaded automatically from param.dat.</w:t>
      </w:r>
    </w:p>
    <w:p>
      <w:pPr>
        <w:pStyle w:val="Heading3"/>
      </w:pPr>
      <w:r>
        <w:t>Calibration Files</w:t>
      </w:r>
    </w:p>
    <w:p>
      <w:r>
        <w:t>Sensor calibration files used to correct frequency response, amplitude, and phase. After the FFT, each spectrum is divided by the corresponding calibration response.</w:t>
      </w:r>
    </w:p>
    <w:p>
      <w:pPr>
        <w:pStyle w:val="Heading2"/>
      </w:pPr>
      <w:r>
        <w:t>2. Procedure</w:t>
      </w:r>
    </w:p>
    <w:p>
      <w:pPr>
        <w:pStyle w:val="Heading3"/>
      </w:pPr>
      <w:r>
        <w:t>Ordinary RR (Procedure = 0)</w:t>
      </w:r>
    </w:p>
    <w:p>
      <w:r>
        <w:t>Standard Remote Reference estimation using FFT → Cross Spectra → Ordinary Least Squares → Impedance estimation. This is the fastest processing method.</w:t>
      </w:r>
    </w:p>
    <w:p>
      <w:pPr>
        <w:pStyle w:val="Heading3"/>
      </w:pPr>
      <w:r>
        <w:t>Robust RRMS (Procedure = 1)</w:t>
      </w:r>
    </w:p>
    <w:p>
      <w:r>
        <w:t>Uses the Fast-S estimator with the workflow: FFT → Candidate Subsets → Fast-S → IRLS → Tukey Weighting → Impedance. This is the most commonly used option in TRACMT.</w:t>
      </w:r>
    </w:p>
    <w:p>
      <w:pPr>
        <w:pStyle w:val="Heading3"/>
      </w:pPr>
      <w:r>
        <w:t>MRRMS (Procedure = 2)</w:t>
      </w:r>
    </w:p>
    <w:p>
      <w:r>
        <w:t>Modified RRMS. This option is less commonly used.</w:t>
      </w:r>
    </w:p>
    <w:p>
      <w:pPr>
        <w:pStyle w:val="Heading2"/>
      </w:pPr>
      <w:r>
        <w:t>3. M-estimators</w:t>
      </w:r>
    </w:p>
    <w:p>
      <w:r>
        <w:t>None: No robust weighting; standard least-squares estimation.</w:t>
        <w:br/>
        <w:t>Huber: Conservative robust weighting. Weight = 1 for |r|&lt;k, and k/|r| for |r|&gt;k.</w:t>
        <w:br/>
        <w:t>Tukey Biweight: Default in TRACMT. Weight=(1-u²)²; observations beyond the cutoff receive zero weight.</w:t>
        <w:br/>
        <w:t>Thomson: Alternative robust weighting method, used less frequently.</w:t>
      </w:r>
    </w:p>
    <w:p>
      <w:pPr>
        <w:pStyle w:val="Heading2"/>
      </w:pPr>
      <w:r>
        <w:t>4. Huber Parameters</w:t>
      </w:r>
    </w:p>
    <w:p>
      <w:r>
        <w:t>Threshold (e.g., 3) indicates that down-weighting starts at approximately 3σ. Iteration specifies the maximum number of robust iterations (e.g., 10).</w:t>
      </w:r>
    </w:p>
    <w:p>
      <w:pPr>
        <w:pStyle w:val="Heading2"/>
      </w:pPr>
      <w:r>
        <w:t>5. RRMS Parameters</w:t>
      </w:r>
    </w:p>
    <w:p>
      <w:r>
        <w:t>Typical values: 1, 100, 3, 0.05, 10, 16, 0.01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Scale Estimation</w:t>
            </w:r>
          </w:p>
        </w:tc>
        <w:tc>
          <w:tcPr>
            <w:tcW w:type="dxa" w:w="4320"/>
          </w:tcPr>
          <w:p>
            <w:r>
              <w:t>Fast-S scale estimator.</w:t>
            </w:r>
          </w:p>
        </w:tc>
      </w:tr>
      <w:tr>
        <w:tc>
          <w:tcPr>
            <w:tcW w:type="dxa" w:w="4320"/>
          </w:tcPr>
          <w:p>
            <w:r>
              <w:t>Number of Subsets</w:t>
            </w:r>
          </w:p>
        </w:tc>
        <w:tc>
          <w:tcPr>
            <w:tcW w:type="dxa" w:w="4320"/>
          </w:tcPr>
          <w:p>
            <w:r>
              <w:t>Random subsets used by Fast-S. Larger values improve robustness but increase computation time.</w:t>
            </w:r>
          </w:p>
        </w:tc>
      </w:tr>
      <w:tr>
        <w:tc>
          <w:tcPr>
            <w:tcW w:type="dxa" w:w="4320"/>
          </w:tcPr>
          <w:p>
            <w:r>
              <w:t>Subset Size</w:t>
            </w:r>
          </w:p>
        </w:tc>
        <w:tc>
          <w:tcPr>
            <w:tcW w:type="dxa" w:w="4320"/>
          </w:tcPr>
          <w:p>
            <w:r>
              <w:t>Typically 3.</w:t>
            </w:r>
          </w:p>
        </w:tc>
      </w:tr>
      <w:tr>
        <w:tc>
          <w:tcPr>
            <w:tcW w:type="dxa" w:w="4320"/>
          </w:tcPr>
          <w:p>
            <w:r>
              <w:t>Convergence</w:t>
            </w:r>
          </w:p>
        </w:tc>
        <w:tc>
          <w:tcPr>
            <w:tcW w:type="dxa" w:w="4320"/>
          </w:tcPr>
          <w:p>
            <w:r>
              <w:t>Scale convergence criterion (e.g., 0.05).</w:t>
            </w:r>
          </w:p>
        </w:tc>
      </w:tr>
      <w:tr>
        <w:tc>
          <w:tcPr>
            <w:tcW w:type="dxa" w:w="4320"/>
          </w:tcPr>
          <w:p>
            <w:r>
              <w:t>Maximum Iterations</w:t>
            </w:r>
          </w:p>
        </w:tc>
        <w:tc>
          <w:tcPr>
            <w:tcW w:type="dxa" w:w="4320"/>
          </w:tcPr>
          <w:p>
            <w:r>
              <w:t>Maximum RRMS iterations (e.g., 10).</w:t>
            </w:r>
          </w:p>
        </w:tc>
      </w:tr>
      <w:tr>
        <w:tc>
          <w:tcPr>
            <w:tcW w:type="dxa" w:w="4320"/>
          </w:tcPr>
          <w:p>
            <w:r>
              <w:t>Candidate Subsets</w:t>
            </w:r>
          </w:p>
        </w:tc>
        <w:tc>
          <w:tcPr>
            <w:tcW w:type="dxa" w:w="4320"/>
          </w:tcPr>
          <w:p>
            <w:r>
              <w:t>Number of candidate subsets retained per iteration (e.g., 16).</w:t>
            </w:r>
          </w:p>
        </w:tc>
      </w:tr>
      <w:tr>
        <w:tc>
          <w:tcPr>
            <w:tcW w:type="dxa" w:w="4320"/>
          </w:tcPr>
          <w:p>
            <w:r>
              <w:t>Final Tolerance</w:t>
            </w:r>
          </w:p>
        </w:tc>
        <w:tc>
          <w:tcPr>
            <w:tcW w:type="dxa" w:w="4320"/>
          </w:tcPr>
          <w:p>
            <w:r>
              <w:t>Final convergence tolerance (e.g., 0.01).</w:t>
            </w:r>
          </w:p>
        </w:tc>
      </w:tr>
    </w:tbl>
    <w:p>
      <w:pPr>
        <w:pStyle w:val="Heading2"/>
      </w:pPr>
      <w:r>
        <w:t>6. Prewhitening</w:t>
      </w:r>
    </w:p>
    <w:p>
      <w:r>
        <w:t>None: No AR whitening.</w:t>
        <w:br/>
        <w:t>Standard AR: Estimate an AR(p) model and filter the time series to reduce spectral leakage.</w:t>
        <w:br/>
        <w:t>Robust AR: Robust PARCOR-like estimation after robust filtering.</w:t>
        <w:br/>
        <w:t>Max AR Order: Maximum AR order (e.g., 30).</w:t>
        <w:br/>
        <w:t>Candidate AR: Number of candidate AR models (e.g., 100).</w:t>
      </w:r>
    </w:p>
    <w:p>
      <w:pPr>
        <w:pStyle w:val="Heading2"/>
      </w:pPr>
      <w:r>
        <w:t>7. Robust Filter</w:t>
      </w:r>
    </w:p>
    <w:p>
      <w:r>
        <w:t>Enable the robust spike filter and specify Threshold 1, Threshold 2, and Maximum Consecutive Samples.</w:t>
        <w:br/>
        <w:t>Threshold 1 (e.g., 10σ): Detect potential spikes.</w:t>
        <w:br/>
        <w:t>Threshold 2 (e.g., 12σ): Immediately classify samples as spikes.</w:t>
        <w:br/>
        <w:t>Maximum Consecutive Samples (e.g., 50): Prevent long sections from being entirely replaced.</w:t>
        <w:br/>
        <w:t>Replace Data: Replace detected spikes with median-filtered values.</w:t>
      </w:r>
    </w:p>
    <w:p>
      <w:pPr>
        <w:pStyle w:val="Heading2"/>
      </w:pPr>
      <w:r>
        <w:t>8. Coherence Criteria</w:t>
      </w:r>
    </w:p>
    <w:p>
      <w:r>
        <w:t>Uses squared coherence (γ²). Segments with γ² below the selected threshold (e.g., 0.7) are rejected from the impedance estimation. This greatly improves MT data quality.</w:t>
      </w:r>
    </w:p>
    <w:p>
      <w:pPr>
        <w:pStyle w:val="Heading2"/>
      </w:pPr>
      <w:r>
        <w:t>9. Bootstrap</w:t>
      </w:r>
    </w:p>
    <w:p>
      <w:r>
        <w:t>Fixed-weight Bootstrap is the default TRACMT error estimation method. A typical value of 1000 performs 1000 bootstrap resamplings to estimate errors for impedance, apparent resistivity, and phase.</w:t>
      </w:r>
    </w:p>
    <w:p>
      <w:pPr>
        <w:pStyle w:val="Heading2"/>
      </w:pPr>
      <w:r>
        <w:t>10. Rotation</w:t>
      </w:r>
    </w:p>
    <w:p>
      <w:r>
        <w:t>0° indicates the standard North–East coordinate system. A value such as 30° rotates the impedance tensor by 30°.</w:t>
      </w:r>
    </w:p>
    <w:p>
      <w:pPr>
        <w:pStyle w:val="Heading2"/>
      </w:pPr>
      <w:r>
        <w:t>11. Output</w:t>
      </w:r>
    </w:p>
    <w:p>
      <w:r>
        <w:t>Response Functions: response_functions.csv containing Zxx, Zxy, Zyx, and Zyy.</w:t>
        <w:br/>
        <w:t>Apparent Resistivity: Outputs apparent resistivity, phase, and associated errors.</w:t>
        <w:br/>
        <w:t>EDI: Exports a standard *.edi file.</w:t>
      </w:r>
    </w:p>
    <w:p>
      <w:pPr>
        <w:pStyle w:val="Heading2"/>
      </w:pPr>
      <w:r>
        <w:t>12. Output Level</w:t>
      </w:r>
    </w:p>
    <w:p>
      <w:r>
        <w:t>Higher output levels (0, 1, 2) generate more detailed logs, including TRACMT.log and TRACMT.cvg.</w:t>
      </w:r>
    </w:p>
    <w:p>
      <w:pPr>
        <w:pStyle w:val="Heading2"/>
      </w:pPr>
      <w:r>
        <w:t>Recommended TRACMT-Compatible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GUI Option</w:t>
            </w:r>
          </w:p>
        </w:tc>
        <w:tc>
          <w:tcPr>
            <w:tcW w:type="dxa" w:w="4320"/>
          </w:tcPr>
          <w:p>
            <w:r>
              <w:t>Recommended Setting</w:t>
            </w:r>
          </w:p>
        </w:tc>
      </w:tr>
      <w:tr>
        <w:tc>
          <w:tcPr>
            <w:tcW w:type="dxa" w:w="4320"/>
          </w:tcPr>
          <w:p>
            <w:r>
              <w:t>Procedure</w:t>
            </w:r>
          </w:p>
        </w:tc>
        <w:tc>
          <w:tcPr>
            <w:tcW w:type="dxa" w:w="4320"/>
          </w:tcPr>
          <w:p>
            <w:r>
              <w:t>Robust RR (RRMS)</w:t>
            </w:r>
          </w:p>
        </w:tc>
      </w:tr>
      <w:tr>
        <w:tc>
          <w:tcPr>
            <w:tcW w:type="dxa" w:w="4320"/>
          </w:tcPr>
          <w:p>
            <w:r>
              <w:t>M-estimator</w:t>
            </w:r>
          </w:p>
        </w:tc>
        <w:tc>
          <w:tcPr>
            <w:tcW w:type="dxa" w:w="4320"/>
          </w:tcPr>
          <w:p>
            <w:r>
              <w:t>Tukey Biweight</w:t>
            </w:r>
          </w:p>
        </w:tc>
      </w:tr>
      <w:tr>
        <w:tc>
          <w:tcPr>
            <w:tcW w:type="dxa" w:w="4320"/>
          </w:tcPr>
          <w:p>
            <w:r>
              <w:t>RRMS Scale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Random Subsets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Subset Size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Candidate Subsets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Convergence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Prewhitening</w:t>
            </w:r>
          </w:p>
        </w:tc>
        <w:tc>
          <w:tcPr>
            <w:tcW w:type="dxa" w:w="4320"/>
          </w:tcPr>
          <w:p>
            <w:r>
              <w:t>Standard AR</w:t>
            </w:r>
          </w:p>
        </w:tc>
      </w:tr>
      <w:tr>
        <w:tc>
          <w:tcPr>
            <w:tcW w:type="dxa" w:w="4320"/>
          </w:tcPr>
          <w:p>
            <w:r>
              <w:t>Max AR Order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Robust Filter</w:t>
            </w:r>
          </w:p>
        </w:tc>
        <w:tc>
          <w:tcPr>
            <w:tcW w:type="dxa" w:w="4320"/>
          </w:tcPr>
          <w:p>
            <w:r>
              <w:t>ON</w:t>
            </w:r>
          </w:p>
        </w:tc>
      </w:tr>
      <w:tr>
        <w:tc>
          <w:tcPr>
            <w:tcW w:type="dxa" w:w="4320"/>
          </w:tcPr>
          <w:p>
            <w:r>
              <w:t>Threshold 1</w:t>
            </w:r>
          </w:p>
        </w:tc>
        <w:tc>
          <w:tcPr>
            <w:tcW w:type="dxa" w:w="4320"/>
          </w:tcPr>
          <w:p>
            <w:r>
              <w:t>10σ</w:t>
            </w:r>
          </w:p>
        </w:tc>
      </w:tr>
      <w:tr>
        <w:tc>
          <w:tcPr>
            <w:tcW w:type="dxa" w:w="4320"/>
          </w:tcPr>
          <w:p>
            <w:r>
              <w:t>Threshold 2</w:t>
            </w:r>
          </w:p>
        </w:tc>
        <w:tc>
          <w:tcPr>
            <w:tcW w:type="dxa" w:w="4320"/>
          </w:tcPr>
          <w:p>
            <w:r>
              <w:t>12σ</w:t>
            </w:r>
          </w:p>
        </w:tc>
      </w:tr>
      <w:tr>
        <w:tc>
          <w:tcPr>
            <w:tcW w:type="dxa" w:w="4320"/>
          </w:tcPr>
          <w:p>
            <w:r>
              <w:t>Coherence</w:t>
            </w:r>
          </w:p>
        </w:tc>
        <w:tc>
          <w:tcPr>
            <w:tcW w:type="dxa" w:w="4320"/>
          </w:tcPr>
          <w:p>
            <w:r>
              <w:t>ON</w:t>
            </w:r>
          </w:p>
        </w:tc>
      </w:tr>
      <w:tr>
        <w:tc>
          <w:tcPr>
            <w:tcW w:type="dxa" w:w="4320"/>
          </w:tcPr>
          <w:p>
            <w:r>
              <w:t>Coherence Threshold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Bootstrap</w:t>
            </w:r>
          </w:p>
        </w:tc>
        <w:tc>
          <w:tcPr>
            <w:tcW w:type="dxa" w:w="4320"/>
          </w:tcPr>
          <w:p>
            <w:r>
              <w:t>Fixed-weight Bootstrap</w:t>
            </w:r>
          </w:p>
        </w:tc>
      </w:tr>
      <w:tr>
        <w:tc>
          <w:tcPr>
            <w:tcW w:type="dxa" w:w="4320"/>
          </w:tcPr>
          <w:p>
            <w:r>
              <w:t>Bootstrap Number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Rotation</w:t>
            </w:r>
          </w:p>
        </w:tc>
        <w:tc>
          <w:tcPr>
            <w:tcW w:type="dxa" w:w="4320"/>
          </w:tcPr>
          <w:p>
            <w:r>
              <w:t>0°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