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ytracmt-professional-v11"/>
    <w:p>
      <w:pPr>
        <w:pStyle w:val="Heading1"/>
      </w:pPr>
      <w:r>
        <w:t xml:space="preserve">pyTRACMT Professional v11</w:t>
      </w:r>
    </w:p>
    <w:bookmarkStart w:id="21" w:name="installation-and-execution-guide"/>
    <w:p>
      <w:pPr>
        <w:pStyle w:val="Heading2"/>
      </w:pPr>
      <w:r>
        <w:t xml:space="preserve">Installation and Execution Guide</w:t>
      </w:r>
    </w:p>
    <w:bookmarkStart w:id="20" w:name="overview"/>
    <w:p>
      <w:pPr>
        <w:pStyle w:val="Heading3"/>
      </w:pPr>
      <w:r>
        <w:t xml:space="preserve">1. Overview</w:t>
      </w:r>
    </w:p>
    <w:p>
      <w:pPr>
        <w:pStyle w:val="FirstParagraph"/>
      </w:pPr>
      <w:r>
        <w:t xml:space="preserve">pyTRACMT Professional v11 is an open-source, Python-based magnetotelluric (MT) processing program designed to reproduce the principal processing framework and numerical procedures of TRACMT within a modern, platform-independent environment.</w:t>
      </w:r>
    </w:p>
    <w:p>
      <w:pPr>
        <w:pStyle w:val="BodyText"/>
      </w:pPr>
      <w:r>
        <w:t xml:space="preserve">The program integrates the MT processing engine with a graphical user interface (GUI) and command-line interface (CLI). It supports time-series preprocessing, spectral analysis, remote-reference transfer-function estimation, robust regression, uncertainty estimation, calibration correction, apparent resistivity and phase calculation, visualization, and data export.</w:t>
      </w:r>
    </w:p>
    <w:p>
      <w:pPr>
        <w:pStyle w:val="BodyText"/>
      </w:pPr>
      <w:r>
        <w:t xml:space="preserve">Version 11 is the</w:t>
      </w:r>
      <w:r>
        <w:t xml:space="preserve"> </w:t>
      </w:r>
      <w:r>
        <w:rPr>
          <w:b/>
          <w:bCs/>
        </w:rPr>
        <w:t xml:space="preserve">TRACMT Source-Aligned Edition</w:t>
      </w:r>
      <w:r>
        <w:t xml:space="preserve">, with additional numerical alignment to the original TRACMT implementation. These improvements include TRACMT-style short-section zero padding, removal of unintended segment demeaning, C++-compatible</w:t>
      </w:r>
      <w:r>
        <w:t xml:space="preserve"> </w:t>
      </w:r>
      <w:r>
        <w:rPr>
          <w:rStyle w:val="VerbatimChar"/>
        </w:rPr>
        <w:t xml:space="preserve">std::mt19937_64</w:t>
      </w:r>
      <w:r>
        <w:t xml:space="preserve"> </w:t>
      </w:r>
      <w:r>
        <w:t xml:space="preserve">random-number generation for resampling procedures, source-aligned ordinary-RR coherence rejection, and TRACMT-compatible Tukey biweight scale calculations.</w:t>
      </w:r>
    </w:p>
    <w:p>
      <w:pPr>
        <w:pStyle w:val="BodyText"/>
      </w:pPr>
      <w:r>
        <w:t xml:space="preserve">The implementation is intended to provide numerical compatibility with the TRACMT workflow and processing philosophy. Exact bit-for-bit identity may depend on the original TRACMT build, compiler and standard library, input precision, and preprocessing settings.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in-functions"/>
    <w:p>
      <w:pPr>
        <w:pStyle w:val="Heading2"/>
      </w:pPr>
      <w:r>
        <w:t xml:space="preserve">2. Main Functions</w:t>
      </w:r>
    </w:p>
    <w:p>
      <w:pPr>
        <w:pStyle w:val="FirstParagraph"/>
      </w:pPr>
      <w:r>
        <w:t xml:space="preserve">pyTRACMT Professional v11 supports:</w:t>
      </w:r>
    </w:p>
    <w:p>
      <w:pPr>
        <w:pStyle w:val="Compact"/>
        <w:numPr>
          <w:ilvl w:val="0"/>
          <w:numId w:val="1001"/>
        </w:numPr>
      </w:pPr>
      <w:r>
        <w:t xml:space="preserve">Ordinary Remote Reference (RR) estimation.</w:t>
      </w:r>
    </w:p>
    <w:p>
      <w:pPr>
        <w:pStyle w:val="Compact"/>
        <w:numPr>
          <w:ilvl w:val="0"/>
          <w:numId w:val="1001"/>
        </w:numPr>
      </w:pPr>
      <w:r>
        <w:t xml:space="preserve">Robust Multivariate Regression (RRMS).</w:t>
      </w:r>
    </w:p>
    <w:p>
      <w:pPr>
        <w:pStyle w:val="Compact"/>
        <w:numPr>
          <w:ilvl w:val="0"/>
          <w:numId w:val="1001"/>
        </w:numPr>
      </w:pPr>
      <w:r>
        <w:t xml:space="preserve">Modified RRMS (MRRMS) processing.</w:t>
      </w:r>
    </w:p>
    <w:p>
      <w:pPr>
        <w:pStyle w:val="Compact"/>
        <w:numPr>
          <w:ilvl w:val="0"/>
          <w:numId w:val="1001"/>
        </w:numPr>
      </w:pPr>
      <w:r>
        <w:t xml:space="preserve">Sequential M-estimators for robust ordinary RR processing.</w:t>
      </w:r>
    </w:p>
    <w:p>
      <w:pPr>
        <w:pStyle w:val="Compact"/>
        <w:numPr>
          <w:ilvl w:val="0"/>
          <w:numId w:val="1001"/>
        </w:numPr>
      </w:pPr>
      <w:r>
        <w:t xml:space="preserve">Fast-S-based robust multivariate estimation.</w:t>
      </w:r>
    </w:p>
    <w:p>
      <w:pPr>
        <w:pStyle w:val="Compact"/>
        <w:numPr>
          <w:ilvl w:val="0"/>
          <w:numId w:val="1001"/>
        </w:numPr>
      </w:pPr>
      <w:r>
        <w:t xml:space="preserve">Huber, Tukey biweight, and Thomson-type robust weighting.</w:t>
      </w:r>
    </w:p>
    <w:p>
      <w:pPr>
        <w:pStyle w:val="Compact"/>
        <w:numPr>
          <w:ilvl w:val="0"/>
          <w:numId w:val="1001"/>
        </w:numPr>
      </w:pPr>
      <w:r>
        <w:t xml:space="preserve">Parametric, bootstrap, jackknife, robust-bootstrap, and strict-bootstrap uncertainty estimation.</w:t>
      </w:r>
    </w:p>
    <w:p>
      <w:pPr>
        <w:pStyle w:val="Compact"/>
        <w:numPr>
          <w:ilvl w:val="0"/>
          <w:numId w:val="1001"/>
        </w:numPr>
      </w:pPr>
      <w:r>
        <w:t xml:space="preserve">Standard and robust prewhitening.</w:t>
      </w:r>
    </w:p>
    <w:p>
      <w:pPr>
        <w:pStyle w:val="Compact"/>
        <w:numPr>
          <w:ilvl w:val="0"/>
          <w:numId w:val="1001"/>
        </w:numPr>
      </w:pPr>
      <w:r>
        <w:t xml:space="preserve">Robust time-domain spike filtering.</w:t>
      </w:r>
    </w:p>
    <w:p>
      <w:pPr>
        <w:pStyle w:val="Compact"/>
        <w:numPr>
          <w:ilvl w:val="0"/>
          <w:numId w:val="1001"/>
        </w:numPr>
      </w:pPr>
      <w:r>
        <w:t xml:space="preserve">Squared-coherence-based segment rejection.</w:t>
      </w:r>
    </w:p>
    <w:p>
      <w:pPr>
        <w:pStyle w:val="Compact"/>
        <w:numPr>
          <w:ilvl w:val="0"/>
          <w:numId w:val="1001"/>
        </w:numPr>
      </w:pPr>
      <w:r>
        <w:t xml:space="preserve">High-pass, low-pass, and notch filtering.</w:t>
      </w:r>
    </w:p>
    <w:p>
      <w:pPr>
        <w:pStyle w:val="Compact"/>
        <w:numPr>
          <w:ilvl w:val="0"/>
          <w:numId w:val="1001"/>
        </w:numPr>
      </w:pPr>
      <w:r>
        <w:t xml:space="preserve">Frequency-domain calibration correction.</w:t>
      </w:r>
    </w:p>
    <w:p>
      <w:pPr>
        <w:pStyle w:val="Compact"/>
        <w:numPr>
          <w:ilvl w:val="0"/>
          <w:numId w:val="1001"/>
        </w:numPr>
      </w:pPr>
      <w:r>
        <w:t xml:space="preserve">Segment-based FFT spectral processing.</w:t>
      </w:r>
    </w:p>
    <w:p>
      <w:pPr>
        <w:pStyle w:val="Compact"/>
        <w:numPr>
          <w:ilvl w:val="0"/>
          <w:numId w:val="1001"/>
        </w:numPr>
      </w:pPr>
      <w:r>
        <w:t xml:space="preserve">Transfer-function and impedance estimation.</w:t>
      </w:r>
    </w:p>
    <w:p>
      <w:pPr>
        <w:pStyle w:val="Compact"/>
        <w:numPr>
          <w:ilvl w:val="0"/>
          <w:numId w:val="1001"/>
        </w:numPr>
      </w:pPr>
      <w:r>
        <w:t xml:space="preserve">Estimation of Zxx, Zxy, Zyx, and Zyy.</w:t>
      </w:r>
    </w:p>
    <w:p>
      <w:pPr>
        <w:pStyle w:val="Compact"/>
        <w:numPr>
          <w:ilvl w:val="0"/>
          <w:numId w:val="1001"/>
        </w:numPr>
      </w:pPr>
      <w:r>
        <w:t xml:space="preserve">Apparent resistivity and phase calculation.</w:t>
      </w:r>
    </w:p>
    <w:p>
      <w:pPr>
        <w:pStyle w:val="Compact"/>
        <w:numPr>
          <w:ilvl w:val="0"/>
          <w:numId w:val="1001"/>
        </w:numPr>
      </w:pPr>
      <w:r>
        <w:t xml:space="preserve">Uncertainty estimation for impedance, apparent resistivity, and phase.</w:t>
      </w:r>
    </w:p>
    <w:p>
      <w:pPr>
        <w:pStyle w:val="Compact"/>
        <w:numPr>
          <w:ilvl w:val="0"/>
          <w:numId w:val="1001"/>
        </w:numPr>
      </w:pPr>
      <w:r>
        <w:t xml:space="preserve">TRACMT-compatible processing and convergence logs.</w:t>
      </w:r>
    </w:p>
    <w:p>
      <w:pPr>
        <w:pStyle w:val="Compact"/>
        <w:numPr>
          <w:ilvl w:val="0"/>
          <w:numId w:val="1001"/>
        </w:numPr>
      </w:pPr>
      <w:r>
        <w:t xml:space="preserve">CSV output with intuitive MT component names.</w:t>
      </w:r>
    </w:p>
    <w:p>
      <w:pPr>
        <w:pStyle w:val="Compact"/>
        <w:numPr>
          <w:ilvl w:val="0"/>
          <w:numId w:val="1001"/>
        </w:numPr>
      </w:pPr>
      <w:r>
        <w:t xml:space="preserve">Basic EDI export.</w:t>
      </w:r>
    </w:p>
    <w:p>
      <w:pPr>
        <w:pStyle w:val="Compact"/>
        <w:numPr>
          <w:ilvl w:val="0"/>
          <w:numId w:val="1001"/>
        </w:numPr>
      </w:pPr>
      <w:r>
        <w:t xml:space="preserve">GUI-based parameter configuration and</w:t>
      </w:r>
      <w:r>
        <w:t xml:space="preserve"> </w:t>
      </w:r>
      <w:r>
        <w:rPr>
          <w:rStyle w:val="VerbatimChar"/>
        </w:rPr>
        <w:t xml:space="preserve">param.dat</w:t>
      </w:r>
      <w:r>
        <w:t xml:space="preserve"> </w:t>
      </w:r>
      <w:r>
        <w:t xml:space="preserve">generation.</w:t>
      </w:r>
    </w:p>
    <w:p>
      <w:pPr>
        <w:pStyle w:val="Compact"/>
        <w:numPr>
          <w:ilvl w:val="0"/>
          <w:numId w:val="1001"/>
        </w:numPr>
      </w:pPr>
      <w:r>
        <w:t xml:space="preserve">Time-series data preview.</w:t>
      </w:r>
    </w:p>
    <w:p>
      <w:pPr>
        <w:pStyle w:val="Compact"/>
        <w:numPr>
          <w:ilvl w:val="0"/>
          <w:numId w:val="1001"/>
        </w:numPr>
      </w:pPr>
      <w:r>
        <w:t xml:space="preserve">Interactive response-function, apparent-resistivity, and phase plotting.</w:t>
      </w:r>
    </w:p>
    <w:p>
      <w:pPr>
        <w:pStyle w:val="Compact"/>
        <w:numPr>
          <w:ilvl w:val="0"/>
          <w:numId w:val="1001"/>
        </w:numPr>
      </w:pPr>
      <w:r>
        <w:t xml:space="preserve">Error-bar visualization.</w:t>
      </w:r>
    </w:p>
    <w:p>
      <w:pPr>
        <w:pStyle w:val="Compact"/>
        <w:numPr>
          <w:ilvl w:val="0"/>
          <w:numId w:val="1001"/>
        </w:numPr>
      </w:pPr>
      <w:r>
        <w:t xml:space="preserve">PNG figure export.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ystem-requirements"/>
    <w:p>
      <w:pPr>
        <w:pStyle w:val="Heading1"/>
      </w:pPr>
      <w:r>
        <w:t xml:space="preserve">3. System Requirements</w:t>
      </w:r>
    </w:p>
    <w:bookmarkStart w:id="24" w:name="recommended-system"/>
    <w:p>
      <w:pPr>
        <w:pStyle w:val="Heading3"/>
      </w:pPr>
      <w:r>
        <w:t xml:space="preserve">Recommended System</w:t>
      </w:r>
    </w:p>
    <w:p>
      <w:pPr>
        <w:pStyle w:val="Compact"/>
        <w:numPr>
          <w:ilvl w:val="0"/>
          <w:numId w:val="1002"/>
        </w:numPr>
      </w:pPr>
      <w:r>
        <w:t xml:space="preserve">Windows 10 or Windows 11, 64-bit</w:t>
      </w:r>
    </w:p>
    <w:p>
      <w:pPr>
        <w:pStyle w:val="Compact"/>
        <w:numPr>
          <w:ilvl w:val="0"/>
          <w:numId w:val="1002"/>
        </w:numPr>
      </w:pPr>
      <w:r>
        <w:t xml:space="preserve">Python 3.10 or 3.11</w:t>
      </w:r>
    </w:p>
    <w:p>
      <w:pPr>
        <w:pStyle w:val="Compact"/>
        <w:numPr>
          <w:ilvl w:val="0"/>
          <w:numId w:val="1002"/>
        </w:numPr>
      </w:pPr>
      <w:r>
        <w:t xml:space="preserve">Minimum 8 GB RAM</w:t>
      </w:r>
    </w:p>
    <w:p>
      <w:pPr>
        <w:pStyle w:val="Compact"/>
        <w:numPr>
          <w:ilvl w:val="0"/>
          <w:numId w:val="1002"/>
        </w:numPr>
      </w:pPr>
      <w:r>
        <w:t xml:space="preserve">16 GB RAM or more recommended for large datasets and bootstrap processing</w:t>
      </w:r>
    </w:p>
    <w:p>
      <w:pPr>
        <w:pStyle w:val="Compact"/>
        <w:numPr>
          <w:ilvl w:val="0"/>
          <w:numId w:val="1002"/>
        </w:numPr>
      </w:pPr>
      <w:r>
        <w:t xml:space="preserve">Anaconda or Miniconda recommended</w:t>
      </w:r>
    </w:p>
    <w:p>
      <w:pPr>
        <w:pStyle w:val="FirstParagraph"/>
      </w:pPr>
      <w:r>
        <w:t xml:space="preserve">The processing engine is written in Python and may also operate on other platforms supported by Python, NumPy, SciPy, and Tkinter.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equired-python-packages"/>
    <w:p>
      <w:pPr>
        <w:pStyle w:val="Heading1"/>
      </w:pPr>
      <w:r>
        <w:t xml:space="preserve">4. Required Python Packages</w:t>
      </w:r>
    </w:p>
    <w:bookmarkStart w:id="26" w:name="core-packages"/>
    <w:p>
      <w:pPr>
        <w:pStyle w:val="Heading3"/>
      </w:pPr>
      <w:r>
        <w:t xml:space="preserve">Core Packages</w:t>
      </w:r>
    </w:p>
    <w:p>
      <w:pPr>
        <w:pStyle w:val="Compact"/>
        <w:numPr>
          <w:ilvl w:val="0"/>
          <w:numId w:val="1003"/>
        </w:numPr>
      </w:pPr>
      <w:r>
        <w:t xml:space="preserve">numpy</w:t>
      </w:r>
    </w:p>
    <w:p>
      <w:pPr>
        <w:pStyle w:val="Compact"/>
        <w:numPr>
          <w:ilvl w:val="0"/>
          <w:numId w:val="1003"/>
        </w:numPr>
      </w:pPr>
      <w:r>
        <w:t xml:space="preserve">pandas</w:t>
      </w:r>
    </w:p>
    <w:p>
      <w:pPr>
        <w:pStyle w:val="Compact"/>
        <w:numPr>
          <w:ilvl w:val="0"/>
          <w:numId w:val="1003"/>
        </w:numPr>
      </w:pPr>
      <w:r>
        <w:t xml:space="preserve">scipy</w:t>
      </w:r>
    </w:p>
    <w:p>
      <w:pPr>
        <w:pStyle w:val="Compact"/>
        <w:numPr>
          <w:ilvl w:val="0"/>
          <w:numId w:val="1003"/>
        </w:numPr>
      </w:pPr>
      <w:r>
        <w:t xml:space="preserve">matplotlib</w:t>
      </w:r>
    </w:p>
    <w:bookmarkEnd w:id="26"/>
    <w:bookmarkStart w:id="27" w:name="gui"/>
    <w:p>
      <w:pPr>
        <w:pStyle w:val="Heading3"/>
      </w:pPr>
      <w:r>
        <w:t xml:space="preserve">GUI</w:t>
      </w:r>
    </w:p>
    <w:p>
      <w:pPr>
        <w:pStyle w:val="Compact"/>
        <w:numPr>
          <w:ilvl w:val="0"/>
          <w:numId w:val="1004"/>
        </w:numPr>
      </w:pPr>
      <w:r>
        <w:t xml:space="preserve">tkinter</w:t>
      </w:r>
    </w:p>
    <w:p>
      <w:pPr>
        <w:pStyle w:val="FirstParagraph"/>
      </w:pPr>
      <w:r>
        <w:t xml:space="preserve">Tkinter is normally included with standard Python distributions and is not usually installed through</w:t>
      </w:r>
      <w:r>
        <w:t xml:space="preserve"> </w:t>
      </w:r>
      <w:r>
        <w:rPr>
          <w:rStyle w:val="VerbatimChar"/>
        </w:rPr>
        <w:t xml:space="preserve">pip</w:t>
      </w:r>
      <w:r>
        <w:t xml:space="preserve">.</w:t>
      </w:r>
    </w:p>
    <w:bookmarkEnd w:id="27"/>
    <w:bookmarkStart w:id="28" w:name="optional-packages"/>
    <w:p>
      <w:pPr>
        <w:pStyle w:val="Heading3"/>
      </w:pPr>
      <w:r>
        <w:t xml:space="preserve">Optional Packages</w:t>
      </w:r>
    </w:p>
    <w:p>
      <w:pPr>
        <w:pStyle w:val="Compact"/>
        <w:numPr>
          <w:ilvl w:val="0"/>
          <w:numId w:val="1005"/>
        </w:numPr>
      </w:pPr>
      <w:r>
        <w:t xml:space="preserve">openpyxl</w:t>
      </w:r>
    </w:p>
    <w:p>
      <w:pPr>
        <w:pStyle w:val="Compact"/>
        <w:numPr>
          <w:ilvl w:val="0"/>
          <w:numId w:val="1005"/>
        </w:numPr>
      </w:pPr>
      <w:r>
        <w:t xml:space="preserve">pyinstaller</w:t>
      </w:r>
    </w:p>
    <w:p>
      <w:pPr>
        <w:pStyle w:val="FirstParagraph"/>
      </w:pPr>
      <w:r>
        <w:rPr>
          <w:rStyle w:val="VerbatimChar"/>
        </w:rPr>
        <w:t xml:space="preserve">openpyxl</w:t>
      </w:r>
      <w:r>
        <w:t xml:space="preserve"> </w:t>
      </w:r>
      <w:r>
        <w:t xml:space="preserve">is useful for spreadsheet-related workflows, whereas</w:t>
      </w:r>
      <w:r>
        <w:t xml:space="preserve"> </w:t>
      </w:r>
      <w:r>
        <w:rPr>
          <w:rStyle w:val="VerbatimChar"/>
        </w:rPr>
        <w:t xml:space="preserve">pyinstaller</w:t>
      </w:r>
      <w:r>
        <w:t xml:space="preserve"> </w:t>
      </w:r>
      <w:r>
        <w:t xml:space="preserve">is required only if a standalone Windows executable is to be created.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installation-using-conda"/>
    <w:p>
      <w:pPr>
        <w:pStyle w:val="Heading1"/>
      </w:pPr>
      <w:r>
        <w:t xml:space="preserve">5. Installation Using Conda</w:t>
      </w:r>
    </w:p>
    <w:bookmarkStart w:id="30" w:name="step-1.-install-miniconda-or-anaconda"/>
    <w:p>
      <w:pPr>
        <w:pStyle w:val="Heading3"/>
      </w:pPr>
      <w:r>
        <w:t xml:space="preserve">Step 1. Install Miniconda or Anaconda</w:t>
      </w:r>
    </w:p>
    <w:p>
      <w:pPr>
        <w:pStyle w:val="FirstParagraph"/>
      </w:pPr>
      <w:r>
        <w:t xml:space="preserve">Install a current Miniconda or Anaconda distribution.</w:t>
      </w:r>
    </w:p>
    <w:bookmarkEnd w:id="30"/>
    <w:bookmarkStart w:id="31" w:name="step-2.-create-a-dedicated-environment"/>
    <w:p>
      <w:pPr>
        <w:pStyle w:val="Heading3"/>
      </w:pPr>
      <w:r>
        <w:t xml:space="preserve">Step 2. Create a Dedicated Environment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Anaconda Prompt</w:t>
      </w:r>
      <w:r>
        <w:t xml:space="preserve"> </w:t>
      </w:r>
      <w:r>
        <w:t xml:space="preserve">and run:</w:t>
      </w:r>
    </w:p>
    <w:p>
      <w:pPr>
        <w:pStyle w:val="SourceCode"/>
      </w:pPr>
      <w:r>
        <w:rPr>
          <w:rStyle w:val="VerbatimChar"/>
        </w:rPr>
        <w:t xml:space="preserve">conda create -n pytracmt python=3.11 -y</w:t>
      </w:r>
    </w:p>
    <w:bookmarkEnd w:id="31"/>
    <w:bookmarkStart w:id="32" w:name="step-3.-activate-the-environment"/>
    <w:p>
      <w:pPr>
        <w:pStyle w:val="Heading3"/>
      </w:pPr>
      <w:r>
        <w:t xml:space="preserve">Step 3. Activate the Environment</w:t>
      </w:r>
    </w:p>
    <w:p>
      <w:pPr>
        <w:pStyle w:val="SourceCode"/>
      </w:pPr>
      <w:r>
        <w:rPr>
          <w:rStyle w:val="VerbatimChar"/>
        </w:rPr>
        <w:t xml:space="preserve">conda activate pytracmt</w:t>
      </w:r>
    </w:p>
    <w:bookmarkEnd w:id="32"/>
    <w:bookmarkStart w:id="33" w:name="step-4.-install-the-required-packages"/>
    <w:p>
      <w:pPr>
        <w:pStyle w:val="Heading3"/>
      </w:pPr>
      <w:r>
        <w:t xml:space="preserve">Step 4. Install the Required Packages</w:t>
      </w:r>
    </w:p>
    <w:p>
      <w:pPr>
        <w:pStyle w:val="SourceCode"/>
      </w:pPr>
      <w:r>
        <w:rPr>
          <w:rStyle w:val="VerbatimChar"/>
        </w:rPr>
        <w:t xml:space="preserve">conda install -c conda-forge numpy pandas scipy matplotlib openpyxl -y</w:t>
      </w:r>
    </w:p>
    <w:bookmarkEnd w:id="33"/>
    <w:bookmarkStart w:id="34" w:name="step-5.-test-the-installation"/>
    <w:p>
      <w:pPr>
        <w:pStyle w:val="Heading3"/>
      </w:pPr>
      <w:r>
        <w:t xml:space="preserve">Step 5. Test the Installation</w:t>
      </w:r>
    </w:p>
    <w:p>
      <w:pPr>
        <w:pStyle w:val="SourceCode"/>
      </w:pPr>
      <w:r>
        <w:rPr>
          <w:rStyle w:val="VerbatimChar"/>
        </w:rPr>
        <w:t xml:space="preserve">python -c "import numpy, pandas, scipy, matplotlib; print('pyTRACMT environment OK')"</w:t>
      </w:r>
    </w:p>
    <w:p>
      <w:pPr>
        <w:pStyle w:val="FirstParagraph"/>
      </w:pPr>
      <w:r>
        <w:t xml:space="preserve">If the message</w:t>
      </w:r>
    </w:p>
    <w:p>
      <w:pPr>
        <w:pStyle w:val="SourceCode"/>
      </w:pPr>
      <w:r>
        <w:rPr>
          <w:rStyle w:val="VerbatimChar"/>
        </w:rPr>
        <w:t xml:space="preserve">pyTRACMT environment OK</w:t>
      </w:r>
    </w:p>
    <w:p>
      <w:pPr>
        <w:pStyle w:val="FirstParagraph"/>
      </w:pPr>
      <w:r>
        <w:t xml:space="preserve">appears without an error, the core Python environment is ready.</w:t>
      </w:r>
    </w:p>
    <w:bookmarkEnd w:id="34"/>
    <w:bookmarkStart w:id="35" w:name="step-6.-test-tkinter"/>
    <w:p>
      <w:pPr>
        <w:pStyle w:val="Heading3"/>
      </w:pPr>
      <w:r>
        <w:t xml:space="preserve">Step 6. Test Tkinter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python -c "import tkinter; print('Tkinter OK')"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Tkinter OK</w:t>
      </w:r>
      <w:r>
        <w:t xml:space="preserve"> </w:t>
      </w:r>
      <w:r>
        <w:t xml:space="preserve">is displayed, the GUI should be available.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stallation-using-pip"/>
    <w:p>
      <w:pPr>
        <w:pStyle w:val="Heading1"/>
      </w:pPr>
      <w:r>
        <w:t xml:space="preserve">6. Installation Using pip</w:t>
      </w:r>
    </w:p>
    <w:p>
      <w:pPr>
        <w:pStyle w:val="FirstParagraph"/>
      </w:pPr>
      <w:r>
        <w:t xml:space="preserve">Alternatively, a standard Python virtual environment can be used.</w:t>
      </w:r>
    </w:p>
    <w:p>
      <w:pPr>
        <w:pStyle w:val="BodyText"/>
      </w:pPr>
      <w:r>
        <w:t xml:space="preserve">Create the environment:</w:t>
      </w:r>
    </w:p>
    <w:p>
      <w:pPr>
        <w:pStyle w:val="SourceCode"/>
      </w:pPr>
      <w:r>
        <w:rPr>
          <w:rStyle w:val="VerbatimChar"/>
        </w:rPr>
        <w:t xml:space="preserve">python -m venv pytracmt_env</w:t>
      </w:r>
    </w:p>
    <w:p>
      <w:pPr>
        <w:pStyle w:val="FirstParagraph"/>
      </w:pPr>
      <w:r>
        <w:t xml:space="preserve">Activate it under Windows:</w:t>
      </w:r>
    </w:p>
    <w:p>
      <w:pPr>
        <w:pStyle w:val="SourceCode"/>
      </w:pPr>
      <w:r>
        <w:rPr>
          <w:rStyle w:val="VerbatimChar"/>
        </w:rPr>
        <w:t xml:space="preserve">pytracmt_env\Scripts\activate</w:t>
      </w:r>
    </w:p>
    <w:p>
      <w:pPr>
        <w:pStyle w:val="FirstParagraph"/>
      </w:pPr>
      <w:r>
        <w:t xml:space="preserve">Install the required packages:</w:t>
      </w:r>
    </w:p>
    <w:p>
      <w:pPr>
        <w:pStyle w:val="SourceCode"/>
      </w:pPr>
      <w:r>
        <w:rPr>
          <w:rStyle w:val="VerbatimChar"/>
        </w:rPr>
        <w:t xml:space="preserve">python -m pip install --upgrade pip</w:t>
      </w:r>
      <w:r>
        <w:br/>
      </w:r>
      <w:r>
        <w:rPr>
          <w:rStyle w:val="VerbatimChar"/>
        </w:rPr>
        <w:t xml:space="preserve">pip install numpy pandas scipy matplotlib openpyxl</w:t>
      </w:r>
    </w:p>
    <w:p>
      <w:pPr>
        <w:pStyle w:val="FirstParagraph"/>
      </w:pPr>
      <w:r>
        <w:t xml:space="preserve">Test the environment:</w:t>
      </w:r>
    </w:p>
    <w:p>
      <w:pPr>
        <w:pStyle w:val="SourceCode"/>
      </w:pPr>
      <w:r>
        <w:rPr>
          <w:rStyle w:val="VerbatimChar"/>
        </w:rPr>
        <w:t xml:space="preserve">python -c "import numpy, pandas, scipy, matplotlib, tkinter; print('pyTRACMT environment OK')"</w:t>
      </w:r>
    </w:p>
    <w:p>
      <w:r>
        <w:pict>
          <v:rect style="width:0;height:1.5pt" o:hralign="center" o:hrstd="t" o:hr="t"/>
        </w:pict>
      </w:r>
    </w:p>
    <w:bookmarkEnd w:id="37"/>
    <w:bookmarkStart w:id="38" w:name="running-pytracmt"/>
    <w:p>
      <w:pPr>
        <w:pStyle w:val="Heading1"/>
      </w:pPr>
      <w:r>
        <w:t xml:space="preserve">7. Running pyTRACMT</w:t>
      </w:r>
    </w:p>
    <w:p>
      <w:pPr>
        <w:pStyle w:val="FirstParagraph"/>
      </w:pPr>
      <w:r>
        <w:t xml:space="preserve">Place the pyTRACMT Python program in a working folder.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pyTRACMT_Professional_v11.py</w:t>
      </w:r>
    </w:p>
    <w:p>
      <w:pPr>
        <w:pStyle w:val="FirstParagraph"/>
      </w:pPr>
      <w:r>
        <w:t xml:space="preserve">Open Anaconda Prompt and activate the environment:</w:t>
      </w:r>
    </w:p>
    <w:p>
      <w:pPr>
        <w:pStyle w:val="SourceCode"/>
      </w:pPr>
      <w:r>
        <w:rPr>
          <w:rStyle w:val="VerbatimChar"/>
        </w:rPr>
        <w:t xml:space="preserve">conda activate pytracmt</w:t>
      </w:r>
    </w:p>
    <w:p>
      <w:pPr>
        <w:pStyle w:val="FirstParagraph"/>
      </w:pPr>
      <w:r>
        <w:t xml:space="preserve">Move to the program folder:</w:t>
      </w:r>
    </w:p>
    <w:p>
      <w:pPr>
        <w:pStyle w:val="SourceCode"/>
      </w:pPr>
      <w:r>
        <w:rPr>
          <w:rStyle w:val="VerbatimChar"/>
        </w:rPr>
        <w:t xml:space="preserve">cd C:\PyTRACMT_Project</w:t>
      </w:r>
    </w:p>
    <w:p>
      <w:pPr>
        <w:pStyle w:val="FirstParagraph"/>
      </w:pPr>
      <w:r>
        <w:t xml:space="preserve">Start the GUI:</w:t>
      </w:r>
    </w:p>
    <w:p>
      <w:pPr>
        <w:pStyle w:val="SourceCode"/>
      </w:pPr>
      <w:r>
        <w:rPr>
          <w:rStyle w:val="VerbatimChar"/>
        </w:rPr>
        <w:t xml:space="preserve">python pyTRACMT_Professional_v11.py</w:t>
      </w:r>
    </w:p>
    <w:p>
      <w:pPr>
        <w:pStyle w:val="FirstParagraph"/>
      </w:pPr>
      <w:r>
        <w:t xml:space="preserve">If no command-line arguments are supplied, pyTRACMT opens the graphical user interface.</w:t>
      </w:r>
    </w:p>
    <w:p>
      <w:r>
        <w:pict>
          <v:rect style="width:0;height:1.5pt" o:hralign="center" o:hrstd="t" o:hr="t"/>
        </w:pict>
      </w:r>
    </w:p>
    <w:bookmarkEnd w:id="38"/>
    <w:bookmarkStart w:id="39" w:name="command-line-execution"/>
    <w:p>
      <w:pPr>
        <w:pStyle w:val="Heading1"/>
      </w:pPr>
      <w:r>
        <w:t xml:space="preserve">8. Command-Line Execution</w:t>
      </w:r>
    </w:p>
    <w:p>
      <w:pPr>
        <w:pStyle w:val="FirstParagraph"/>
      </w:pPr>
      <w:r>
        <w:t xml:space="preserve">pyTRACMT can also be executed directly from the command line using an existing</w:t>
      </w:r>
      <w:r>
        <w:t xml:space="preserve"> </w:t>
      </w:r>
      <w:r>
        <w:rPr>
          <w:rStyle w:val="VerbatimChar"/>
        </w:rPr>
        <w:t xml:space="preserve">param.dat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Basic syntax:</w:t>
      </w:r>
    </w:p>
    <w:p>
      <w:pPr>
        <w:pStyle w:val="SourceCode"/>
      </w:pPr>
      <w:r>
        <w:rPr>
          <w:rStyle w:val="VerbatimChar"/>
        </w:rPr>
        <w:t xml:space="preserve">python pyTRACMT_Professional_v11.py param.dat</w:t>
      </w:r>
    </w:p>
    <w:p>
      <w:pPr>
        <w:pStyle w:val="FirstParagraph"/>
      </w:pPr>
      <w:r>
        <w:t xml:space="preserve">To specify a separate output folder:</w:t>
      </w:r>
    </w:p>
    <w:p>
      <w:pPr>
        <w:pStyle w:val="SourceCode"/>
      </w:pPr>
      <w:r>
        <w:rPr>
          <w:rStyle w:val="VerbatimChar"/>
        </w:rPr>
        <w:t xml:space="preserve">python pyTRACMT_Professional_v11.py param.dat output_folder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python pyTRACMT_Professional_v11.py C:\MT_Data\param.dat C:\MT_Data\output</w:t>
      </w:r>
    </w:p>
    <w:p>
      <w:pPr>
        <w:pStyle w:val="FirstParagraph"/>
      </w:pPr>
      <w:r>
        <w:t xml:space="preserve">This mode is useful for automated processing or when GUI interaction is not required.</w:t>
      </w:r>
    </w:p>
    <w:p>
      <w:r>
        <w:pict>
          <v:rect style="width:0;height:1.5pt" o:hralign="center" o:hrstd="t" o:hr="t"/>
        </w:pict>
      </w:r>
    </w:p>
    <w:bookmarkEnd w:id="39"/>
    <w:bookmarkStart w:id="47" w:name="graphical-user-interface"/>
    <w:p>
      <w:pPr>
        <w:pStyle w:val="Heading1"/>
      </w:pPr>
      <w:r>
        <w:t xml:space="preserve">9. Graphical User Interface</w:t>
      </w:r>
    </w:p>
    <w:p>
      <w:pPr>
        <w:pStyle w:val="FirstParagraph"/>
      </w:pPr>
      <w:r>
        <w:t xml:space="preserve">The GUI is organized into a</w:t>
      </w:r>
      <w:r>
        <w:t xml:space="preserve"> </w:t>
      </w:r>
      <w:r>
        <w:rPr>
          <w:b/>
          <w:bCs/>
        </w:rPr>
        <w:t xml:space="preserve">main window</w:t>
      </w:r>
      <w:r>
        <w:t xml:space="preserve"> </w:t>
      </w:r>
      <w:r>
        <w:t xml:space="preserve">containing several</w:t>
      </w:r>
      <w:r>
        <w:t xml:space="preserve"> </w:t>
      </w:r>
      <w:r>
        <w:rPr>
          <w:b/>
          <w:bCs/>
        </w:rPr>
        <w:t xml:space="preserve">tabs</w:t>
      </w:r>
      <w:r>
        <w:t xml:space="preserve">.</w:t>
      </w:r>
    </w:p>
    <w:p>
      <w:pPr>
        <w:pStyle w:val="BodyText"/>
      </w:pPr>
      <w:r>
        <w:t xml:space="preserve">The principal tabs are:</w:t>
      </w:r>
    </w:p>
    <w:bookmarkStart w:id="40" w:name="parameter-builder"/>
    <w:p>
      <w:pPr>
        <w:pStyle w:val="Heading3"/>
      </w:pPr>
      <w:r>
        <w:t xml:space="preserve">Parameter Builder</w:t>
      </w:r>
    </w:p>
    <w:p>
      <w:pPr>
        <w:pStyle w:val="FirstParagraph"/>
      </w:pPr>
      <w:r>
        <w:t xml:space="preserve">Provides graphical controls for creating the processing configuration, selecting input files, and generating</w:t>
      </w:r>
      <w:r>
        <w:t xml:space="preserve"> </w:t>
      </w:r>
      <w:r>
        <w:rPr>
          <w:rStyle w:val="VerbatimChar"/>
        </w:rPr>
        <w:t xml:space="preserve">param.dat</w:t>
      </w:r>
      <w:r>
        <w:t xml:space="preserve">.</w:t>
      </w:r>
    </w:p>
    <w:bookmarkEnd w:id="40"/>
    <w:bookmarkStart w:id="41" w:name="param.dat-content"/>
    <w:p>
      <w:pPr>
        <w:pStyle w:val="Heading3"/>
      </w:pPr>
      <w:r>
        <w:t xml:space="preserve">param.dat Content</w:t>
      </w:r>
    </w:p>
    <w:p>
      <w:pPr>
        <w:pStyle w:val="FirstParagraph"/>
      </w:pPr>
      <w:r>
        <w:t xml:space="preserve">Displays the current parameter-file contents and allows the configuration to be inspected or saved.</w:t>
      </w:r>
    </w:p>
    <w:bookmarkEnd w:id="41"/>
    <w:bookmarkStart w:id="42" w:name="log"/>
    <w:p>
      <w:pPr>
        <w:pStyle w:val="Heading3"/>
      </w:pPr>
      <w:r>
        <w:t xml:space="preserve">Log</w:t>
      </w:r>
    </w:p>
    <w:p>
      <w:pPr>
        <w:pStyle w:val="FirstParagraph"/>
      </w:pPr>
      <w:r>
        <w:t xml:space="preserve">Displays processing messages and execution status.</w:t>
      </w:r>
    </w:p>
    <w:bookmarkEnd w:id="42"/>
    <w:bookmarkStart w:id="43" w:name="response-functions"/>
    <w:p>
      <w:pPr>
        <w:pStyle w:val="Heading3"/>
      </w:pPr>
      <w:r>
        <w:t xml:space="preserve">Response Functions</w:t>
      </w:r>
    </w:p>
    <w:p>
      <w:pPr>
        <w:pStyle w:val="FirstParagraph"/>
      </w:pPr>
      <w:r>
        <w:t xml:space="preserve">Displays the estimated transfer-function and impedance results in tabular form.</w:t>
      </w:r>
    </w:p>
    <w:bookmarkEnd w:id="43"/>
    <w:bookmarkStart w:id="44" w:name="ρa-phase"/>
    <w:p>
      <w:pPr>
        <w:pStyle w:val="Heading3"/>
      </w:pPr>
      <w:r>
        <w:t xml:space="preserve">ρa / Phase</w:t>
      </w:r>
    </w:p>
    <w:p>
      <w:pPr>
        <w:pStyle w:val="FirstParagraph"/>
      </w:pPr>
      <w:r>
        <w:t xml:space="preserve">Displays apparent resistivity, phase, and associated uncertainties.</w:t>
      </w:r>
    </w:p>
    <w:bookmarkEnd w:id="44"/>
    <w:bookmarkStart w:id="45" w:name="plots"/>
    <w:p>
      <w:pPr>
        <w:pStyle w:val="Heading3"/>
      </w:pPr>
      <w:r>
        <w:t xml:space="preserve">Plots</w:t>
      </w:r>
    </w:p>
    <w:p>
      <w:pPr>
        <w:pStyle w:val="FirstParagraph"/>
      </w:pPr>
      <w:r>
        <w:t xml:space="preserve">Provides graphical visualization of:</w:t>
      </w:r>
    </w:p>
    <w:p>
      <w:pPr>
        <w:pStyle w:val="Compact"/>
        <w:numPr>
          <w:ilvl w:val="0"/>
          <w:numId w:val="1006"/>
        </w:numPr>
      </w:pPr>
      <w:r>
        <w:t xml:space="preserve">Apparent resistivity</w:t>
      </w:r>
    </w:p>
    <w:p>
      <w:pPr>
        <w:pStyle w:val="Compact"/>
        <w:numPr>
          <w:ilvl w:val="0"/>
          <w:numId w:val="1006"/>
        </w:numPr>
      </w:pPr>
      <w:r>
        <w:t xml:space="preserve">Phase</w:t>
      </w:r>
    </w:p>
    <w:p>
      <w:pPr>
        <w:pStyle w:val="Compact"/>
        <w:numPr>
          <w:ilvl w:val="0"/>
          <w:numId w:val="1006"/>
        </w:numPr>
      </w:pPr>
      <w:r>
        <w:t xml:space="preserve">Response amplitude</w:t>
      </w:r>
    </w:p>
    <w:p>
      <w:pPr>
        <w:pStyle w:val="Compact"/>
        <w:numPr>
          <w:ilvl w:val="0"/>
          <w:numId w:val="1006"/>
        </w:numPr>
      </w:pPr>
      <w:r>
        <w:t xml:space="preserve">Response phase</w:t>
      </w:r>
    </w:p>
    <w:p>
      <w:pPr>
        <w:pStyle w:val="FirstParagraph"/>
      </w:pPr>
      <w:r>
        <w:t xml:space="preserve">The impedance component can be selected from:</w:t>
      </w:r>
    </w:p>
    <w:p>
      <w:pPr>
        <w:pStyle w:val="Compact"/>
        <w:numPr>
          <w:ilvl w:val="0"/>
          <w:numId w:val="1007"/>
        </w:numPr>
      </w:pPr>
      <w:r>
        <w:t xml:space="preserve">Zxx</w:t>
      </w:r>
    </w:p>
    <w:p>
      <w:pPr>
        <w:pStyle w:val="Compact"/>
        <w:numPr>
          <w:ilvl w:val="0"/>
          <w:numId w:val="1007"/>
        </w:numPr>
      </w:pPr>
      <w:r>
        <w:t xml:space="preserve">Zxy</w:t>
      </w:r>
    </w:p>
    <w:p>
      <w:pPr>
        <w:pStyle w:val="Compact"/>
        <w:numPr>
          <w:ilvl w:val="0"/>
          <w:numId w:val="1007"/>
        </w:numPr>
      </w:pPr>
      <w:r>
        <w:t xml:space="preserve">Zyx</w:t>
      </w:r>
    </w:p>
    <w:p>
      <w:pPr>
        <w:pStyle w:val="Compact"/>
        <w:numPr>
          <w:ilvl w:val="0"/>
          <w:numId w:val="1007"/>
        </w:numPr>
      </w:pPr>
      <w:r>
        <w:t xml:space="preserve">Zyy</w:t>
      </w:r>
    </w:p>
    <w:p>
      <w:pPr>
        <w:pStyle w:val="FirstParagraph"/>
      </w:pPr>
      <w:r>
        <w:t xml:space="preserve">Calculated uncertainty values are displayed as error bars when available.</w:t>
      </w:r>
    </w:p>
    <w:p>
      <w:pPr>
        <w:pStyle w:val="BodyText"/>
      </w:pPr>
      <w:r>
        <w:t xml:space="preserve">Plots can also be exported as 300-dpi PNG files.</w:t>
      </w:r>
    </w:p>
    <w:bookmarkEnd w:id="45"/>
    <w:bookmarkStart w:id="46" w:name="time-series-preview"/>
    <w:p>
      <w:pPr>
        <w:pStyle w:val="Heading3"/>
      </w:pPr>
      <w:r>
        <w:t xml:space="preserve">Time-series Preview</w:t>
      </w:r>
    </w:p>
    <w:p>
      <w:pPr>
        <w:pStyle w:val="FirstParagraph"/>
      </w:pPr>
      <w:r>
        <w:t xml:space="preserve">Displays a preview of the input time-series data, including sample index and time when the sampling frequency is known.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basic-gui-workflow"/>
    <w:p>
      <w:pPr>
        <w:pStyle w:val="Heading1"/>
      </w:pPr>
      <w:r>
        <w:t xml:space="preserve">10. Basic GUI Workflow</w:t>
      </w:r>
    </w:p>
    <w:p>
      <w:pPr>
        <w:pStyle w:val="FirstParagraph"/>
      </w:pPr>
      <w:r>
        <w:t xml:space="preserve">A typical GUI workflow is:</w:t>
      </w:r>
    </w:p>
    <w:p>
      <w:pPr>
        <w:pStyle w:val="Compact"/>
        <w:numPr>
          <w:ilvl w:val="0"/>
          <w:numId w:val="1008"/>
        </w:numPr>
      </w:pPr>
      <w:r>
        <w:t xml:space="preserve">Start pyTRACMT.</w:t>
      </w:r>
    </w:p>
    <w:p>
      <w:pPr>
        <w:pStyle w:val="Compact"/>
        <w:numPr>
          <w:ilvl w:val="0"/>
          <w:numId w:val="1008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Parameter Builder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8"/>
        </w:numPr>
      </w:pPr>
      <w:r>
        <w:t xml:space="preserve">Specify the sampling frequency.</w:t>
      </w:r>
    </w:p>
    <w:p>
      <w:pPr>
        <w:pStyle w:val="Compact"/>
        <w:numPr>
          <w:ilvl w:val="0"/>
          <w:numId w:val="1008"/>
        </w:numPr>
      </w:pPr>
      <w:r>
        <w:t xml:space="preserve">Select the Ex, Ey, Hx, and Hy time-series files.</w:t>
      </w:r>
    </w:p>
    <w:p>
      <w:pPr>
        <w:pStyle w:val="Compact"/>
        <w:numPr>
          <w:ilvl w:val="0"/>
          <w:numId w:val="1008"/>
        </w:numPr>
      </w:pPr>
      <w:r>
        <w:t xml:space="preserve">Select remote-reference Hx and Hy files.</w:t>
      </w:r>
    </w:p>
    <w:p>
      <w:pPr>
        <w:pStyle w:val="Compact"/>
        <w:numPr>
          <w:ilvl w:val="0"/>
          <w:numId w:val="1008"/>
        </w:numPr>
      </w:pPr>
      <w:r>
        <w:t xml:space="preserve">Select the processing procedure.</w:t>
      </w:r>
    </w:p>
    <w:p>
      <w:pPr>
        <w:pStyle w:val="Compact"/>
        <w:numPr>
          <w:ilvl w:val="0"/>
          <w:numId w:val="1008"/>
        </w:numPr>
      </w:pPr>
      <w:r>
        <w:t xml:space="preserve">Configure robust estimators and uncertainty estimation.</w:t>
      </w:r>
    </w:p>
    <w:p>
      <w:pPr>
        <w:pStyle w:val="Compact"/>
        <w:numPr>
          <w:ilvl w:val="0"/>
          <w:numId w:val="1008"/>
        </w:numPr>
      </w:pPr>
      <w:r>
        <w:t xml:space="preserve">Configure segment lengths and frequency indices.</w:t>
      </w:r>
    </w:p>
    <w:p>
      <w:pPr>
        <w:pStyle w:val="Compact"/>
        <w:numPr>
          <w:ilvl w:val="0"/>
          <w:numId w:val="1008"/>
        </w:numPr>
      </w:pPr>
      <w:r>
        <w:t xml:space="preserve">Enable preprocessing options if required.</w:t>
      </w:r>
    </w:p>
    <w:p>
      <w:pPr>
        <w:pStyle w:val="Compact"/>
        <w:numPr>
          <w:ilvl w:val="0"/>
          <w:numId w:val="1008"/>
        </w:numPr>
      </w:pPr>
      <w:r>
        <w:t xml:space="preserve">Specify calibration files when sensor calibration is required.</w:t>
      </w:r>
    </w:p>
    <w:p>
      <w:pPr>
        <w:pStyle w:val="Compact"/>
        <w:numPr>
          <w:ilvl w:val="0"/>
          <w:numId w:val="1008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param.dat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Review the generated configuration in the</w:t>
      </w:r>
      <w:r>
        <w:t xml:space="preserve"> </w:t>
      </w:r>
      <w:r>
        <w:rPr>
          <w:b/>
          <w:bCs/>
        </w:rPr>
        <w:t xml:space="preserve">param.dat Content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8"/>
        </w:numPr>
      </w:pPr>
      <w:r>
        <w:t xml:space="preserve">Select the output directory.</w:t>
      </w:r>
    </w:p>
    <w:p>
      <w:pPr>
        <w:pStyle w:val="Compact"/>
        <w:numPr>
          <w:ilvl w:val="0"/>
          <w:numId w:val="1008"/>
        </w:numPr>
      </w:pPr>
      <w:r>
        <w:t xml:space="preserve">Run the calculation.</w:t>
      </w:r>
    </w:p>
    <w:p>
      <w:pPr>
        <w:pStyle w:val="Compact"/>
        <w:numPr>
          <w:ilvl w:val="0"/>
          <w:numId w:val="1008"/>
        </w:numPr>
      </w:pPr>
      <w:r>
        <w:t xml:space="preserve">Monitor processing in 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8"/>
        </w:numPr>
      </w:pPr>
      <w:r>
        <w:t xml:space="preserve">Inspect transfer functions in</w:t>
      </w:r>
      <w:r>
        <w:t xml:space="preserve"> </w:t>
      </w:r>
      <w:r>
        <w:rPr>
          <w:b/>
          <w:bCs/>
        </w:rPr>
        <w:t xml:space="preserve">Response Functions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Inspect apparent resistivity and phase in</w:t>
      </w:r>
      <w:r>
        <w:t xml:space="preserve"> </w:t>
      </w:r>
      <w:r>
        <w:rPr>
          <w:b/>
          <w:bCs/>
        </w:rPr>
        <w:t xml:space="preserve">ρa / Phase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Visualize results in</w:t>
      </w:r>
      <w:r>
        <w:t xml:space="preserve"> </w:t>
      </w:r>
      <w:r>
        <w:rPr>
          <w:b/>
          <w:bCs/>
        </w:rPr>
        <w:t xml:space="preserve">Plots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Review input data in</w:t>
      </w:r>
      <w:r>
        <w:t xml:space="preserve"> </w:t>
      </w:r>
      <w:r>
        <w:rPr>
          <w:b/>
          <w:bCs/>
        </w:rPr>
        <w:t xml:space="preserve">Time-series Preview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Export the resulting CSV, EDI, and figure files.</w:t>
      </w:r>
    </w:p>
    <w:p>
      <w:r>
        <w:pict>
          <v:rect style="width:0;height:1.5pt" o:hralign="center" o:hrstd="t" o:hr="t"/>
        </w:pict>
      </w:r>
    </w:p>
    <w:bookmarkEnd w:id="48"/>
    <w:bookmarkStart w:id="49" w:name="input-data-requirements"/>
    <w:p>
      <w:pPr>
        <w:pStyle w:val="Heading1"/>
      </w:pPr>
      <w:r>
        <w:t xml:space="preserve">11. Input Data Requirements</w:t>
      </w:r>
    </w:p>
    <w:p>
      <w:pPr>
        <w:pStyle w:val="FirstParagraph"/>
      </w:pPr>
      <w:r>
        <w:t xml:space="preserve">The standard MT channel order is:</w:t>
      </w:r>
    </w:p>
    <w:p>
      <w:pPr>
        <w:pStyle w:val="Compact"/>
        <w:numPr>
          <w:ilvl w:val="0"/>
          <w:numId w:val="1009"/>
        </w:numPr>
      </w:pPr>
      <w:r>
        <w:t xml:space="preserve">Ex</w:t>
      </w:r>
    </w:p>
    <w:p>
      <w:pPr>
        <w:pStyle w:val="Compact"/>
        <w:numPr>
          <w:ilvl w:val="0"/>
          <w:numId w:val="1009"/>
        </w:numPr>
      </w:pPr>
      <w:r>
        <w:t xml:space="preserve">Ey</w:t>
      </w:r>
    </w:p>
    <w:p>
      <w:pPr>
        <w:pStyle w:val="Compact"/>
        <w:numPr>
          <w:ilvl w:val="0"/>
          <w:numId w:val="1009"/>
        </w:numPr>
      </w:pPr>
      <w:r>
        <w:t xml:space="preserve">Hx</w:t>
      </w:r>
    </w:p>
    <w:p>
      <w:pPr>
        <w:pStyle w:val="Compact"/>
        <w:numPr>
          <w:ilvl w:val="0"/>
          <w:numId w:val="1009"/>
        </w:numPr>
      </w:pPr>
      <w:r>
        <w:t xml:space="preserve">Hy</w:t>
      </w:r>
    </w:p>
    <w:p>
      <w:pPr>
        <w:pStyle w:val="Compact"/>
        <w:numPr>
          <w:ilvl w:val="0"/>
          <w:numId w:val="1009"/>
        </w:numPr>
      </w:pPr>
      <w:r>
        <w:t xml:space="preserve">Remote-reference Hx</w:t>
      </w:r>
    </w:p>
    <w:p>
      <w:pPr>
        <w:pStyle w:val="Compact"/>
        <w:numPr>
          <w:ilvl w:val="0"/>
          <w:numId w:val="1009"/>
        </w:numPr>
      </w:pPr>
      <w:r>
        <w:t xml:space="preserve">Remote-reference Hy</w:t>
      </w:r>
    </w:p>
    <w:p>
      <w:pPr>
        <w:pStyle w:val="FirstParagraph"/>
      </w:pPr>
      <w:r>
        <w:t xml:space="preserve">The current RR/RRMS workflow requires the two remote-reference magnetic channels.</w:t>
      </w:r>
    </w:p>
    <w:p>
      <w:pPr>
        <w:pStyle w:val="BodyText"/>
      </w:pPr>
      <w:r>
        <w:t xml:space="preserve">The exact number of channels is determined from:</w:t>
      </w:r>
    </w:p>
    <w:p>
      <w:pPr>
        <w:pStyle w:val="SourceCode"/>
      </w:pPr>
      <w:r>
        <w:rPr>
          <w:rStyle w:val="VerbatimChar"/>
        </w:rPr>
        <w:t xml:space="preserve">NUM_OUT + NUM_INPUT + NUM_RR</w:t>
      </w:r>
    </w:p>
    <w:p>
      <w:pPr>
        <w:pStyle w:val="FirstParagraph"/>
      </w:pPr>
      <w:r>
        <w:t xml:space="preserve">For standard MT processing, this normally corresponds to two electric outputs, two local magnetic inputs, and two remote-reference magnetic channels.</w:t>
      </w:r>
    </w:p>
    <w:p>
      <w:r>
        <w:pict>
          <v:rect style="width:0;height:1.5pt" o:hralign="center" o:hrstd="t" o:hr="t"/>
        </w:pict>
      </w:r>
    </w:p>
    <w:bookmarkEnd w:id="49"/>
    <w:bookmarkStart w:id="50" w:name="supported-time-series-files"/>
    <w:p>
      <w:pPr>
        <w:pStyle w:val="Heading1"/>
      </w:pPr>
      <w:r>
        <w:t xml:space="preserve">12. Supported Time-Series Files</w:t>
      </w:r>
    </w:p>
    <w:p>
      <w:pPr>
        <w:pStyle w:val="FirstParagraph"/>
      </w:pPr>
      <w:r>
        <w:t xml:space="preserve">pyTRACMT supports numeric time-series data stored in files such as:</w:t>
      </w:r>
    </w:p>
    <w:p>
      <w:pPr>
        <w:pStyle w:val="Compact"/>
        <w:numPr>
          <w:ilvl w:val="0"/>
          <w:numId w:val="1010"/>
        </w:numPr>
      </w:pPr>
      <w:r>
        <w:t xml:space="preserve">TXT</w:t>
      </w:r>
    </w:p>
    <w:p>
      <w:pPr>
        <w:pStyle w:val="Compact"/>
        <w:numPr>
          <w:ilvl w:val="0"/>
          <w:numId w:val="1010"/>
        </w:numPr>
      </w:pPr>
      <w:r>
        <w:t xml:space="preserve">DAT</w:t>
      </w:r>
    </w:p>
    <w:p>
      <w:pPr>
        <w:pStyle w:val="Compact"/>
        <w:numPr>
          <w:ilvl w:val="0"/>
          <w:numId w:val="1010"/>
        </w:numPr>
      </w:pPr>
      <w:r>
        <w:t xml:space="preserve">CSV</w:t>
      </w:r>
    </w:p>
    <w:p>
      <w:pPr>
        <w:pStyle w:val="FirstParagraph"/>
      </w:pPr>
      <w:r>
        <w:t xml:space="preserve">Files may contain headers and multiple columns.</w:t>
      </w:r>
    </w:p>
    <w:p>
      <w:pPr>
        <w:pStyle w:val="BodyText"/>
      </w:pPr>
      <w:r>
        <w:t xml:space="preserve">When multiple numeric columns are present, the current reader uses the</w:t>
      </w:r>
      <w:r>
        <w:t xml:space="preserve"> </w:t>
      </w:r>
      <w:r>
        <w:rPr>
          <w:b/>
          <w:bCs/>
        </w:rPr>
        <w:t xml:space="preserve">last valid numeric column</w:t>
      </w:r>
      <w:r>
        <w:t xml:space="preserve"> </w:t>
      </w:r>
      <w:r>
        <w:t xml:space="preserve">as the channel data. Therefore, separate channel files are recommended unless the input format has been carefully checked.</w:t>
      </w:r>
    </w:p>
    <w:p>
      <w:pPr>
        <w:pStyle w:val="BodyText"/>
      </w:pPr>
      <w:r>
        <w:t xml:space="preserve">The program also supports file paths containing spaces, including Windows paths.</w:t>
      </w:r>
    </w:p>
    <w:p>
      <w:r>
        <w:pict>
          <v:rect style="width:0;height:1.5pt" o:hralign="center" o:hrstd="t" o:hr="t"/>
        </w:pict>
      </w:r>
    </w:p>
    <w:bookmarkEnd w:id="50"/>
    <w:bookmarkStart w:id="51" w:name="parameter-file"/>
    <w:p>
      <w:pPr>
        <w:pStyle w:val="Heading1"/>
      </w:pPr>
      <w:r>
        <w:t xml:space="preserve">13. Parameter File</w:t>
      </w:r>
    </w:p>
    <w:p>
      <w:pPr>
        <w:pStyle w:val="FirstParagraph"/>
      </w:pPr>
      <w:r>
        <w:t xml:space="preserve">pyTRACMT uses a TRACMT-style parameter file, conventionally named:</w:t>
      </w:r>
    </w:p>
    <w:p>
      <w:pPr>
        <w:pStyle w:val="SourceCode"/>
      </w:pPr>
      <w:r>
        <w:rPr>
          <w:rStyle w:val="VerbatimChar"/>
        </w:rPr>
        <w:t xml:space="preserve">param.dat</w:t>
      </w:r>
    </w:p>
    <w:p>
      <w:pPr>
        <w:pStyle w:val="FirstParagraph"/>
      </w:pPr>
      <w:r>
        <w:t xml:space="preserve">The current implementation recognizes settings including:</w:t>
      </w:r>
    </w:p>
    <w:p>
      <w:pPr>
        <w:pStyle w:val="SourceCode"/>
      </w:pPr>
      <w:r>
        <w:rPr>
          <w:rStyle w:val="VerbatimChar"/>
        </w:rPr>
        <w:t xml:space="preserve">NUM_OUT</w:t>
      </w:r>
      <w:r>
        <w:br/>
      </w:r>
      <w:r>
        <w:rPr>
          <w:rStyle w:val="VerbatimChar"/>
        </w:rPr>
        <w:t xml:space="preserve">NUM_RR</w:t>
      </w:r>
      <w:r>
        <w:br/>
      </w:r>
      <w:r>
        <w:rPr>
          <w:rStyle w:val="VerbatimChar"/>
        </w:rPr>
        <w:t xml:space="preserve">SAMPLING_FREQ</w:t>
      </w:r>
      <w:r>
        <w:br/>
      </w:r>
      <w:r>
        <w:rPr>
          <w:rStyle w:val="VerbatimChar"/>
        </w:rPr>
        <w:t xml:space="preserve">NUM_THREADS</w:t>
      </w:r>
      <w:r>
        <w:br/>
      </w:r>
      <w:r>
        <w:rPr>
          <w:rStyle w:val="VerbatimChar"/>
        </w:rPr>
        <w:t xml:space="preserve">NUM_SECTION</w:t>
      </w:r>
      <w:r>
        <w:br/>
      </w:r>
      <w:r>
        <w:rPr>
          <w:rStyle w:val="VerbatimChar"/>
        </w:rPr>
        <w:t xml:space="preserve">DATA_FILES</w:t>
      </w:r>
      <w:r>
        <w:br/>
      </w:r>
      <w:r>
        <w:rPr>
          <w:rStyle w:val="VerbatimChar"/>
        </w:rPr>
        <w:t xml:space="preserve">SEGMENT</w:t>
      </w:r>
      <w:r>
        <w:br/>
      </w:r>
      <w:r>
        <w:rPr>
          <w:rStyle w:val="VerbatimChar"/>
        </w:rPr>
        <w:t xml:space="preserve">OVERLAP</w:t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RRMS</w:t>
      </w:r>
      <w:r>
        <w:br/>
      </w:r>
      <w:r>
        <w:rPr>
          <w:rStyle w:val="VerbatimChar"/>
        </w:rPr>
        <w:t xml:space="preserve">MESTIMATORS</w:t>
      </w:r>
      <w:r>
        <w:br/>
      </w:r>
      <w:r>
        <w:rPr>
          <w:rStyle w:val="VerbatimChar"/>
        </w:rPr>
        <w:t xml:space="preserve">HUBER</w:t>
      </w:r>
      <w:r>
        <w:br/>
      </w:r>
      <w:r>
        <w:rPr>
          <w:rStyle w:val="VerbatimChar"/>
        </w:rPr>
        <w:t xml:space="preserve">THOMSON</w:t>
      </w:r>
      <w:r>
        <w:br/>
      </w:r>
      <w:r>
        <w:rPr>
          <w:rStyle w:val="VerbatimChar"/>
        </w:rPr>
        <w:t xml:space="preserve">TUKEYS_BIWEIGHTS</w:t>
      </w:r>
      <w:r>
        <w:br/>
      </w:r>
      <w:r>
        <w:rPr>
          <w:rStyle w:val="VerbatimChar"/>
        </w:rPr>
        <w:t xml:space="preserve">ERROR_ESTIMATION</w:t>
      </w:r>
      <w:r>
        <w:br/>
      </w:r>
      <w:r>
        <w:rPr>
          <w:rStyle w:val="VerbatimChar"/>
        </w:rPr>
        <w:t xml:space="preserve">BOOTSTRAP</w:t>
      </w:r>
      <w:r>
        <w:br/>
      </w:r>
      <w:r>
        <w:rPr>
          <w:rStyle w:val="VerbatimChar"/>
        </w:rPr>
        <w:t xml:space="preserve">PREWHITENING</w:t>
      </w:r>
      <w:r>
        <w:br/>
      </w:r>
      <w:r>
        <w:rPr>
          <w:rStyle w:val="VerbatimChar"/>
        </w:rPr>
        <w:t xml:space="preserve">ROBUST_FILTER</w:t>
      </w:r>
      <w:r>
        <w:br/>
      </w:r>
      <w:r>
        <w:rPr>
          <w:rStyle w:val="VerbatimChar"/>
        </w:rPr>
        <w:t xml:space="preserve">COHERENCE_CRITERIA</w:t>
      </w:r>
      <w:r>
        <w:br/>
      </w:r>
      <w:r>
        <w:rPr>
          <w:rStyle w:val="VerbatimChar"/>
        </w:rPr>
        <w:t xml:space="preserve">CAL_FILES</w:t>
      </w:r>
      <w:r>
        <w:br/>
      </w:r>
      <w:r>
        <w:rPr>
          <w:rStyle w:val="VerbatimChar"/>
        </w:rPr>
        <w:t xml:space="preserve">HIGH_PASS</w:t>
      </w:r>
      <w:r>
        <w:br/>
      </w:r>
      <w:r>
        <w:rPr>
          <w:rStyle w:val="VerbatimChar"/>
        </w:rPr>
        <w:t xml:space="preserve">LOW_PASS</w:t>
      </w:r>
      <w:r>
        <w:br/>
      </w:r>
      <w:r>
        <w:rPr>
          <w:rStyle w:val="VerbatimChar"/>
        </w:rPr>
        <w:t xml:space="preserve">NOTCH</w:t>
      </w:r>
      <w:r>
        <w:br/>
      </w:r>
      <w:r>
        <w:rPr>
          <w:rStyle w:val="VerbatimChar"/>
        </w:rPr>
        <w:t xml:space="preserve">NOTCH_PARAM_Q</w:t>
      </w:r>
      <w:r>
        <w:br/>
      </w:r>
      <w:r>
        <w:rPr>
          <w:rStyle w:val="VerbatimChar"/>
        </w:rPr>
        <w:t xml:space="preserve">ROTATION</w:t>
      </w:r>
      <w:r>
        <w:br/>
      </w:r>
      <w:r>
        <w:rPr>
          <w:rStyle w:val="VerbatimChar"/>
        </w:rPr>
        <w:t xml:space="preserve">AZIMUTH</w:t>
      </w:r>
      <w:r>
        <w:br/>
      </w:r>
      <w:r>
        <w:rPr>
          <w:rStyle w:val="VerbatimChar"/>
        </w:rPr>
        <w:t xml:space="preserve">START_TIMES</w:t>
      </w:r>
      <w:r>
        <w:br/>
      </w:r>
      <w:r>
        <w:rPr>
          <w:rStyle w:val="VerbatimChar"/>
        </w:rPr>
        <w:t xml:space="preserve">OUTPUT_RHOA_PHS</w:t>
      </w:r>
      <w:r>
        <w:br/>
      </w:r>
      <w:r>
        <w:rPr>
          <w:rStyle w:val="VerbatimChar"/>
        </w:rPr>
        <w:t xml:space="preserve">OUTPUT_EDI</w:t>
      </w:r>
      <w:r>
        <w:br/>
      </w:r>
      <w:r>
        <w:rPr>
          <w:rStyle w:val="VerbatimChar"/>
        </w:rPr>
        <w:t xml:space="preserve">OUTPUT_LEVEL</w:t>
      </w:r>
    </w:p>
    <w:p>
      <w:pPr>
        <w:pStyle w:val="FirstParagraph"/>
      </w:pPr>
      <w:r>
        <w:t xml:space="preserve">The GUI can generate the parameter file automatically, reducing the need for manual editing.</w:t>
      </w:r>
    </w:p>
    <w:p>
      <w:r>
        <w:pict>
          <v:rect style="width:0;height:1.5pt" o:hralign="center" o:hrstd="t" o:hr="t"/>
        </w:pict>
      </w:r>
    </w:p>
    <w:bookmarkEnd w:id="51"/>
    <w:bookmarkStart w:id="55" w:name="processing-procedures"/>
    <w:p>
      <w:pPr>
        <w:pStyle w:val="Heading1"/>
      </w:pPr>
      <w:r>
        <w:t xml:space="preserve">14. Processing Procedures</w:t>
      </w:r>
    </w:p>
    <w:bookmarkStart w:id="52" w:name="procedure-0-ordinary-remote-reference"/>
    <w:p>
      <w:pPr>
        <w:pStyle w:val="Heading2"/>
      </w:pPr>
      <w:r>
        <w:t xml:space="preserve">PROCEDURE 0 — Ordinary Remote Reference</w:t>
      </w:r>
    </w:p>
    <w:p>
      <w:pPr>
        <w:pStyle w:val="SourceCode"/>
      </w:pP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Performs ordinary remote-reference transfer-function estimation.</w:t>
      </w:r>
    </w:p>
    <w:p>
      <w:pPr>
        <w:pStyle w:val="BodyText"/>
      </w:pPr>
      <w:r>
        <w:t xml:space="preserve">Robust M-estimation can optionally be applied through sequential M-estimators.</w:t>
      </w:r>
    </w:p>
    <w:p>
      <w:pPr>
        <w:pStyle w:val="BodyText"/>
      </w:pPr>
      <w:r>
        <w:t xml:space="preserve">The available robust estimators include:</w:t>
      </w:r>
    </w:p>
    <w:p>
      <w:pPr>
        <w:pStyle w:val="Compact"/>
        <w:numPr>
          <w:ilvl w:val="0"/>
          <w:numId w:val="1011"/>
        </w:numPr>
      </w:pPr>
      <w:r>
        <w:t xml:space="preserve">None</w:t>
      </w:r>
    </w:p>
    <w:p>
      <w:pPr>
        <w:pStyle w:val="Compact"/>
        <w:numPr>
          <w:ilvl w:val="0"/>
          <w:numId w:val="1011"/>
        </w:numPr>
      </w:pPr>
      <w:r>
        <w:t xml:space="preserve">Huber</w:t>
      </w:r>
    </w:p>
    <w:p>
      <w:pPr>
        <w:pStyle w:val="Compact"/>
        <w:numPr>
          <w:ilvl w:val="0"/>
          <w:numId w:val="1011"/>
        </w:numPr>
      </w:pPr>
      <w:r>
        <w:t xml:space="preserve">Tukey biweight</w:t>
      </w:r>
    </w:p>
    <w:p>
      <w:pPr>
        <w:pStyle w:val="Compact"/>
        <w:numPr>
          <w:ilvl w:val="0"/>
          <w:numId w:val="1011"/>
        </w:numPr>
      </w:pPr>
      <w:r>
        <w:t xml:space="preserve">Thomson</w:t>
      </w:r>
    </w:p>
    <w:p>
      <w:pPr>
        <w:pStyle w:val="FirstParagraph"/>
      </w:pPr>
      <w:r>
        <w:t xml:space="preserve">This procedure provides the simplest starting point for verifying a dataset.</w:t>
      </w:r>
    </w:p>
    <w:p>
      <w:r>
        <w:pict>
          <v:rect style="width:0;height:1.5pt" o:hralign="center" o:hrstd="t" o:hr="t"/>
        </w:pict>
      </w:r>
    </w:p>
    <w:bookmarkEnd w:id="52"/>
    <w:bookmarkStart w:id="53" w:name="procedure-1-rrms"/>
    <w:p>
      <w:pPr>
        <w:pStyle w:val="Heading2"/>
      </w:pPr>
      <w:r>
        <w:t xml:space="preserve">PROCEDURE 1 — RRMS</w:t>
      </w:r>
    </w:p>
    <w:p>
      <w:pPr>
        <w:pStyle w:val="SourceCode"/>
      </w:pP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Performs robust multivariate remote-reference regression using an RRMS-style framework.</w:t>
      </w:r>
    </w:p>
    <w:p>
      <w:pPr>
        <w:pStyle w:val="BodyText"/>
      </w:pPr>
      <w:r>
        <w:t xml:space="preserve">The implementation includes Fast-S-based robust initialization and iterative robust estimation designed to follow the TRACMT processing methodology.</w:t>
      </w:r>
    </w:p>
    <w:p>
      <w:pPr>
        <w:pStyle w:val="BodyText"/>
      </w:pPr>
      <w:r>
        <w:t xml:space="preserve">RRMS is generally preferable when the spectral data contain significant outliers or non-Gaussian noise.</w:t>
      </w:r>
    </w:p>
    <w:p>
      <w:r>
        <w:pict>
          <v:rect style="width:0;height:1.5pt" o:hralign="center" o:hrstd="t" o:hr="t"/>
        </w:pict>
      </w:r>
    </w:p>
    <w:bookmarkEnd w:id="53"/>
    <w:bookmarkStart w:id="54" w:name="procedure-2-modified-rrms"/>
    <w:p>
      <w:pPr>
        <w:pStyle w:val="Heading2"/>
      </w:pPr>
      <w:r>
        <w:t xml:space="preserve">PROCEDURE 2 — Modified RRMS</w:t>
      </w:r>
    </w:p>
    <w:p>
      <w:pPr>
        <w:pStyle w:val="SourceCode"/>
      </w:pP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Performs the modified multivariate regression workflow implemented in pyTRACMT.</w:t>
      </w:r>
    </w:p>
    <w:p>
      <w:pPr>
        <w:pStyle w:val="BodyText"/>
      </w:pPr>
      <w:r>
        <w:t xml:space="preserve">This option provides an alternative robust multivariate processing strategy for comparison with standard RR and RRMS results.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m-estimators"/>
    <w:p>
      <w:pPr>
        <w:pStyle w:val="Heading1"/>
      </w:pPr>
      <w:r>
        <w:t xml:space="preserve">15. M-Estimators</w:t>
      </w:r>
    </w:p>
    <w:p>
      <w:pPr>
        <w:pStyle w:val="FirstParagraph"/>
      </w:pPr>
      <w:r>
        <w:t xml:space="preserve">For ordinary RR processing, pyTRACMT supports sequential M-estimation.</w:t>
      </w:r>
    </w:p>
    <w:p>
      <w:pPr>
        <w:pStyle w:val="BodyText"/>
      </w:pPr>
      <w:r>
        <w:t xml:space="preserve">The available choices include:</w:t>
      </w:r>
    </w:p>
    <w:p>
      <w:pPr>
        <w:pStyle w:val="Compact"/>
        <w:numPr>
          <w:ilvl w:val="0"/>
          <w:numId w:val="1012"/>
        </w:numPr>
      </w:pPr>
      <w:r>
        <w:t xml:space="preserve">None</w:t>
      </w:r>
    </w:p>
    <w:p>
      <w:pPr>
        <w:pStyle w:val="Compact"/>
        <w:numPr>
          <w:ilvl w:val="0"/>
          <w:numId w:val="1012"/>
        </w:numPr>
      </w:pPr>
      <w:r>
        <w:t xml:space="preserve">Huber</w:t>
      </w:r>
    </w:p>
    <w:p>
      <w:pPr>
        <w:pStyle w:val="Compact"/>
        <w:numPr>
          <w:ilvl w:val="0"/>
          <w:numId w:val="1012"/>
        </w:numPr>
      </w:pPr>
      <w:r>
        <w:t xml:space="preserve">Tukey biweight</w:t>
      </w:r>
    </w:p>
    <w:p>
      <w:pPr>
        <w:pStyle w:val="Compact"/>
        <w:numPr>
          <w:ilvl w:val="0"/>
          <w:numId w:val="1012"/>
        </w:numPr>
      </w:pPr>
      <w:r>
        <w:t xml:space="preserve">Thomson</w:t>
      </w:r>
    </w:p>
    <w:p>
      <w:pPr>
        <w:pStyle w:val="FirstParagraph"/>
      </w:pPr>
      <w:r>
        <w:t xml:space="preserve">A common robust sequence is:</w:t>
      </w:r>
    </w:p>
    <w:p>
      <w:pPr>
        <w:pStyle w:val="SourceCode"/>
      </w:pPr>
      <w:r>
        <w:rPr>
          <w:rStyle w:val="VerbatimChar"/>
        </w:rPr>
        <w:t xml:space="preserve">Huber → Tukey</w:t>
      </w:r>
    </w:p>
    <w:p>
      <w:pPr>
        <w:pStyle w:val="FirstParagraph"/>
      </w:pPr>
      <w:r>
        <w:t xml:space="preserve">Huber weighting initially suppresses large residuals while retaining relatively high statistical efficiency, after which Tukey biweight provides stronger rejection of remaining outliers.</w:t>
      </w:r>
    </w:p>
    <w:p>
      <w:pPr>
        <w:pStyle w:val="BodyText"/>
      </w:pPr>
      <w:r>
        <w:t xml:space="preserve">Version 11 contains the complete TRACMT Tukey biweight parameter table and follows the corresponding TRACMT interpolation and scale-update procedure.</w:t>
      </w:r>
    </w:p>
    <w:p>
      <w:r>
        <w:pict>
          <v:rect style="width:0;height:1.5pt" o:hralign="center" o:hrstd="t" o:hr="t"/>
        </w:pict>
      </w:r>
    </w:p>
    <w:bookmarkEnd w:id="56"/>
    <w:bookmarkStart w:id="62" w:name="error-and-uncertainty-estimation"/>
    <w:p>
      <w:pPr>
        <w:pStyle w:val="Heading1"/>
      </w:pPr>
      <w:r>
        <w:t xml:space="preserve">16. Error and Uncertainty Estimation</w:t>
      </w:r>
    </w:p>
    <w:p>
      <w:pPr>
        <w:pStyle w:val="FirstParagraph"/>
      </w:pPr>
      <w:r>
        <w:t xml:space="preserve">The current implementation supports five uncertainty-estimation modes:</w:t>
      </w:r>
    </w:p>
    <w:bookmarkStart w:id="57" w:name="mode-0-parametric"/>
    <w:p>
      <w:pPr>
        <w:pStyle w:val="Heading3"/>
      </w:pPr>
      <w:r>
        <w:t xml:space="preserve">Mode 0 — Parametric</w:t>
      </w:r>
    </w:p>
    <w:p>
      <w:pPr>
        <w:pStyle w:val="FirstParagraph"/>
      </w:pPr>
      <w:r>
        <w:t xml:space="preserve">Covariance-based parametric uncertainty estimation.</w:t>
      </w:r>
    </w:p>
    <w:bookmarkEnd w:id="57"/>
    <w:bookmarkStart w:id="58" w:name="mode-1-fixed-weights-bootstrap"/>
    <w:p>
      <w:pPr>
        <w:pStyle w:val="Heading3"/>
      </w:pPr>
      <w:r>
        <w:t xml:space="preserve">Mode 1 — Fixed-Weights Bootstrap</w:t>
      </w:r>
    </w:p>
    <w:p>
      <w:pPr>
        <w:pStyle w:val="FirstParagraph"/>
      </w:pPr>
      <w:r>
        <w:t xml:space="preserve">Bootstrap resampling while retaining the robust weights obtained from the original solution.</w:t>
      </w:r>
    </w:p>
    <w:p>
      <w:pPr>
        <w:pStyle w:val="BodyText"/>
      </w:pPr>
      <w:r>
        <w:t xml:space="preserve">This is useful for robust ordinary-RR processing when the estimator itself does not need to be refitted during every bootstrap realization.</w:t>
      </w:r>
    </w:p>
    <w:bookmarkEnd w:id="58"/>
    <w:bookmarkStart w:id="59" w:name="mode-2-jackknife"/>
    <w:p>
      <w:pPr>
        <w:pStyle w:val="Heading3"/>
      </w:pPr>
      <w:r>
        <w:t xml:space="preserve">Mode 2 — Jackknife</w:t>
      </w:r>
    </w:p>
    <w:p>
      <w:pPr>
        <w:pStyle w:val="FirstParagraph"/>
      </w:pPr>
      <w:r>
        <w:t xml:space="preserve">Estimates uncertainty using jackknife resampling.</w:t>
      </w:r>
    </w:p>
    <w:bookmarkEnd w:id="59"/>
    <w:bookmarkStart w:id="60" w:name="mode-3-robust-bootstrap"/>
    <w:p>
      <w:pPr>
        <w:pStyle w:val="Heading3"/>
      </w:pPr>
      <w:r>
        <w:t xml:space="preserve">Mode 3 — Robust Bootstrap</w:t>
      </w:r>
    </w:p>
    <w:p>
      <w:pPr>
        <w:pStyle w:val="FirstParagraph"/>
      </w:pPr>
      <w:r>
        <w:t xml:space="preserve">Performs bootstrap resampling and reruns the selected robust estimator for each realization.</w:t>
      </w:r>
    </w:p>
    <w:bookmarkEnd w:id="60"/>
    <w:bookmarkStart w:id="61" w:name="mode-4-strict-bootstrap"/>
    <w:p>
      <w:pPr>
        <w:pStyle w:val="Heading3"/>
      </w:pPr>
      <w:r>
        <w:t xml:space="preserve">Mode 4 — Strict Bootstrap</w:t>
      </w:r>
    </w:p>
    <w:p>
      <w:pPr>
        <w:pStyle w:val="FirstParagraph"/>
      </w:pPr>
      <w:r>
        <w:t xml:space="preserve">Performs a complete refit of the selected processing procedure for every bootstrap realization.</w:t>
      </w:r>
    </w:p>
    <w:p>
      <w:pPr>
        <w:pStyle w:val="BodyText"/>
      </w:pPr>
      <w:r>
        <w:t xml:space="preserve">Modes 3 and 4 are computationally more expensive but more fully represent uncertainty associated with the robust estimation process.</w:t>
      </w:r>
    </w:p>
    <w:p>
      <w:pPr>
        <w:pStyle w:val="BodyText"/>
      </w:pPr>
      <w:r>
        <w:t xml:space="preserve">The program reports uncertainties for impedance and propagates them to apparent resistivity and phase where appropriate.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pectral-processing"/>
    <w:p>
      <w:pPr>
        <w:pStyle w:val="Heading1"/>
      </w:pPr>
      <w:r>
        <w:t xml:space="preserve">17. Spectral Processing</w:t>
      </w:r>
    </w:p>
    <w:p>
      <w:pPr>
        <w:pStyle w:val="FirstParagraph"/>
      </w:pPr>
      <w:r>
        <w:t xml:space="preserve">The time series are divided into overlapping segments according to the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settings.</w:t>
      </w:r>
    </w:p>
    <w:p>
      <w:pPr>
        <w:pStyle w:val="BodyText"/>
      </w:pPr>
      <w:r>
        <w:t xml:space="preserve">Each segment is windowed using a periodic Hann window and transformed to the frequency domain using the FFT.</w:t>
      </w:r>
    </w:p>
    <w:p>
      <w:pPr>
        <w:pStyle w:val="BodyText"/>
      </w:pPr>
      <w:r>
        <w:t xml:space="preserve">Version 11 follows important TRACMT source behavior:</w:t>
      </w:r>
    </w:p>
    <w:p>
      <w:pPr>
        <w:pStyle w:val="Compact"/>
        <w:numPr>
          <w:ilvl w:val="0"/>
          <w:numId w:val="1013"/>
        </w:numPr>
      </w:pPr>
      <w:r>
        <w:t xml:space="preserve">Short sections are zero-padded to the requested segment length.</w:t>
      </w:r>
    </w:p>
    <w:p>
      <w:pPr>
        <w:pStyle w:val="Compact"/>
        <w:numPr>
          <w:ilvl w:val="0"/>
          <w:numId w:val="1013"/>
        </w:numPr>
      </w:pPr>
      <w:r>
        <w:t xml:space="preserve">No additional per-segment demeaning is applied during spectral conversion.</w:t>
      </w:r>
    </w:p>
    <w:p>
      <w:pPr>
        <w:pStyle w:val="Compact"/>
        <w:numPr>
          <w:ilvl w:val="0"/>
          <w:numId w:val="1013"/>
        </w:numPr>
      </w:pPr>
      <w:r>
        <w:t xml:space="preserve">Frequency samples are selected using the specified FFT indices.</w:t>
      </w:r>
    </w:p>
    <w:p>
      <w:pPr>
        <w:pStyle w:val="FirstParagraph"/>
      </w:pPr>
      <w:r>
        <w:t xml:space="preserve">For a segment length (L), sampling frequency (f_s), and FFT index (k), the corresponding frequency is</w:t>
      </w:r>
    </w:p>
    <w:p>
      <w:pPr>
        <w:pStyle w:val="SourceCode"/>
      </w:pPr>
      <w:r>
        <w:rPr>
          <w:rStyle w:val="VerbatimChar"/>
        </w:rPr>
        <w:t xml:space="preserve">f = k × fs / L</w:t>
      </w:r>
    </w:p>
    <w:p>
      <w:r>
        <w:pict>
          <v:rect style="width:0;height:1.5pt" o:hralign="center" o:hrstd="t" o:hr="t"/>
        </w:pict>
      </w:r>
    </w:p>
    <w:bookmarkEnd w:id="63"/>
    <w:bookmarkStart w:id="64" w:name="coherence-based-segment-rejection"/>
    <w:p>
      <w:pPr>
        <w:pStyle w:val="Heading1"/>
      </w:pPr>
      <w:r>
        <w:t xml:space="preserve">18. Coherence-Based Segment Rejection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COHERENCE_CRITERIA</w:t>
      </w:r>
      <w:r>
        <w:t xml:space="preserve"> </w:t>
      </w:r>
      <w:r>
        <w:t xml:space="preserve">option can be used to reject spectral segments with insufficient coherence.</w:t>
      </w:r>
    </w:p>
    <w:p>
      <w:pPr>
        <w:pStyle w:val="BodyText"/>
      </w:pPr>
      <w:r>
        <w:t xml:space="preserve">Version 11 reproduces the ordinary-RR squared-coherence rejection definition used by the TRACMT workflow.</w:t>
      </w:r>
    </w:p>
    <w:p>
      <w:pPr>
        <w:pStyle w:val="BodyText"/>
      </w:pPr>
      <w:r>
        <w:t xml:space="preserve">This can improve transfer-function estimation by removing poorly correlated or strongly contaminated spectral segments.</w:t>
      </w:r>
    </w:p>
    <w:p>
      <w:pPr>
        <w:pStyle w:val="BodyText"/>
      </w:pPr>
      <w:r>
        <w:t xml:space="preserve">Coherence information and rejected-segment statistics are written to the convergence log.</w:t>
      </w:r>
    </w:p>
    <w:p>
      <w:r>
        <w:pict>
          <v:rect style="width:0;height:1.5pt" o:hralign="center" o:hrstd="t" o:hr="t"/>
        </w:pict>
      </w:r>
    </w:p>
    <w:bookmarkEnd w:id="64"/>
    <w:bookmarkStart w:id="65" w:name="robust-filtering"/>
    <w:p>
      <w:pPr>
        <w:pStyle w:val="Heading1"/>
      </w:pPr>
      <w:r>
        <w:t xml:space="preserve">19. Robust Filtering</w:t>
      </w:r>
    </w:p>
    <w:p>
      <w:pPr>
        <w:pStyle w:val="FirstParagraph"/>
      </w:pPr>
      <w:r>
        <w:t xml:space="preserve">The optional</w:t>
      </w:r>
      <w:r>
        <w:t xml:space="preserve"> </w:t>
      </w:r>
      <w:r>
        <w:rPr>
          <w:rStyle w:val="VerbatimChar"/>
        </w:rPr>
        <w:t xml:space="preserve">ROBUST_FILTER</w:t>
      </w:r>
      <w:r>
        <w:t xml:space="preserve"> </w:t>
      </w:r>
      <w:r>
        <w:t xml:space="preserve">procedure is applied in the time domain before spectral analysis.</w:t>
      </w:r>
    </w:p>
    <w:p>
      <w:pPr>
        <w:pStyle w:val="BodyText"/>
      </w:pPr>
      <w:r>
        <w:t xml:space="preserve">It is designed to identify anomalous spikes using robust statistics and replace selected contaminated samples with locally estimated values.</w:t>
      </w:r>
    </w:p>
    <w:p>
      <w:pPr>
        <w:pStyle w:val="BodyText"/>
      </w:pPr>
      <w:r>
        <w:t xml:space="preserve">The filtering parameters control:</w:t>
      </w:r>
    </w:p>
    <w:p>
      <w:pPr>
        <w:pStyle w:val="Compact"/>
        <w:numPr>
          <w:ilvl w:val="0"/>
          <w:numId w:val="1014"/>
        </w:numPr>
      </w:pPr>
      <w:r>
        <w:t xml:space="preserve">Initial rejection threshold</w:t>
      </w:r>
    </w:p>
    <w:p>
      <w:pPr>
        <w:pStyle w:val="Compact"/>
        <w:numPr>
          <w:ilvl w:val="0"/>
          <w:numId w:val="1014"/>
        </w:numPr>
      </w:pPr>
      <w:r>
        <w:t xml:space="preserve">Strong-outlier threshold</w:t>
      </w:r>
    </w:p>
    <w:p>
      <w:pPr>
        <w:pStyle w:val="Compact"/>
        <w:numPr>
          <w:ilvl w:val="0"/>
          <w:numId w:val="1014"/>
        </w:numPr>
      </w:pPr>
      <w:r>
        <w:t xml:space="preserve">Maximum consecutive contaminated samples</w:t>
      </w:r>
    </w:p>
    <w:p>
      <w:pPr>
        <w:pStyle w:val="FirstParagraph"/>
      </w:pPr>
      <w:r>
        <w:t xml:space="preserve">Robust filtering should be used carefully because excessive filtering can modify genuine MT signals.</w:t>
      </w:r>
    </w:p>
    <w:p>
      <w:r>
        <w:pict>
          <v:rect style="width:0;height:1.5pt" o:hralign="center" o:hrstd="t" o:hr="t"/>
        </w:pict>
      </w:r>
    </w:p>
    <w:bookmarkEnd w:id="65"/>
    <w:bookmarkStart w:id="66" w:name="prewhitening"/>
    <w:p>
      <w:pPr>
        <w:pStyle w:val="Heading1"/>
      </w:pPr>
      <w:r>
        <w:t xml:space="preserve">20. Prewhitening</w:t>
      </w:r>
    </w:p>
    <w:p>
      <w:pPr>
        <w:pStyle w:val="FirstParagraph"/>
      </w:pPr>
      <w:r>
        <w:t xml:space="preserve">pyTRACMT provides optional prewhitening before spectral estimation.</w:t>
      </w:r>
    </w:p>
    <w:p>
      <w:pPr>
        <w:pStyle w:val="BodyText"/>
      </w:pPr>
      <w:r>
        <w:t xml:space="preserve">Available approaches include:</w:t>
      </w:r>
    </w:p>
    <w:p>
      <w:pPr>
        <w:pStyle w:val="Compact"/>
        <w:numPr>
          <w:ilvl w:val="0"/>
          <w:numId w:val="1015"/>
        </w:numPr>
      </w:pPr>
      <w:r>
        <w:t xml:space="preserve">No prewhitening</w:t>
      </w:r>
    </w:p>
    <w:p>
      <w:pPr>
        <w:pStyle w:val="Compact"/>
        <w:numPr>
          <w:ilvl w:val="0"/>
          <w:numId w:val="1015"/>
        </w:numPr>
      </w:pPr>
      <w:r>
        <w:t xml:space="preserve">Standard autoregressive prewhitening</w:t>
      </w:r>
    </w:p>
    <w:p>
      <w:pPr>
        <w:pStyle w:val="Compact"/>
        <w:numPr>
          <w:ilvl w:val="0"/>
          <w:numId w:val="1015"/>
        </w:numPr>
      </w:pPr>
      <w:r>
        <w:t xml:space="preserve">Robust AR/PARCOR-like prewhitening</w:t>
      </w:r>
    </w:p>
    <w:p>
      <w:pPr>
        <w:pStyle w:val="FirstParagraph"/>
      </w:pPr>
      <w:r>
        <w:t xml:space="preserve">The AR model is selected using statistical criteria, and the resulting coefficients are used to whiten the time series before FFT processing.</w:t>
      </w:r>
    </w:p>
    <w:p>
      <w:pPr>
        <w:pStyle w:val="BodyText"/>
      </w:pPr>
      <w:r>
        <w:t xml:space="preserve">Prewhitening can reduce strong spectral coloration and improve statistical estimation under suitable conditions.</w:t>
      </w:r>
    </w:p>
    <w:p>
      <w:r>
        <w:pict>
          <v:rect style="width:0;height:1.5pt" o:hralign="center" o:hrstd="t" o:hr="t"/>
        </w:pict>
      </w:r>
    </w:p>
    <w:bookmarkEnd w:id="66"/>
    <w:bookmarkStart w:id="70" w:name="digital-filtering"/>
    <w:p>
      <w:pPr>
        <w:pStyle w:val="Heading1"/>
      </w:pPr>
      <w:r>
        <w:t xml:space="preserve">21. Digital Filtering</w:t>
      </w:r>
    </w:p>
    <w:p>
      <w:pPr>
        <w:pStyle w:val="FirstParagraph"/>
      </w:pPr>
      <w:r>
        <w:t xml:space="preserve">The current parameter structure also supports:</w:t>
      </w:r>
    </w:p>
    <w:bookmarkStart w:id="67" w:name="high-pass-filtering"/>
    <w:p>
      <w:pPr>
        <w:pStyle w:val="Heading3"/>
      </w:pPr>
      <w:r>
        <w:t xml:space="preserve">High-Pass Filtering</w:t>
      </w:r>
    </w:p>
    <w:p>
      <w:pPr>
        <w:pStyle w:val="SourceCode"/>
      </w:pPr>
      <w:r>
        <w:rPr>
          <w:rStyle w:val="VerbatimChar"/>
        </w:rPr>
        <w:t xml:space="preserve">HIGH_PASS</w:t>
      </w:r>
    </w:p>
    <w:p>
      <w:pPr>
        <w:pStyle w:val="FirstParagraph"/>
      </w:pPr>
      <w:r>
        <w:t xml:space="preserve">Suppresses frequencies below a specified cutoff.</w:t>
      </w:r>
    </w:p>
    <w:bookmarkEnd w:id="67"/>
    <w:bookmarkStart w:id="68" w:name="low-pass-filtering"/>
    <w:p>
      <w:pPr>
        <w:pStyle w:val="Heading3"/>
      </w:pPr>
      <w:r>
        <w:t xml:space="preserve">Low-Pass Filtering</w:t>
      </w:r>
    </w:p>
    <w:p>
      <w:pPr>
        <w:pStyle w:val="SourceCode"/>
      </w:pPr>
      <w:r>
        <w:rPr>
          <w:rStyle w:val="VerbatimChar"/>
        </w:rPr>
        <w:t xml:space="preserve">LOW_PASS</w:t>
      </w:r>
    </w:p>
    <w:p>
      <w:pPr>
        <w:pStyle w:val="FirstParagraph"/>
      </w:pPr>
      <w:r>
        <w:t xml:space="preserve">Suppresses frequencies above a specified cutoff.</w:t>
      </w:r>
    </w:p>
    <w:bookmarkEnd w:id="68"/>
    <w:bookmarkStart w:id="69" w:name="notch-filtering"/>
    <w:p>
      <w:pPr>
        <w:pStyle w:val="Heading3"/>
      </w:pPr>
      <w:r>
        <w:t xml:space="preserve">Notch Filtering</w:t>
      </w:r>
    </w:p>
    <w:p>
      <w:pPr>
        <w:pStyle w:val="SourceCode"/>
      </w:pPr>
      <w:r>
        <w:rPr>
          <w:rStyle w:val="VerbatimChar"/>
        </w:rPr>
        <w:t xml:space="preserve">NOTCH</w:t>
      </w:r>
    </w:p>
    <w:p>
      <w:pPr>
        <w:pStyle w:val="FirstParagraph"/>
      </w:pPr>
      <w:r>
        <w:t xml:space="preserve">Suppresses selected narrow-band frequencies.</w:t>
      </w:r>
    </w:p>
    <w:p>
      <w:pPr>
        <w:pStyle w:val="BodyText"/>
      </w:pPr>
      <w:r>
        <w:t xml:space="preserve">The notch-filter quality factor can be controlled using:</w:t>
      </w:r>
    </w:p>
    <w:p>
      <w:pPr>
        <w:pStyle w:val="SourceCode"/>
      </w:pPr>
      <w:r>
        <w:rPr>
          <w:rStyle w:val="VerbatimChar"/>
        </w:rPr>
        <w:t xml:space="preserve">NOTCH_PARAM_Q</w:t>
      </w:r>
    </w:p>
    <w:p>
      <w:pPr>
        <w:pStyle w:val="FirstParagraph"/>
      </w:pPr>
      <w:r>
        <w:t xml:space="preserve">These options can be useful for suppressing known instrumental or cultural noise before spectral processing.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alibration-files"/>
    <w:p>
      <w:pPr>
        <w:pStyle w:val="Heading1"/>
      </w:pPr>
      <w:r>
        <w:t xml:space="preserve">22. Calibration Files</w:t>
      </w:r>
    </w:p>
    <w:p>
      <w:pPr>
        <w:pStyle w:val="FirstParagraph"/>
      </w:pPr>
      <w:r>
        <w:t xml:space="preserve">Frequency-domain calibration correction can be applied using:</w:t>
      </w:r>
    </w:p>
    <w:p>
      <w:pPr>
        <w:pStyle w:val="SourceCode"/>
      </w:pPr>
      <w:r>
        <w:rPr>
          <w:rStyle w:val="VerbatimChar"/>
        </w:rPr>
        <w:t xml:space="preserve">CAL_FILES</w:t>
      </w:r>
    </w:p>
    <w:p>
      <w:pPr>
        <w:pStyle w:val="FirstParagraph"/>
      </w:pPr>
      <w:r>
        <w:t xml:space="preserve">A calibration file contains the sensor response as a function of frequency.</w:t>
      </w:r>
    </w:p>
    <w:p>
      <w:pPr>
        <w:pStyle w:val="BodyText"/>
      </w:pPr>
      <w:r>
        <w:t xml:space="preserve">During processing, the Fourier-domain channel response is divided by the interpolated calibration response.</w:t>
      </w:r>
    </w:p>
    <w:p>
      <w:pPr>
        <w:pStyle w:val="BodyText"/>
      </w:pPr>
      <w:r>
        <w:t xml:space="preserve">Before processing, confirm that:</w:t>
      </w:r>
    </w:p>
    <w:p>
      <w:pPr>
        <w:pStyle w:val="Compact"/>
        <w:numPr>
          <w:ilvl w:val="0"/>
          <w:numId w:val="1016"/>
        </w:numPr>
      </w:pPr>
      <w:r>
        <w:t xml:space="preserve">Calibration file paths are correct.</w:t>
      </w:r>
    </w:p>
    <w:p>
      <w:pPr>
        <w:pStyle w:val="Compact"/>
        <w:numPr>
          <w:ilvl w:val="0"/>
          <w:numId w:val="1016"/>
        </w:numPr>
      </w:pPr>
      <w:r>
        <w:t xml:space="preserve">The calibration frequency range covers the target MT frequency band.</w:t>
      </w:r>
    </w:p>
    <w:p>
      <w:pPr>
        <w:pStyle w:val="Compact"/>
        <w:numPr>
          <w:ilvl w:val="0"/>
          <w:numId w:val="1016"/>
        </w:numPr>
      </w:pPr>
      <w:r>
        <w:t xml:space="preserve">Calibration files correspond to the correct channels.</w:t>
      </w:r>
    </w:p>
    <w:p>
      <w:pPr>
        <w:pStyle w:val="Compact"/>
        <w:numPr>
          <w:ilvl w:val="0"/>
          <w:numId w:val="1016"/>
        </w:numPr>
      </w:pPr>
      <w:r>
        <w:t xml:space="preserve">Units are consistent with the selected input-data convention.</w:t>
      </w:r>
    </w:p>
    <w:p>
      <w:r>
        <w:pict>
          <v:rect style="width:0;height:1.5pt" o:hralign="center" o:hrstd="t" o:hr="t"/>
        </w:pict>
      </w:r>
    </w:p>
    <w:bookmarkEnd w:id="71"/>
    <w:bookmarkStart w:id="72" w:name="units"/>
    <w:p>
      <w:pPr>
        <w:pStyle w:val="Heading1"/>
      </w:pPr>
      <w:r>
        <w:t xml:space="preserve">23. Units</w:t>
      </w:r>
    </w:p>
    <w:p>
      <w:pPr>
        <w:pStyle w:val="FirstParagraph"/>
      </w:pPr>
      <w:r>
        <w:t xml:space="preserve">The GUI includes unit modes for different input conventions, including practical MT and SI representations.</w:t>
      </w:r>
    </w:p>
    <w:p>
      <w:pPr>
        <w:pStyle w:val="BodyText"/>
      </w:pPr>
      <w:r>
        <w:t xml:space="preserve">For TRACMT-compatible impedance expressed using electric fields in mV/km and magnetic fields in nT, apparent resistivity is calculated as</w:t>
      </w:r>
    </w:p>
    <w:p>
      <w:pPr>
        <w:pStyle w:val="SourceCode"/>
      </w:pPr>
      <w:r>
        <w:rPr>
          <w:rStyle w:val="VerbatimChar"/>
        </w:rPr>
        <w:t xml:space="preserve">ρa = 0.2 T |Z|²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7"/>
        </w:numPr>
      </w:pPr>
      <w:r>
        <w:t xml:space="preserve">ρa is apparent resistivity in Ω·m,</w:t>
      </w:r>
    </w:p>
    <w:p>
      <w:pPr>
        <w:pStyle w:val="Compact"/>
        <w:numPr>
          <w:ilvl w:val="0"/>
          <w:numId w:val="1017"/>
        </w:numPr>
      </w:pPr>
      <w:r>
        <w:t xml:space="preserve">T is period in seconds,</w:t>
      </w:r>
    </w:p>
    <w:p>
      <w:pPr>
        <w:pStyle w:val="Compact"/>
        <w:numPr>
          <w:ilvl w:val="0"/>
          <w:numId w:val="1017"/>
        </w:numPr>
      </w:pPr>
      <w:r>
        <w:t xml:space="preserve">Z is the MT impedance in the corresponding practical units.</w:t>
      </w:r>
    </w:p>
    <w:p>
      <w:pPr>
        <w:pStyle w:val="FirstParagraph"/>
      </w:pPr>
      <w:r>
        <w:t xml:space="preserve">Phase is calculated from the complex impedance as</w:t>
      </w:r>
    </w:p>
    <w:p>
      <w:pPr>
        <w:pStyle w:val="SourceCode"/>
      </w:pPr>
      <w:r>
        <w:rPr>
          <w:rStyle w:val="VerbatimChar"/>
        </w:rPr>
        <w:t xml:space="preserve">φ = atan2(Im(Z), Re(Z))</w:t>
      </w:r>
    </w:p>
    <w:p>
      <w:pPr>
        <w:pStyle w:val="FirstParagraph"/>
      </w:pPr>
      <w:r>
        <w:t xml:space="preserve">and reported in degrees.</w:t>
      </w:r>
    </w:p>
    <w:p>
      <w:pPr>
        <w:pStyle w:val="BodyText"/>
      </w:pPr>
      <w:r>
        <w:t xml:space="preserve">Correct unit selection is essential because an incorrect impedance-unit convention can produce a large systematic error in apparent resistivity.</w:t>
      </w:r>
    </w:p>
    <w:p>
      <w:r>
        <w:pict>
          <v:rect style="width:0;height:1.5pt" o:hralign="center" o:hrstd="t" o:hr="t"/>
        </w:pict>
      </w:r>
    </w:p>
    <w:bookmarkEnd w:id="72"/>
    <w:bookmarkStart w:id="73" w:name="mt-impedance-components"/>
    <w:p>
      <w:pPr>
        <w:pStyle w:val="Heading1"/>
      </w:pPr>
      <w:r>
        <w:t xml:space="preserve">24. MT Impedance Components</w:t>
      </w:r>
    </w:p>
    <w:p>
      <w:pPr>
        <w:pStyle w:val="FirstParagraph"/>
      </w:pPr>
      <w:r>
        <w:t xml:space="preserve">For the standard two-output, two-input MT configuration, pyTRACMT estimates the complete impedance tensor:</w:t>
      </w:r>
    </w:p>
    <w:p>
      <w:pPr>
        <w:pStyle w:val="SourceCode"/>
      </w:pPr>
      <w:r>
        <w:rPr>
          <w:rStyle w:val="VerbatimChar"/>
        </w:rPr>
        <w:t xml:space="preserve">Zxx</w:t>
      </w:r>
      <w:r>
        <w:br/>
      </w:r>
      <w:r>
        <w:rPr>
          <w:rStyle w:val="VerbatimChar"/>
        </w:rPr>
        <w:t xml:space="preserve">Zxy</w:t>
      </w:r>
      <w:r>
        <w:br/>
      </w:r>
      <w:r>
        <w:rPr>
          <w:rStyle w:val="VerbatimChar"/>
        </w:rPr>
        <w:t xml:space="preserve">Zyx</w:t>
      </w:r>
      <w:r>
        <w:br/>
      </w:r>
      <w:r>
        <w:rPr>
          <w:rStyle w:val="VerbatimChar"/>
        </w:rPr>
        <w:t xml:space="preserve">Zyy</w:t>
      </w:r>
    </w:p>
    <w:p>
      <w:pPr>
        <w:pStyle w:val="FirstParagraph"/>
      </w:pPr>
      <w:r>
        <w:t xml:space="preserve">The off-diagonal components</w:t>
      </w:r>
    </w:p>
    <w:p>
      <w:pPr>
        <w:pStyle w:val="SourceCode"/>
      </w:pPr>
      <w:r>
        <w:rPr>
          <w:rStyle w:val="VerbatimChar"/>
        </w:rPr>
        <w:t xml:space="preserve">Zxy</w:t>
      </w:r>
      <w:r>
        <w:br/>
      </w:r>
      <w:r>
        <w:rPr>
          <w:rStyle w:val="VerbatimChar"/>
        </w:rPr>
        <w:t xml:space="preserve">Zyx</w:t>
      </w:r>
    </w:p>
    <w:p>
      <w:pPr>
        <w:pStyle w:val="FirstParagraph"/>
      </w:pPr>
      <w:r>
        <w:t xml:space="preserve">are commonly the principal components used for conventional MT interpretation.</w:t>
      </w:r>
    </w:p>
    <w:p>
      <w:pPr>
        <w:pStyle w:val="BodyText"/>
      </w:pPr>
      <w:r>
        <w:t xml:space="preserve">However, Zxx and Zyy are retained because they contain useful information regarding three-dimensional structure, distortion, coordinate orientation, and data quality.</w:t>
      </w:r>
    </w:p>
    <w:p>
      <w:r>
        <w:pict>
          <v:rect style="width:0;height:1.5pt" o:hralign="center" o:hrstd="t" o:hr="t"/>
        </w:pict>
      </w:r>
    </w:p>
    <w:bookmarkEnd w:id="73"/>
    <w:bookmarkStart w:id="74" w:name="apparent-resistivity-and-phase"/>
    <w:p>
      <w:pPr>
        <w:pStyle w:val="Heading1"/>
      </w:pPr>
      <w:r>
        <w:t xml:space="preserve">25. Apparent Resistivity and Phase</w:t>
      </w:r>
    </w:p>
    <w:p>
      <w:pPr>
        <w:pStyle w:val="FirstParagraph"/>
      </w:pPr>
      <w:r>
        <w:t xml:space="preserve">Apparent resistivity and phase are calculated for the available impedance components.</w:t>
      </w:r>
    </w:p>
    <w:p>
      <w:pPr>
        <w:pStyle w:val="BodyText"/>
      </w:pPr>
      <w:r>
        <w:t xml:space="preserve">The principal output quantities include:</w:t>
      </w:r>
    </w:p>
    <w:p>
      <w:pPr>
        <w:pStyle w:val="Compact"/>
        <w:numPr>
          <w:ilvl w:val="0"/>
          <w:numId w:val="1018"/>
        </w:numPr>
      </w:pPr>
      <w:r>
        <w:t xml:space="preserve">Zxx apparent resistivity</w:t>
      </w:r>
    </w:p>
    <w:p>
      <w:pPr>
        <w:pStyle w:val="Compact"/>
        <w:numPr>
          <w:ilvl w:val="0"/>
          <w:numId w:val="1018"/>
        </w:numPr>
      </w:pPr>
      <w:r>
        <w:t xml:space="preserve">Zxx phase</w:t>
      </w:r>
    </w:p>
    <w:p>
      <w:pPr>
        <w:pStyle w:val="Compact"/>
        <w:numPr>
          <w:ilvl w:val="0"/>
          <w:numId w:val="1018"/>
        </w:numPr>
      </w:pPr>
      <w:r>
        <w:t xml:space="preserve">Zxy apparent resistivity</w:t>
      </w:r>
    </w:p>
    <w:p>
      <w:pPr>
        <w:pStyle w:val="Compact"/>
        <w:numPr>
          <w:ilvl w:val="0"/>
          <w:numId w:val="1018"/>
        </w:numPr>
      </w:pPr>
      <w:r>
        <w:t xml:space="preserve">Zxy phase</w:t>
      </w:r>
    </w:p>
    <w:p>
      <w:pPr>
        <w:pStyle w:val="Compact"/>
        <w:numPr>
          <w:ilvl w:val="0"/>
          <w:numId w:val="1018"/>
        </w:numPr>
      </w:pPr>
      <w:r>
        <w:t xml:space="preserve">Zyx apparent resistivity</w:t>
      </w:r>
    </w:p>
    <w:p>
      <w:pPr>
        <w:pStyle w:val="Compact"/>
        <w:numPr>
          <w:ilvl w:val="0"/>
          <w:numId w:val="1018"/>
        </w:numPr>
      </w:pPr>
      <w:r>
        <w:t xml:space="preserve">Zyx phase</w:t>
      </w:r>
    </w:p>
    <w:p>
      <w:pPr>
        <w:pStyle w:val="Compact"/>
        <w:numPr>
          <w:ilvl w:val="0"/>
          <w:numId w:val="1018"/>
        </w:numPr>
      </w:pPr>
      <w:r>
        <w:t xml:space="preserve">Zyy apparent resistivity</w:t>
      </w:r>
    </w:p>
    <w:p>
      <w:pPr>
        <w:pStyle w:val="Compact"/>
        <w:numPr>
          <w:ilvl w:val="0"/>
          <w:numId w:val="1018"/>
        </w:numPr>
      </w:pPr>
      <w:r>
        <w:t xml:space="preserve">Zyy phase</w:t>
      </w:r>
    </w:p>
    <w:p>
      <w:pPr>
        <w:pStyle w:val="FirstParagraph"/>
      </w:pPr>
      <w:r>
        <w:t xml:space="preserve">Corresponding uncertainty estimates are also included when available.</w:t>
      </w:r>
    </w:p>
    <w:p>
      <w:r>
        <w:pict>
          <v:rect style="width:0;height:1.5pt" o:hralign="center" o:hrstd="t" o:hr="t"/>
        </w:pict>
      </w:r>
    </w:p>
    <w:bookmarkEnd w:id="74"/>
    <w:bookmarkStart w:id="82" w:name="output-files"/>
    <w:p>
      <w:pPr>
        <w:pStyle w:val="Heading1"/>
      </w:pPr>
      <w:r>
        <w:t xml:space="preserve">26. Output Files</w:t>
      </w:r>
    </w:p>
    <w:p>
      <w:pPr>
        <w:pStyle w:val="FirstParagraph"/>
      </w:pPr>
      <w:r>
        <w:t xml:space="preserve">A normal processing run may generate the following files.</w:t>
      </w:r>
    </w:p>
    <w:bookmarkStart w:id="75" w:name="tracmt.log"/>
    <w:p>
      <w:pPr>
        <w:pStyle w:val="Heading3"/>
      </w:pPr>
      <w:r>
        <w:t xml:space="preserve">TRACMT.log</w:t>
      </w:r>
    </w:p>
    <w:p>
      <w:pPr>
        <w:pStyle w:val="FirstParagraph"/>
      </w:pPr>
      <w:r>
        <w:t xml:space="preserve">Main processing log containing parameter information, processing status, warnings, and execution information.</w:t>
      </w:r>
    </w:p>
    <w:bookmarkEnd w:id="75"/>
    <w:bookmarkStart w:id="76" w:name="tracmt.cvg"/>
    <w:p>
      <w:pPr>
        <w:pStyle w:val="Heading3"/>
      </w:pPr>
      <w:r>
        <w:t xml:space="preserve">TRACMT.cvg</w:t>
      </w:r>
    </w:p>
    <w:p>
      <w:pPr>
        <w:pStyle w:val="FirstParagraph"/>
      </w:pPr>
      <w:r>
        <w:t xml:space="preserve">Convergence and robust-processing log containing information such as robust iterations, coherence rejection, and estimator convergence.</w:t>
      </w:r>
    </w:p>
    <w:bookmarkEnd w:id="76"/>
    <w:bookmarkStart w:id="77" w:name="response_functions.csv"/>
    <w:p>
      <w:pPr>
        <w:pStyle w:val="Heading3"/>
      </w:pPr>
      <w:r>
        <w:t xml:space="preserve">response_functions.csv</w:t>
      </w:r>
    </w:p>
    <w:p>
      <w:pPr>
        <w:pStyle w:val="FirstParagraph"/>
      </w:pPr>
      <w:r>
        <w:t xml:space="preserve">Estimated transfer functions and impedance components.</w:t>
      </w:r>
    </w:p>
    <w:p>
      <w:pPr>
        <w:pStyle w:val="BodyText"/>
      </w:pPr>
      <w:r>
        <w:t xml:space="preserve">The current output uses intuitive component names such as:</w:t>
      </w:r>
    </w:p>
    <w:p>
      <w:pPr>
        <w:pStyle w:val="SourceCode"/>
      </w:pPr>
      <w:r>
        <w:rPr>
          <w:rStyle w:val="VerbatimChar"/>
        </w:rPr>
        <w:t xml:space="preserve">Zxx</w:t>
      </w:r>
      <w:r>
        <w:br/>
      </w:r>
      <w:r>
        <w:rPr>
          <w:rStyle w:val="VerbatimChar"/>
        </w:rPr>
        <w:t xml:space="preserve">Zxy</w:t>
      </w:r>
      <w:r>
        <w:br/>
      </w:r>
      <w:r>
        <w:rPr>
          <w:rStyle w:val="VerbatimChar"/>
        </w:rPr>
        <w:t xml:space="preserve">Zyx</w:t>
      </w:r>
      <w:r>
        <w:br/>
      </w:r>
      <w:r>
        <w:rPr>
          <w:rStyle w:val="VerbatimChar"/>
        </w:rPr>
        <w:t xml:space="preserve">Zyy</w:t>
      </w:r>
    </w:p>
    <w:p>
      <w:pPr>
        <w:pStyle w:val="FirstParagraph"/>
      </w:pPr>
      <w:r>
        <w:t xml:space="preserve">rather than numerical index labels where possible.</w:t>
      </w:r>
    </w:p>
    <w:bookmarkEnd w:id="77"/>
    <w:bookmarkStart w:id="78" w:name="apparent_resistivity_and_phase.csv"/>
    <w:p>
      <w:pPr>
        <w:pStyle w:val="Heading3"/>
      </w:pPr>
      <w:r>
        <w:t xml:space="preserve">apparent_resistivity_and_phase.csv</w:t>
      </w:r>
    </w:p>
    <w:p>
      <w:pPr>
        <w:pStyle w:val="FirstParagraph"/>
      </w:pPr>
      <w:r>
        <w:t xml:space="preserve">Contains apparent resistivity, phase, and associated uncertainties for the MT impedance components.</w:t>
      </w:r>
    </w:p>
    <w:bookmarkEnd w:id="78"/>
    <w:bookmarkStart w:id="79" w:name="response_functions_gui_alias.csv"/>
    <w:p>
      <w:pPr>
        <w:pStyle w:val="Heading3"/>
      </w:pPr>
      <w:r>
        <w:t xml:space="preserve">response_functions_gui_alias.csv</w:t>
      </w:r>
    </w:p>
    <w:p>
      <w:pPr>
        <w:pStyle w:val="FirstParagraph"/>
      </w:pPr>
      <w:r>
        <w:t xml:space="preserve">GUI-oriented version of the response-function results.</w:t>
      </w:r>
    </w:p>
    <w:bookmarkEnd w:id="79"/>
    <w:bookmarkStart w:id="80" w:name="X01b7e60b3b6874fda0963c0784cf312d5762d28"/>
    <w:p>
      <w:pPr>
        <w:pStyle w:val="Heading3"/>
      </w:pPr>
      <w:r>
        <w:t xml:space="preserve">apparent_resistivity_and_phase_gui_alias.csv</w:t>
      </w:r>
    </w:p>
    <w:p>
      <w:pPr>
        <w:pStyle w:val="FirstParagraph"/>
      </w:pPr>
      <w:r>
        <w:t xml:space="preserve">GUI-oriented apparent-resistivity and phase table with human-readable component labels.</w:t>
      </w:r>
    </w:p>
    <w:bookmarkEnd w:id="80"/>
    <w:bookmarkStart w:id="81" w:name="edi-output"/>
    <w:p>
      <w:pPr>
        <w:pStyle w:val="Heading3"/>
      </w:pPr>
      <w:r>
        <w:t xml:space="preserve">EDI Output</w:t>
      </w:r>
    </w:p>
    <w:p>
      <w:pPr>
        <w:pStyle w:val="FirstParagraph"/>
      </w:pPr>
      <w:r>
        <w:t xml:space="preserve">When enabled, pyTRACMT generates a basic EDI representation containing the available impedance tensor components:</w:t>
      </w:r>
    </w:p>
    <w:p>
      <w:pPr>
        <w:pStyle w:val="SourceCode"/>
      </w:pPr>
      <w:r>
        <w:rPr>
          <w:rStyle w:val="VerbatimChar"/>
        </w:rPr>
        <w:t xml:space="preserve">ZXX</w:t>
      </w:r>
      <w:r>
        <w:br/>
      </w:r>
      <w:r>
        <w:rPr>
          <w:rStyle w:val="VerbatimChar"/>
        </w:rPr>
        <w:t xml:space="preserve">ZXY</w:t>
      </w:r>
      <w:r>
        <w:br/>
      </w:r>
      <w:r>
        <w:rPr>
          <w:rStyle w:val="VerbatimChar"/>
        </w:rPr>
        <w:t xml:space="preserve">ZYX</w:t>
      </w:r>
      <w:r>
        <w:br/>
      </w:r>
      <w:r>
        <w:rPr>
          <w:rStyle w:val="VerbatimChar"/>
        </w:rPr>
        <w:t xml:space="preserve">ZYY</w:t>
      </w:r>
    </w:p>
    <w:p>
      <w:pPr>
        <w:pStyle w:val="FirstParagraph"/>
      </w:pPr>
      <w:r>
        <w:t xml:space="preserve">including their real and imaginary parts.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plotting-results"/>
    <w:p>
      <w:pPr>
        <w:pStyle w:val="Heading1"/>
      </w:pPr>
      <w:r>
        <w:t xml:space="preserve">27. Plotting Results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Plots</w:t>
      </w:r>
      <w:r>
        <w:t xml:space="preserve"> </w:t>
      </w:r>
      <w:r>
        <w:t xml:space="preserve">tab provides four principal plot types:</w:t>
      </w:r>
    </w:p>
    <w:p>
      <w:pPr>
        <w:pStyle w:val="Compact"/>
        <w:numPr>
          <w:ilvl w:val="0"/>
          <w:numId w:val="1019"/>
        </w:numPr>
      </w:pPr>
      <w:r>
        <w:t xml:space="preserve">Apparent resistivity</w:t>
      </w:r>
    </w:p>
    <w:p>
      <w:pPr>
        <w:pStyle w:val="Compact"/>
        <w:numPr>
          <w:ilvl w:val="0"/>
          <w:numId w:val="1019"/>
        </w:numPr>
      </w:pPr>
      <w:r>
        <w:t xml:space="preserve">Phase</w:t>
      </w:r>
    </w:p>
    <w:p>
      <w:pPr>
        <w:pStyle w:val="Compact"/>
        <w:numPr>
          <w:ilvl w:val="0"/>
          <w:numId w:val="1019"/>
        </w:numPr>
      </w:pPr>
      <w:r>
        <w:t xml:space="preserve">Response amplitude</w:t>
      </w:r>
    </w:p>
    <w:p>
      <w:pPr>
        <w:pStyle w:val="Compact"/>
        <w:numPr>
          <w:ilvl w:val="0"/>
          <w:numId w:val="1019"/>
        </w:numPr>
      </w:pPr>
      <w:r>
        <w:t xml:space="preserve">Response phase</w:t>
      </w:r>
    </w:p>
    <w:p>
      <w:pPr>
        <w:pStyle w:val="FirstParagraph"/>
      </w:pPr>
      <w:r>
        <w:t xml:space="preserve">The component selector allows:</w:t>
      </w:r>
    </w:p>
    <w:p>
      <w:pPr>
        <w:pStyle w:val="Compact"/>
        <w:numPr>
          <w:ilvl w:val="0"/>
          <w:numId w:val="1020"/>
        </w:numPr>
      </w:pPr>
      <w:r>
        <w:t xml:space="preserve">Zxx</w:t>
      </w:r>
    </w:p>
    <w:p>
      <w:pPr>
        <w:pStyle w:val="Compact"/>
        <w:numPr>
          <w:ilvl w:val="0"/>
          <w:numId w:val="1020"/>
        </w:numPr>
      </w:pPr>
      <w:r>
        <w:t xml:space="preserve">Zxy</w:t>
      </w:r>
    </w:p>
    <w:p>
      <w:pPr>
        <w:pStyle w:val="Compact"/>
        <w:numPr>
          <w:ilvl w:val="0"/>
          <w:numId w:val="1020"/>
        </w:numPr>
      </w:pPr>
      <w:r>
        <w:t xml:space="preserve">Zyx</w:t>
      </w:r>
    </w:p>
    <w:p>
      <w:pPr>
        <w:pStyle w:val="Compact"/>
        <w:numPr>
          <w:ilvl w:val="0"/>
          <w:numId w:val="1020"/>
        </w:numPr>
      </w:pPr>
      <w:r>
        <w:t xml:space="preserve">Zyy</w:t>
      </w:r>
    </w:p>
    <w:p>
      <w:pPr>
        <w:pStyle w:val="FirstParagraph"/>
      </w:pPr>
      <w:r>
        <w:t xml:space="preserve">When uncertainty information is available, the plotting system displays error bars.</w:t>
      </w:r>
    </w:p>
    <w:p>
      <w:pPr>
        <w:pStyle w:val="BodyText"/>
      </w:pPr>
      <w:r>
        <w:t xml:space="preserve">The horizontal axis is generally represented using period for MT response visualization.</w:t>
      </w:r>
    </w:p>
    <w:p>
      <w:pPr>
        <w:pStyle w:val="BodyText"/>
      </w:pPr>
      <w:r>
        <w:t xml:space="preserve">Plots can be saved as PNG files at 300 dpi.</w:t>
      </w:r>
    </w:p>
    <w:p>
      <w:r>
        <w:pict>
          <v:rect style="width:0;height:1.5pt" o:hralign="center" o:hrstd="t" o:hr="t"/>
        </w:pict>
      </w:r>
    </w:p>
    <w:bookmarkEnd w:id="83"/>
    <w:bookmarkStart w:id="84" w:name="recommended-first-test"/>
    <w:p>
      <w:pPr>
        <w:pStyle w:val="Heading1"/>
      </w:pPr>
      <w:r>
        <w:t xml:space="preserve">28. Recommended First Test</w:t>
      </w:r>
    </w:p>
    <w:p>
      <w:pPr>
        <w:pStyle w:val="FirstParagraph"/>
      </w:pPr>
      <w:r>
        <w:t xml:space="preserve">For a new dataset, begin with a simple processing configuration before enabling the full robust workflow.</w:t>
      </w:r>
    </w:p>
    <w:p>
      <w:pPr>
        <w:pStyle w:val="BodyText"/>
      </w:pPr>
      <w:r>
        <w:t xml:space="preserve">Recommended initial settings:</w:t>
      </w:r>
    </w:p>
    <w:p>
      <w:pPr>
        <w:pStyle w:val="Compact"/>
        <w:numPr>
          <w:ilvl w:val="0"/>
          <w:numId w:val="1021"/>
        </w:numPr>
      </w:pPr>
      <w:r>
        <w:t xml:space="preserve">Ordinary Remote Reference (RR)</w:t>
      </w:r>
    </w:p>
    <w:p>
      <w:pPr>
        <w:pStyle w:val="Compact"/>
        <w:numPr>
          <w:ilvl w:val="0"/>
          <w:numId w:val="1021"/>
        </w:numPr>
      </w:pPr>
      <w:r>
        <w:t xml:space="preserve">No prewhitening</w:t>
      </w:r>
    </w:p>
    <w:p>
      <w:pPr>
        <w:pStyle w:val="Compact"/>
        <w:numPr>
          <w:ilvl w:val="0"/>
          <w:numId w:val="1021"/>
        </w:numPr>
      </w:pPr>
      <w:r>
        <w:t xml:space="preserve">No robust filtering</w:t>
      </w:r>
    </w:p>
    <w:p>
      <w:pPr>
        <w:pStyle w:val="Compact"/>
        <w:numPr>
          <w:ilvl w:val="0"/>
          <w:numId w:val="1021"/>
        </w:numPr>
      </w:pPr>
      <w:r>
        <w:t xml:space="preserve">No coherence rejection initially</w:t>
      </w:r>
    </w:p>
    <w:p>
      <w:pPr>
        <w:pStyle w:val="Compact"/>
        <w:numPr>
          <w:ilvl w:val="0"/>
          <w:numId w:val="1021"/>
        </w:numPr>
      </w:pPr>
      <w:r>
        <w:t xml:space="preserve">Parametric error estimation or a small bootstrap test</w:t>
      </w:r>
    </w:p>
    <w:p>
      <w:pPr>
        <w:pStyle w:val="Compact"/>
        <w:numPr>
          <w:ilvl w:val="0"/>
          <w:numId w:val="1021"/>
        </w:numPr>
      </w:pPr>
      <w:r>
        <w:t xml:space="preserve">A limited number of frequency indices</w:t>
      </w:r>
    </w:p>
    <w:p>
      <w:pPr>
        <w:pStyle w:val="Compact"/>
        <w:numPr>
          <w:ilvl w:val="0"/>
          <w:numId w:val="1021"/>
        </w:numPr>
      </w:pPr>
      <w:r>
        <w:t xml:space="preserve">Correct Ex, Ey, Hx, Hy, RR Hx, and RR Hy channels</w:t>
      </w:r>
    </w:p>
    <w:p>
      <w:pPr>
        <w:pStyle w:val="FirstParagraph"/>
      </w:pPr>
      <w:r>
        <w:t xml:space="preserve">First verify:</w:t>
      </w:r>
    </w:p>
    <w:p>
      <w:pPr>
        <w:pStyle w:val="Compact"/>
        <w:numPr>
          <w:ilvl w:val="0"/>
          <w:numId w:val="1022"/>
        </w:numPr>
      </w:pPr>
      <w:r>
        <w:t xml:space="preserve">Zxy and Zyx are physically reasonable.</w:t>
      </w:r>
    </w:p>
    <w:p>
      <w:pPr>
        <w:pStyle w:val="Compact"/>
        <w:numPr>
          <w:ilvl w:val="0"/>
          <w:numId w:val="1022"/>
        </w:numPr>
      </w:pPr>
      <w:r>
        <w:t xml:space="preserve">Apparent resistivity curves are continuous.</w:t>
      </w:r>
    </w:p>
    <w:p>
      <w:pPr>
        <w:pStyle w:val="Compact"/>
        <w:numPr>
          <w:ilvl w:val="0"/>
          <w:numId w:val="1022"/>
        </w:numPr>
      </w:pPr>
      <w:r>
        <w:t xml:space="preserve">Phase values are physically plausible.</w:t>
      </w:r>
    </w:p>
    <w:p>
      <w:pPr>
        <w:pStyle w:val="Compact"/>
        <w:numPr>
          <w:ilvl w:val="0"/>
          <w:numId w:val="1022"/>
        </w:numPr>
      </w:pPr>
      <w:r>
        <w:t xml:space="preserve">Frequencies and periods are correct.</w:t>
      </w:r>
    </w:p>
    <w:p>
      <w:pPr>
        <w:pStyle w:val="Compact"/>
        <w:numPr>
          <w:ilvl w:val="0"/>
          <w:numId w:val="1022"/>
        </w:numPr>
      </w:pPr>
      <w:r>
        <w:t xml:space="preserve">Channel order and units are correct.</w:t>
      </w:r>
    </w:p>
    <w:p>
      <w:pPr>
        <w:pStyle w:val="FirstParagraph"/>
      </w:pPr>
      <w:r>
        <w:t xml:space="preserve">Robust processing options can then be enabled incrementally.</w:t>
      </w:r>
    </w:p>
    <w:p>
      <w:r>
        <w:pict>
          <v:rect style="width:0;height:1.5pt" o:hralign="center" o:hrstd="t" o:hr="t"/>
        </w:pict>
      </w:r>
    </w:p>
    <w:bookmarkEnd w:id="84"/>
    <w:bookmarkStart w:id="85" w:name="recommended-robust-workflow"/>
    <w:p>
      <w:pPr>
        <w:pStyle w:val="Heading1"/>
      </w:pPr>
      <w:r>
        <w:t xml:space="preserve">29. Recommended Robust Workflow</w:t>
      </w:r>
    </w:p>
    <w:p>
      <w:pPr>
        <w:pStyle w:val="FirstParagraph"/>
      </w:pPr>
      <w:r>
        <w:t xml:space="preserve">After the basic RR solution has been verified, a typical robust workflow is:</w:t>
      </w:r>
    </w:p>
    <w:p>
      <w:pPr>
        <w:pStyle w:val="Compact"/>
        <w:numPr>
          <w:ilvl w:val="0"/>
          <w:numId w:val="1023"/>
        </w:numPr>
      </w:pPr>
      <w:r>
        <w:t xml:space="preserve">Inspect the raw time series.</w:t>
      </w:r>
    </w:p>
    <w:p>
      <w:pPr>
        <w:pStyle w:val="Compact"/>
        <w:numPr>
          <w:ilvl w:val="0"/>
          <w:numId w:val="1023"/>
        </w:numPr>
      </w:pPr>
      <w:r>
        <w:t xml:space="preserve">Apply calibration correction if required.</w:t>
      </w:r>
    </w:p>
    <w:p>
      <w:pPr>
        <w:pStyle w:val="Compact"/>
        <w:numPr>
          <w:ilvl w:val="0"/>
          <w:numId w:val="1023"/>
        </w:numPr>
      </w:pPr>
      <w:r>
        <w:t xml:space="preserve">Apply robust filtering only if significant spikes are present.</w:t>
      </w:r>
    </w:p>
    <w:p>
      <w:pPr>
        <w:pStyle w:val="Compact"/>
        <w:numPr>
          <w:ilvl w:val="0"/>
          <w:numId w:val="1023"/>
        </w:numPr>
      </w:pPr>
      <w:r>
        <w:t xml:space="preserve">Enable prewhitening if appropriate.</w:t>
      </w:r>
    </w:p>
    <w:p>
      <w:pPr>
        <w:pStyle w:val="Compact"/>
        <w:numPr>
          <w:ilvl w:val="0"/>
          <w:numId w:val="1023"/>
        </w:numPr>
      </w:pPr>
      <w:r>
        <w:t xml:space="preserve">Apply coherence-based rejection.</w:t>
      </w:r>
    </w:p>
    <w:p>
      <w:pPr>
        <w:pStyle w:val="Compact"/>
        <w:numPr>
          <w:ilvl w:val="0"/>
          <w:numId w:val="1023"/>
        </w:numPr>
      </w:pPr>
      <w:r>
        <w:t xml:space="preserve">Run ordinary RR with Huber followed by Tukey.</w:t>
      </w:r>
    </w:p>
    <w:p>
      <w:pPr>
        <w:pStyle w:val="Compact"/>
        <w:numPr>
          <w:ilvl w:val="0"/>
          <w:numId w:val="1023"/>
        </w:numPr>
      </w:pPr>
      <w:r>
        <w:t xml:space="preserve">Compare with RRMS.</w:t>
      </w:r>
    </w:p>
    <w:p>
      <w:pPr>
        <w:pStyle w:val="Compact"/>
        <w:numPr>
          <w:ilvl w:val="0"/>
          <w:numId w:val="1023"/>
        </w:numPr>
      </w:pPr>
      <w:r>
        <w:t xml:space="preserve">Inspect Zxx, Zxy, Zyx, and Zyy.</w:t>
      </w:r>
    </w:p>
    <w:p>
      <w:pPr>
        <w:pStyle w:val="Compact"/>
        <w:numPr>
          <w:ilvl w:val="0"/>
          <w:numId w:val="1023"/>
        </w:numPr>
      </w:pPr>
      <w:r>
        <w:t xml:space="preserve">Inspect apparent resistivity and phase.</w:t>
      </w:r>
    </w:p>
    <w:p>
      <w:pPr>
        <w:pStyle w:val="Compact"/>
        <w:numPr>
          <w:ilvl w:val="0"/>
          <w:numId w:val="1023"/>
        </w:numPr>
      </w:pPr>
      <w:r>
        <w:t xml:space="preserve">Evaluate uncertainty estimates.</w:t>
      </w:r>
    </w:p>
    <w:p>
      <w:pPr>
        <w:pStyle w:val="Compact"/>
        <w:numPr>
          <w:ilvl w:val="0"/>
          <w:numId w:val="1023"/>
        </w:numPr>
      </w:pPr>
      <w:r>
        <w:t xml:space="preserve">Export the final CSV and EDI results.</w:t>
      </w:r>
    </w:p>
    <w:p>
      <w:pPr>
        <w:pStyle w:val="FirstParagraph"/>
      </w:pPr>
      <w:r>
        <w:t xml:space="preserve">This staged approach helps identify whether changes in the response are caused by preprocessing, robust regression, coherence rejection, or uncertainty estimation.</w:t>
      </w:r>
    </w:p>
    <w:p>
      <w:r>
        <w:pict>
          <v:rect style="width:0;height:1.5pt" o:hralign="center" o:hrstd="t" o:hr="t"/>
        </w:pict>
      </w:r>
    </w:p>
    <w:bookmarkEnd w:id="85"/>
    <w:bookmarkStart w:id="86" w:name="performance-notes"/>
    <w:p>
      <w:pPr>
        <w:pStyle w:val="Heading1"/>
      </w:pPr>
      <w:r>
        <w:t xml:space="preserve">30. Performance Notes</w:t>
      </w:r>
    </w:p>
    <w:p>
      <w:pPr>
        <w:pStyle w:val="FirstParagraph"/>
      </w:pPr>
      <w:r>
        <w:t xml:space="preserve">Large datasets and robust resampling procedures can require substantial computation time.</w:t>
      </w:r>
    </w:p>
    <w:p>
      <w:pPr>
        <w:pStyle w:val="BodyText"/>
      </w:pPr>
      <w:r>
        <w:t xml:space="preserve">The most computationally expensive options are generally RRMS and full-refit bootstrap procedures.</w:t>
      </w:r>
    </w:p>
    <w:p>
      <w:pPr>
        <w:pStyle w:val="BodyText"/>
      </w:pPr>
      <w:r>
        <w:t xml:space="preserve">For testing:</w:t>
      </w:r>
    </w:p>
    <w:p>
      <w:pPr>
        <w:pStyle w:val="Compact"/>
        <w:numPr>
          <w:ilvl w:val="0"/>
          <w:numId w:val="1024"/>
        </w:numPr>
      </w:pPr>
      <w:r>
        <w:t xml:space="preserve">Use a shorter time-series interval.</w:t>
      </w:r>
    </w:p>
    <w:p>
      <w:pPr>
        <w:pStyle w:val="Compact"/>
        <w:numPr>
          <w:ilvl w:val="0"/>
          <w:numId w:val="1024"/>
        </w:numPr>
      </w:pPr>
      <w:r>
        <w:t xml:space="preserve">Use fewer frequency indices.</w:t>
      </w:r>
    </w:p>
    <w:p>
      <w:pPr>
        <w:pStyle w:val="Compact"/>
        <w:numPr>
          <w:ilvl w:val="0"/>
          <w:numId w:val="1024"/>
        </w:numPr>
      </w:pPr>
      <w:r>
        <w:t xml:space="preserve">Reduce the number of bootstrap repetitions.</w:t>
      </w:r>
    </w:p>
    <w:p>
      <w:pPr>
        <w:pStyle w:val="Compact"/>
        <w:numPr>
          <w:ilvl w:val="0"/>
          <w:numId w:val="1024"/>
        </w:numPr>
      </w:pPr>
      <w:r>
        <w:t xml:space="preserve">Begin with ordinary RR.</w:t>
      </w:r>
    </w:p>
    <w:p>
      <w:pPr>
        <w:pStyle w:val="Compact"/>
        <w:numPr>
          <w:ilvl w:val="0"/>
          <w:numId w:val="1024"/>
        </w:numPr>
      </w:pPr>
      <w:r>
        <w:t xml:space="preserve">Disable robust filtering and prewhitening initially.</w:t>
      </w:r>
    </w:p>
    <w:p>
      <w:pPr>
        <w:pStyle w:val="Compact"/>
        <w:numPr>
          <w:ilvl w:val="0"/>
          <w:numId w:val="1024"/>
        </w:numPr>
      </w:pPr>
      <w:r>
        <w:t xml:space="preserve">Enable robust options only after the basic response has been verified.</w:t>
      </w:r>
    </w:p>
    <w:p>
      <w:pPr>
        <w:pStyle w:val="FirstParagraph"/>
      </w:pPr>
      <w:r>
        <w:t xml:space="preserve">Final processing can then use more complete frequency coverage and uncertainty estimation.</w:t>
      </w:r>
    </w:p>
    <w:p>
      <w:r>
        <w:pict>
          <v:rect style="width:0;height:1.5pt" o:hralign="center" o:hrstd="t" o:hr="t"/>
        </w:pict>
      </w:r>
    </w:p>
    <w:bookmarkEnd w:id="86"/>
    <w:bookmarkStart w:id="96" w:name="troubleshooting"/>
    <w:p>
      <w:pPr>
        <w:pStyle w:val="Heading1"/>
      </w:pPr>
      <w:r>
        <w:t xml:space="preserve">31. Troubleshooting</w:t>
      </w:r>
    </w:p>
    <w:bookmarkStart w:id="87" w:name="Xea79517961f0cac123df8562b7486431c59718b"/>
    <w:p>
      <w:pPr>
        <w:pStyle w:val="Heading3"/>
      </w:pPr>
      <w:r>
        <w:t xml:space="preserve">Error: ModuleNotFoundError: No module named</w:t>
      </w:r>
      <w:r>
        <w:t xml:space="preserve"> </w:t>
      </w:r>
      <w:r>
        <w:t xml:space="preserve">‘pandas’</w:t>
      </w:r>
    </w:p>
    <w:p>
      <w:pPr>
        <w:pStyle w:val="FirstParagraph"/>
      </w:pPr>
      <w:r>
        <w:t xml:space="preserve">Activate the pyTRACMT environment:</w:t>
      </w:r>
    </w:p>
    <w:p>
      <w:pPr>
        <w:pStyle w:val="SourceCode"/>
      </w:pPr>
      <w:r>
        <w:rPr>
          <w:rStyle w:val="VerbatimChar"/>
        </w:rPr>
        <w:t xml:space="preserve">conda activate pytracmt</w:t>
      </w:r>
    </w:p>
    <w:p>
      <w:pPr>
        <w:pStyle w:val="FirstParagraph"/>
      </w:pPr>
      <w:r>
        <w:t xml:space="preserve">Install pandas:</w:t>
      </w:r>
    </w:p>
    <w:p>
      <w:pPr>
        <w:pStyle w:val="SourceCode"/>
      </w:pPr>
      <w:r>
        <w:rPr>
          <w:rStyle w:val="VerbatimChar"/>
        </w:rPr>
        <w:t xml:space="preserve">conda install -c conda-forge pandas</w:t>
      </w:r>
    </w:p>
    <w:p>
      <w:r>
        <w:pict>
          <v:rect style="width:0;height:1.5pt" o:hralign="center" o:hrstd="t" o:hr="t"/>
        </w:pict>
      </w:r>
    </w:p>
    <w:bookmarkEnd w:id="87"/>
    <w:bookmarkStart w:id="88" w:name="X12d083f884bb2b135c551db2ea4736eb895b584"/>
    <w:p>
      <w:pPr>
        <w:pStyle w:val="Heading3"/>
      </w:pPr>
      <w:r>
        <w:t xml:space="preserve">Error: ModuleNotFoundError: No module named</w:t>
      </w:r>
      <w:r>
        <w:t xml:space="preserve"> </w:t>
      </w:r>
      <w:r>
        <w:t xml:space="preserve">‘scipy’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conda activate pytracmt</w:t>
      </w:r>
      <w:r>
        <w:br/>
      </w:r>
      <w:r>
        <w:rPr>
          <w:rStyle w:val="VerbatimChar"/>
        </w:rPr>
        <w:t xml:space="preserve">conda install -c conda-forge scipy</w:t>
      </w:r>
    </w:p>
    <w:p>
      <w:r>
        <w:pict>
          <v:rect style="width:0;height:1.5pt" o:hralign="center" o:hrstd="t" o:hr="t"/>
        </w:pict>
      </w:r>
    </w:p>
    <w:bookmarkEnd w:id="88"/>
    <w:bookmarkStart w:id="89" w:name="error-tkinter-is-not-available"/>
    <w:p>
      <w:pPr>
        <w:pStyle w:val="Heading3"/>
      </w:pPr>
      <w:r>
        <w:t xml:space="preserve">Error: Tkinter is not available</w:t>
      </w:r>
    </w:p>
    <w:p>
      <w:pPr>
        <w:pStyle w:val="FirstParagraph"/>
      </w:pPr>
      <w:r>
        <w:t xml:space="preserve">Test Tkinter using:</w:t>
      </w:r>
    </w:p>
    <w:p>
      <w:pPr>
        <w:pStyle w:val="SourceCode"/>
      </w:pPr>
      <w:r>
        <w:rPr>
          <w:rStyle w:val="VerbatimChar"/>
        </w:rPr>
        <w:t xml:space="preserve">python -c "import tkinter"</w:t>
      </w:r>
    </w:p>
    <w:p>
      <w:pPr>
        <w:pStyle w:val="FirstParagraph"/>
      </w:pPr>
      <w:r>
        <w:t xml:space="preserve">If the import fails, install or reinstall a Python distribution that includes Tcl/Tk support.</w:t>
      </w:r>
    </w:p>
    <w:p>
      <w:pPr>
        <w:pStyle w:val="BodyText"/>
      </w:pPr>
      <w:r>
        <w:t xml:space="preserve">The processing engine can still be executed through the command line when the GUI is unavailable.</w:t>
      </w:r>
    </w:p>
    <w:p>
      <w:r>
        <w:pict>
          <v:rect style="width:0;height:1.5pt" o:hralign="center" o:hrstd="t" o:hr="t"/>
        </w:pict>
      </w:r>
    </w:p>
    <w:bookmarkEnd w:id="89"/>
    <w:bookmarkStart w:id="90" w:name="error-data_files-block-is-required"/>
    <w:p>
      <w:pPr>
        <w:pStyle w:val="Heading3"/>
      </w:pPr>
      <w:r>
        <w:t xml:space="preserve">Error: DATA_FILES block is required</w:t>
      </w:r>
    </w:p>
    <w:p>
      <w:pPr>
        <w:pStyle w:val="FirstParagraph"/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param.dat</w:t>
      </w:r>
      <w:r>
        <w:t xml:space="preserve"> </w:t>
      </w:r>
      <w:r>
        <w:t xml:space="preserve">contains a valid:</w:t>
      </w:r>
    </w:p>
    <w:p>
      <w:pPr>
        <w:pStyle w:val="SourceCode"/>
      </w:pPr>
      <w:r>
        <w:rPr>
          <w:rStyle w:val="VerbatimChar"/>
        </w:rPr>
        <w:t xml:space="preserve">DATA_FILES</w:t>
      </w:r>
    </w:p>
    <w:p>
      <w:pPr>
        <w:pStyle w:val="FirstParagraph"/>
      </w:pPr>
      <w:r>
        <w:t xml:space="preserve">section and that the number of listed channels is consistent with the processing configuration.</w:t>
      </w:r>
    </w:p>
    <w:p>
      <w:r>
        <w:pict>
          <v:rect style="width:0;height:1.5pt" o:hralign="center" o:hrstd="t" o:hr="t"/>
        </w:pict>
      </w:r>
    </w:p>
    <w:bookmarkEnd w:id="90"/>
    <w:bookmarkStart w:id="91" w:name="error-segment-block-is-required"/>
    <w:p>
      <w:pPr>
        <w:pStyle w:val="Heading3"/>
      </w:pPr>
      <w:r>
        <w:t xml:space="preserve">Error: SEGMENT block is required</w:t>
      </w:r>
    </w:p>
    <w:p>
      <w:pPr>
        <w:pStyle w:val="FirstParagraph"/>
      </w:pPr>
      <w:r>
        <w:t xml:space="preserve">The current program requires a valid:</w:t>
      </w:r>
    </w:p>
    <w:p>
      <w:pPr>
        <w:pStyle w:val="SourceCode"/>
      </w:pPr>
      <w:r>
        <w:rPr>
          <w:rStyle w:val="VerbatimChar"/>
        </w:rPr>
        <w:t xml:space="preserve">SEGMENT</w:t>
      </w:r>
    </w:p>
    <w:p>
      <w:pPr>
        <w:pStyle w:val="FirstParagraph"/>
      </w:pPr>
      <w:r>
        <w:t xml:space="preserve">section defining segment length and FFT frequency indices.</w:t>
      </w:r>
    </w:p>
    <w:p>
      <w:r>
        <w:pict>
          <v:rect style="width:0;height:1.5pt" o:hralign="center" o:hrstd="t" o:hr="t"/>
        </w:pict>
      </w:r>
    </w:p>
    <w:bookmarkEnd w:id="91"/>
    <w:bookmarkStart w:id="92" w:name="error-time-series-file-not-found"/>
    <w:p>
      <w:pPr>
        <w:pStyle w:val="Heading3"/>
      </w:pPr>
      <w:r>
        <w:t xml:space="preserve">Error: Time-series file not found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25"/>
        </w:numPr>
      </w:pPr>
      <w:r>
        <w:t xml:space="preserve">File path</w:t>
      </w:r>
    </w:p>
    <w:p>
      <w:pPr>
        <w:pStyle w:val="Compact"/>
        <w:numPr>
          <w:ilvl w:val="0"/>
          <w:numId w:val="1025"/>
        </w:numPr>
      </w:pPr>
      <w:r>
        <w:t xml:space="preserve">Filename</w:t>
      </w:r>
    </w:p>
    <w:p>
      <w:pPr>
        <w:pStyle w:val="Compact"/>
        <w:numPr>
          <w:ilvl w:val="0"/>
          <w:numId w:val="1025"/>
        </w:numPr>
      </w:pPr>
      <w:r>
        <w:t xml:space="preserve">Relative versus absolute path</w:t>
      </w:r>
    </w:p>
    <w:p>
      <w:pPr>
        <w:pStyle w:val="Compact"/>
        <w:numPr>
          <w:ilvl w:val="0"/>
          <w:numId w:val="1025"/>
        </w:numPr>
      </w:pPr>
      <w:r>
        <w:t xml:space="preserve">Current working directory</w:t>
      </w:r>
    </w:p>
    <w:p>
      <w:pPr>
        <w:pStyle w:val="Compact"/>
        <w:numPr>
          <w:ilvl w:val="0"/>
          <w:numId w:val="1025"/>
        </w:numPr>
      </w:pPr>
      <w:r>
        <w:t xml:space="preserve">Paths specified in</w:t>
      </w:r>
      <w:r>
        <w:t xml:space="preserve"> </w:t>
      </w:r>
      <w:r>
        <w:rPr>
          <w:rStyle w:val="VerbatimChar"/>
        </w:rPr>
        <w:t xml:space="preserve">param.dat</w:t>
      </w:r>
    </w:p>
    <w:p>
      <w:pPr>
        <w:pStyle w:val="FirstParagraph"/>
      </w:pPr>
      <w:r>
        <w:t xml:space="preserve">The current parser supports Windows paths containing spaces and performs additional path diagnostics when a file cannot be located.</w:t>
      </w:r>
    </w:p>
    <w:p>
      <w:r>
        <w:pict>
          <v:rect style="width:0;height:1.5pt" o:hralign="center" o:hrstd="t" o:hr="t"/>
        </w:pict>
      </w:r>
    </w:p>
    <w:bookmarkEnd w:id="92"/>
    <w:bookmarkStart w:id="93" w:name="error-no-numeric-samples-read"/>
    <w:p>
      <w:pPr>
        <w:pStyle w:val="Heading3"/>
      </w:pPr>
      <w:r>
        <w:t xml:space="preserve">Error: No numeric samples read</w:t>
      </w:r>
    </w:p>
    <w:p>
      <w:pPr>
        <w:pStyle w:val="FirstParagraph"/>
      </w:pPr>
      <w:r>
        <w:t xml:space="preserve">Check that:</w:t>
      </w:r>
    </w:p>
    <w:p>
      <w:pPr>
        <w:pStyle w:val="Compact"/>
        <w:numPr>
          <w:ilvl w:val="0"/>
          <w:numId w:val="1026"/>
        </w:numPr>
      </w:pPr>
      <w:r>
        <w:t xml:space="preserve">The input file contains numeric data.</w:t>
      </w:r>
    </w:p>
    <w:p>
      <w:pPr>
        <w:pStyle w:val="Compact"/>
        <w:numPr>
          <w:ilvl w:val="0"/>
          <w:numId w:val="1026"/>
        </w:numPr>
      </w:pPr>
      <w:r>
        <w:t xml:space="preserve">The selected channel column contains valid numbers.</w:t>
      </w:r>
    </w:p>
    <w:p>
      <w:pPr>
        <w:pStyle w:val="Compact"/>
        <w:numPr>
          <w:ilvl w:val="0"/>
          <w:numId w:val="1026"/>
        </w:numPr>
      </w:pPr>
      <w:r>
        <w:t xml:space="preserve">The file is not empty.</w:t>
      </w:r>
    </w:p>
    <w:p>
      <w:pPr>
        <w:pStyle w:val="Compact"/>
        <w:numPr>
          <w:ilvl w:val="0"/>
          <w:numId w:val="1026"/>
        </w:numPr>
      </w:pPr>
      <w:r>
        <w:t xml:space="preserve">Header formatting is valid.</w:t>
      </w:r>
    </w:p>
    <w:p>
      <w:pPr>
        <w:pStyle w:val="Compact"/>
        <w:numPr>
          <w:ilvl w:val="0"/>
          <w:numId w:val="1026"/>
        </w:numPr>
      </w:pPr>
      <w:r>
        <w:t xml:space="preserve">The skip value does not exceed the available number of samples.</w:t>
      </w:r>
    </w:p>
    <w:p>
      <w:r>
        <w:pict>
          <v:rect style="width:0;height:1.5pt" o:hralign="center" o:hrstd="t" o:hr="t"/>
        </w:pict>
      </w:r>
    </w:p>
    <w:bookmarkEnd w:id="93"/>
    <w:bookmarkStart w:id="94" w:name="remote-reference-warning"/>
    <w:p>
      <w:pPr>
        <w:pStyle w:val="Heading3"/>
      </w:pPr>
      <w:r>
        <w:t xml:space="preserve">Remote-reference warning</w:t>
      </w:r>
    </w:p>
    <w:p>
      <w:pPr>
        <w:pStyle w:val="FirstParagraph"/>
      </w:pPr>
      <w:r>
        <w:t xml:space="preserve">The currently implemented RR, RRMS, and MRRMS workflows require independent remote-reference magnetic channels.</w:t>
      </w:r>
    </w:p>
    <w:p>
      <w:pPr>
        <w:pStyle w:val="BodyText"/>
      </w:pPr>
      <w:r>
        <w:t xml:space="preserve">Provide:</w:t>
      </w:r>
    </w:p>
    <w:p>
      <w:pPr>
        <w:pStyle w:val="SourceCode"/>
      </w:pPr>
      <w:r>
        <w:rPr>
          <w:rStyle w:val="VerbatimChar"/>
        </w:rPr>
        <w:t xml:space="preserve">RR Hx</w:t>
      </w:r>
      <w:r>
        <w:br/>
      </w:r>
      <w:r>
        <w:rPr>
          <w:rStyle w:val="VerbatimChar"/>
        </w:rPr>
        <w:t xml:space="preserve">RR Hy</w:t>
      </w:r>
    </w:p>
    <w:p>
      <w:pPr>
        <w:pStyle w:val="FirstParagraph"/>
      </w:pPr>
      <w:r>
        <w:t xml:space="preserve">before starting the calculation.</w:t>
      </w:r>
    </w:p>
    <w:p>
      <w:r>
        <w:pict>
          <v:rect style="width:0;height:1.5pt" o:hralign="center" o:hrstd="t" o:hr="t"/>
        </w:pict>
      </w:r>
    </w:p>
    <w:bookmarkEnd w:id="94"/>
    <w:bookmarkStart w:id="95" w:name="calculation-takes-too-long"/>
    <w:p>
      <w:pPr>
        <w:pStyle w:val="Heading3"/>
      </w:pPr>
      <w:r>
        <w:t xml:space="preserve">Calculation takes too long</w:t>
      </w:r>
    </w:p>
    <w:p>
      <w:pPr>
        <w:pStyle w:val="FirstParagraph"/>
      </w:pPr>
      <w:r>
        <w:t xml:space="preserve">Try:</w:t>
      </w:r>
    </w:p>
    <w:p>
      <w:pPr>
        <w:pStyle w:val="Compact"/>
        <w:numPr>
          <w:ilvl w:val="0"/>
          <w:numId w:val="1027"/>
        </w:numPr>
      </w:pPr>
      <w:r>
        <w:t xml:space="preserve">Fewer frequency indices</w:t>
      </w:r>
    </w:p>
    <w:p>
      <w:pPr>
        <w:pStyle w:val="Compact"/>
        <w:numPr>
          <w:ilvl w:val="0"/>
          <w:numId w:val="1027"/>
        </w:numPr>
      </w:pPr>
      <w:r>
        <w:t xml:space="preserve">Shorter input data</w:t>
      </w:r>
    </w:p>
    <w:p>
      <w:pPr>
        <w:pStyle w:val="Compact"/>
        <w:numPr>
          <w:ilvl w:val="0"/>
          <w:numId w:val="1027"/>
        </w:numPr>
      </w:pPr>
      <w:r>
        <w:t xml:space="preserve">Ordinary RR instead of RRMS</w:t>
      </w:r>
    </w:p>
    <w:p>
      <w:pPr>
        <w:pStyle w:val="Compact"/>
        <w:numPr>
          <w:ilvl w:val="0"/>
          <w:numId w:val="1027"/>
        </w:numPr>
      </w:pPr>
      <w:r>
        <w:t xml:space="preserve">Fewer bootstrap repetitions</w:t>
      </w:r>
    </w:p>
    <w:p>
      <w:pPr>
        <w:pStyle w:val="Compact"/>
        <w:numPr>
          <w:ilvl w:val="0"/>
          <w:numId w:val="1027"/>
        </w:numPr>
      </w:pPr>
      <w:r>
        <w:t xml:space="preserve">Parametric uncertainty estimation during testing</w:t>
      </w:r>
    </w:p>
    <w:p>
      <w:pPr>
        <w:pStyle w:val="Compact"/>
        <w:numPr>
          <w:ilvl w:val="0"/>
          <w:numId w:val="1027"/>
        </w:numPr>
      </w:pPr>
      <w:r>
        <w:t xml:space="preserve">Disabling full-refit bootstrap modes</w:t>
      </w:r>
    </w:p>
    <w:p>
      <w:pPr>
        <w:pStyle w:val="FirstParagraph"/>
      </w:pPr>
      <w:r>
        <w:t xml:space="preserve">After the processing configuration has been verified, restore the desired final settings.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recommended-folder-structure"/>
    <w:p>
      <w:pPr>
        <w:pStyle w:val="Heading1"/>
      </w:pPr>
      <w:r>
        <w:t xml:space="preserve">32. Recommended Folder Structure</w:t>
      </w:r>
    </w:p>
    <w:p>
      <w:pPr>
        <w:pStyle w:val="FirstParagraph"/>
      </w:pPr>
      <w:r>
        <w:t xml:space="preserve">A convenient project structure is:</w:t>
      </w:r>
    </w:p>
    <w:p>
      <w:pPr>
        <w:pStyle w:val="SourceCode"/>
      </w:pPr>
      <w:r>
        <w:rPr>
          <w:rStyle w:val="VerbatimChar"/>
        </w:rPr>
        <w:t xml:space="preserve">C:\PyTRACMT_Project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pyTRACMT_Professional_v11.py</w:t>
      </w:r>
      <w:r>
        <w:br/>
      </w:r>
      <w:r>
        <w:rPr>
          <w:rStyle w:val="VerbatimChar"/>
        </w:rPr>
        <w:t xml:space="preserve">├── param.dat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</w:t>
      </w:r>
      <w:r>
        <w:br/>
      </w:r>
      <w:r>
        <w:rPr>
          <w:rStyle w:val="VerbatimChar"/>
        </w:rPr>
        <w:t xml:space="preserve">│   ├── Ex.csv</w:t>
      </w:r>
      <w:r>
        <w:br/>
      </w:r>
      <w:r>
        <w:rPr>
          <w:rStyle w:val="VerbatimChar"/>
        </w:rPr>
        <w:t xml:space="preserve">│   ├── Ey.csv</w:t>
      </w:r>
      <w:r>
        <w:br/>
      </w:r>
      <w:r>
        <w:rPr>
          <w:rStyle w:val="VerbatimChar"/>
        </w:rPr>
        <w:t xml:space="preserve">│   ├── Hx.csv</w:t>
      </w:r>
      <w:r>
        <w:br/>
      </w:r>
      <w:r>
        <w:rPr>
          <w:rStyle w:val="VerbatimChar"/>
        </w:rPr>
        <w:t xml:space="preserve">│   ├── Hy.csv</w:t>
      </w:r>
      <w:r>
        <w:br/>
      </w:r>
      <w:r>
        <w:rPr>
          <w:rStyle w:val="VerbatimChar"/>
        </w:rPr>
        <w:t xml:space="preserve">│   ├── Hxr.csv</w:t>
      </w:r>
      <w:r>
        <w:br/>
      </w:r>
      <w:r>
        <w:rPr>
          <w:rStyle w:val="VerbatimChar"/>
        </w:rPr>
        <w:t xml:space="preserve">│   └── Hyr.csv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calibration</w:t>
      </w:r>
      <w:r>
        <w:br/>
      </w:r>
      <w:r>
        <w:rPr>
          <w:rStyle w:val="VerbatimChar"/>
        </w:rPr>
        <w:t xml:space="preserve">│   ├── Ex.cal</w:t>
      </w:r>
      <w:r>
        <w:br/>
      </w:r>
      <w:r>
        <w:rPr>
          <w:rStyle w:val="VerbatimChar"/>
        </w:rPr>
        <w:t xml:space="preserve">│   ├── Ey.cal</w:t>
      </w:r>
      <w:r>
        <w:br/>
      </w:r>
      <w:r>
        <w:rPr>
          <w:rStyle w:val="VerbatimChar"/>
        </w:rPr>
        <w:t xml:space="preserve">│   ├── Hx.cal</w:t>
      </w:r>
      <w:r>
        <w:br/>
      </w:r>
      <w:r>
        <w:rPr>
          <w:rStyle w:val="VerbatimChar"/>
        </w:rPr>
        <w:t xml:space="preserve">│   ├── Hy.cal</w:t>
      </w:r>
      <w:r>
        <w:br/>
      </w:r>
      <w:r>
        <w:rPr>
          <w:rStyle w:val="VerbatimChar"/>
        </w:rPr>
        <w:t xml:space="preserve">│   ├── Hxr.cal</w:t>
      </w:r>
      <w:r>
        <w:br/>
      </w:r>
      <w:r>
        <w:rPr>
          <w:rStyle w:val="VerbatimChar"/>
        </w:rPr>
        <w:t xml:space="preserve">│   └── Hyr.cal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output</w:t>
      </w:r>
      <w:r>
        <w:br/>
      </w:r>
      <w:r>
        <w:rPr>
          <w:rStyle w:val="VerbatimChar"/>
        </w:rPr>
        <w:t xml:space="preserve">    ├── TRACMT.log</w:t>
      </w:r>
      <w:r>
        <w:br/>
      </w:r>
      <w:r>
        <w:rPr>
          <w:rStyle w:val="VerbatimChar"/>
        </w:rPr>
        <w:t xml:space="preserve">    ├── TRACMT.cvg</w:t>
      </w:r>
      <w:r>
        <w:br/>
      </w:r>
      <w:r>
        <w:rPr>
          <w:rStyle w:val="VerbatimChar"/>
        </w:rPr>
        <w:t xml:space="preserve">    ├── response_functions.csv</w:t>
      </w:r>
      <w:r>
        <w:br/>
      </w:r>
      <w:r>
        <w:rPr>
          <w:rStyle w:val="VerbatimChar"/>
        </w:rPr>
        <w:t xml:space="preserve">    ├── apparent_resistivity_and_phase.csv</w:t>
      </w:r>
      <w:r>
        <w:br/>
      </w:r>
      <w:r>
        <w:rPr>
          <w:rStyle w:val="VerbatimChar"/>
        </w:rPr>
        <w:t xml:space="preserve">    ├── response_functions_gui_alias.csv</w:t>
      </w:r>
      <w:r>
        <w:br/>
      </w:r>
      <w:r>
        <w:rPr>
          <w:rStyle w:val="VerbatimChar"/>
        </w:rPr>
        <w:t xml:space="preserve">    ├── apparent_resistivity_and_phase_gui_alias.csv</w:t>
      </w:r>
      <w:r>
        <w:br/>
      </w:r>
      <w:r>
        <w:rPr>
          <w:rStyle w:val="VerbatimChar"/>
        </w:rPr>
        <w:t xml:space="preserve">    └── pyTRACMT.edi</w:t>
      </w:r>
    </w:p>
    <w:p>
      <w:pPr>
        <w:pStyle w:val="FirstParagraph"/>
      </w:pPr>
      <w:r>
        <w:t xml:space="preserve">Calibration files are required only when calibration correction is used.</w:t>
      </w:r>
    </w:p>
    <w:p>
      <w:r>
        <w:pict>
          <v:rect style="width:0;height:1.5pt" o:hralign="center" o:hrstd="t" o:hr="t"/>
        </w:pict>
      </w:r>
    </w:p>
    <w:bookmarkEnd w:id="97"/>
    <w:bookmarkStart w:id="98" w:name="suggested-workflow-for-new-data"/>
    <w:p>
      <w:pPr>
        <w:pStyle w:val="Heading1"/>
      </w:pPr>
      <w:r>
        <w:t xml:space="preserve">33. Suggested Workflow for New Data</w:t>
      </w:r>
    </w:p>
    <w:p>
      <w:pPr>
        <w:pStyle w:val="FirstParagraph"/>
      </w:pPr>
      <w:r>
        <w:t xml:space="preserve">For a new MT dataset:</w:t>
      </w:r>
    </w:p>
    <w:p>
      <w:pPr>
        <w:pStyle w:val="Compact"/>
        <w:numPr>
          <w:ilvl w:val="0"/>
          <w:numId w:val="1028"/>
        </w:numPr>
      </w:pPr>
      <w:r>
        <w:t xml:space="preserve">Confirm the sampling frequency.</w:t>
      </w:r>
    </w:p>
    <w:p>
      <w:pPr>
        <w:pStyle w:val="Compact"/>
        <w:numPr>
          <w:ilvl w:val="0"/>
          <w:numId w:val="1028"/>
        </w:numPr>
      </w:pPr>
      <w:r>
        <w:t xml:space="preserve">Confirm the channel order.</w:t>
      </w:r>
    </w:p>
    <w:p>
      <w:pPr>
        <w:pStyle w:val="Compact"/>
        <w:numPr>
          <w:ilvl w:val="0"/>
          <w:numId w:val="1028"/>
        </w:numPr>
      </w:pPr>
      <w:r>
        <w:t xml:space="preserve">Confirm the electric- and magnetic-field units.</w:t>
      </w:r>
    </w:p>
    <w:p>
      <w:pPr>
        <w:pStyle w:val="Compact"/>
        <w:numPr>
          <w:ilvl w:val="0"/>
          <w:numId w:val="1028"/>
        </w:numPr>
      </w:pPr>
      <w:r>
        <w:t xml:space="preserve">Inspect the raw time series.</w:t>
      </w:r>
    </w:p>
    <w:p>
      <w:pPr>
        <w:pStyle w:val="Compact"/>
        <w:numPr>
          <w:ilvl w:val="0"/>
          <w:numId w:val="1028"/>
        </w:numPr>
      </w:pPr>
      <w:r>
        <w:t xml:space="preserve">Verify remote-reference synchronization and data availability.</w:t>
      </w:r>
    </w:p>
    <w:p>
      <w:pPr>
        <w:pStyle w:val="Compact"/>
        <w:numPr>
          <w:ilvl w:val="0"/>
          <w:numId w:val="1028"/>
        </w:numPr>
      </w:pPr>
      <w:r>
        <w:t xml:space="preserve">Run a short ordinary-RR test.</w:t>
      </w:r>
    </w:p>
    <w:p>
      <w:pPr>
        <w:pStyle w:val="Compact"/>
        <w:numPr>
          <w:ilvl w:val="0"/>
          <w:numId w:val="1028"/>
        </w:numPr>
      </w:pPr>
      <w:r>
        <w:t xml:space="preserve">Inspect Zxy and Zyx.</w:t>
      </w:r>
    </w:p>
    <w:p>
      <w:pPr>
        <w:pStyle w:val="Compact"/>
        <w:numPr>
          <w:ilvl w:val="0"/>
          <w:numId w:val="1028"/>
        </w:numPr>
      </w:pPr>
      <w:r>
        <w:t xml:space="preserve">Inspect Zxx and Zyy for additional quality control.</w:t>
      </w:r>
    </w:p>
    <w:p>
      <w:pPr>
        <w:pStyle w:val="Compact"/>
        <w:numPr>
          <w:ilvl w:val="0"/>
          <w:numId w:val="1028"/>
        </w:numPr>
      </w:pPr>
      <w:r>
        <w:t xml:space="preserve">Check apparent resistivity and phase.</w:t>
      </w:r>
    </w:p>
    <w:p>
      <w:pPr>
        <w:pStyle w:val="Compact"/>
        <w:numPr>
          <w:ilvl w:val="0"/>
          <w:numId w:val="1028"/>
        </w:numPr>
      </w:pPr>
      <w:r>
        <w:t xml:space="preserve">Check uncertainty/error bars.</w:t>
      </w:r>
    </w:p>
    <w:p>
      <w:pPr>
        <w:pStyle w:val="Compact"/>
        <w:numPr>
          <w:ilvl w:val="0"/>
          <w:numId w:val="1028"/>
        </w:numPr>
      </w:pPr>
      <w:r>
        <w:t xml:space="preserve">Apply calibration correction where required.</w:t>
      </w:r>
    </w:p>
    <w:p>
      <w:pPr>
        <w:pStyle w:val="Compact"/>
        <w:numPr>
          <w:ilvl w:val="0"/>
          <w:numId w:val="1028"/>
        </w:numPr>
      </w:pPr>
      <w:r>
        <w:t xml:space="preserve">Test robust filtering if spikes are present.</w:t>
      </w:r>
    </w:p>
    <w:p>
      <w:pPr>
        <w:pStyle w:val="Compact"/>
        <w:numPr>
          <w:ilvl w:val="0"/>
          <w:numId w:val="1028"/>
        </w:numPr>
      </w:pPr>
      <w:r>
        <w:t xml:space="preserve">Test prewhitening if required.</w:t>
      </w:r>
    </w:p>
    <w:p>
      <w:pPr>
        <w:pStyle w:val="Compact"/>
        <w:numPr>
          <w:ilvl w:val="0"/>
          <w:numId w:val="1028"/>
        </w:numPr>
      </w:pPr>
      <w:r>
        <w:t xml:space="preserve">Apply coherence rejection.</w:t>
      </w:r>
    </w:p>
    <w:p>
      <w:pPr>
        <w:pStyle w:val="Compact"/>
        <w:numPr>
          <w:ilvl w:val="0"/>
          <w:numId w:val="1028"/>
        </w:numPr>
      </w:pPr>
      <w:r>
        <w:t xml:space="preserve">Compare ordinary RR with robust RR and RRMS.</w:t>
      </w:r>
    </w:p>
    <w:p>
      <w:pPr>
        <w:pStyle w:val="Compact"/>
        <w:numPr>
          <w:ilvl w:val="0"/>
          <w:numId w:val="1028"/>
        </w:numPr>
      </w:pPr>
      <w:r>
        <w:t xml:space="preserve">Select the preferred processing strategy.</w:t>
      </w:r>
    </w:p>
    <w:p>
      <w:pPr>
        <w:pStyle w:val="Compact"/>
        <w:numPr>
          <w:ilvl w:val="0"/>
          <w:numId w:val="1028"/>
        </w:numPr>
      </w:pPr>
      <w:r>
        <w:t xml:space="preserve">Perform final uncertainty estimation.</w:t>
      </w:r>
    </w:p>
    <w:p>
      <w:pPr>
        <w:pStyle w:val="Compact"/>
        <w:numPr>
          <w:ilvl w:val="0"/>
          <w:numId w:val="1028"/>
        </w:numPr>
      </w:pPr>
      <w:r>
        <w:t xml:space="preserve">Export CSV and EDI results.</w:t>
      </w:r>
    </w:p>
    <w:p>
      <w:pPr>
        <w:pStyle w:val="Compact"/>
        <w:numPr>
          <w:ilvl w:val="0"/>
          <w:numId w:val="1028"/>
        </w:numPr>
      </w:pPr>
      <w:r>
        <w:t xml:space="preserve">Save plots and processing logs for documentation.</w:t>
      </w:r>
    </w:p>
    <w:p>
      <w:r>
        <w:pict>
          <v:rect style="width:0;height:1.5pt" o:hralign="center" o:hrstd="t" o:hr="t"/>
        </w:pict>
      </w:r>
    </w:p>
    <w:bookmarkEnd w:id="98"/>
    <w:bookmarkStart w:id="99" w:name="packaging-as-a-windows-executable"/>
    <w:p>
      <w:pPr>
        <w:pStyle w:val="Heading1"/>
      </w:pPr>
      <w:r>
        <w:t xml:space="preserve">34. Packaging as a Windows Executable</w:t>
      </w:r>
    </w:p>
    <w:p>
      <w:pPr>
        <w:pStyle w:val="FirstParagraph"/>
      </w:pPr>
      <w:r>
        <w:t xml:space="preserve">Install PyInstaller:</w:t>
      </w:r>
    </w:p>
    <w:p>
      <w:pPr>
        <w:pStyle w:val="SourceCode"/>
      </w:pPr>
      <w:r>
        <w:rPr>
          <w:rStyle w:val="VerbatimChar"/>
        </w:rPr>
        <w:t xml:space="preserve">pip install pyinstaller</w:t>
      </w:r>
    </w:p>
    <w:p>
      <w:pPr>
        <w:pStyle w:val="FirstParagraph"/>
      </w:pPr>
      <w:r>
        <w:t xml:space="preserve">A single-file GUI executable can be created using:</w:t>
      </w:r>
    </w:p>
    <w:p>
      <w:pPr>
        <w:pStyle w:val="SourceCode"/>
      </w:pPr>
      <w:r>
        <w:rPr>
          <w:rStyle w:val="VerbatimChar"/>
        </w:rPr>
        <w:t xml:space="preserve">pyinstaller --onefile --windowed pyTRACMT_Professional_v11.py</w:t>
      </w:r>
    </w:p>
    <w:p>
      <w:pPr>
        <w:pStyle w:val="FirstParagraph"/>
      </w:pPr>
      <w:r>
        <w:t xml:space="preserve">The executable will normally be created in:</w:t>
      </w:r>
    </w:p>
    <w:p>
      <w:pPr>
        <w:pStyle w:val="SourceCode"/>
      </w:pPr>
      <w:r>
        <w:rPr>
          <w:rStyle w:val="VerbatimChar"/>
        </w:rPr>
        <w:t xml:space="preserve">dist\pyTRACMT_Professional_v11.exe</w:t>
      </w:r>
    </w:p>
    <w:p>
      <w:pPr>
        <w:pStyle w:val="FirstParagraph"/>
      </w:pPr>
      <w:r>
        <w:t xml:space="preserve">Scientific Python executables may be relatively large because Python, NumPy, SciPy, Matplotlib, and GUI dependencies must be packaged with the application.</w:t>
      </w:r>
    </w:p>
    <w:p>
      <w:pPr>
        <w:pStyle w:val="BodyText"/>
      </w:pPr>
      <w:r>
        <w:t xml:space="preserve">If executable packaging causes dependency problems, running pyTRACMT from its dedicated Conda environment is recommended.</w:t>
      </w:r>
    </w:p>
    <w:p>
      <w:r>
        <w:pict>
          <v:rect style="width:0;height:1.5pt" o:hralign="center" o:hrstd="t" o:hr="t"/>
        </w:pict>
      </w:r>
    </w:p>
    <w:bookmarkEnd w:id="99"/>
    <w:bookmarkStart w:id="101" w:name="important-notes-on-tracmt-compatibility"/>
    <w:p>
      <w:pPr>
        <w:pStyle w:val="Heading1"/>
      </w:pPr>
      <w:r>
        <w:t xml:space="preserve">35. Important Notes on TRACMT Compatibility</w:t>
      </w:r>
    </w:p>
    <w:p>
      <w:pPr>
        <w:pStyle w:val="FirstParagraph"/>
      </w:pPr>
      <w:r>
        <w:t xml:space="preserve">pyTRACMT Professional v11 is a Python reconstruction of the principal TRACMT processing workflow rather than a direct compilation of the original C++ program.</w:t>
      </w:r>
    </w:p>
    <w:p>
      <w:pPr>
        <w:pStyle w:val="BodyText"/>
      </w:pPr>
      <w:r>
        <w:t xml:space="preserve">Version 11 incorporates several source-aligned numerical procedures, including:</w:t>
      </w:r>
    </w:p>
    <w:p>
      <w:pPr>
        <w:pStyle w:val="Compact"/>
        <w:numPr>
          <w:ilvl w:val="0"/>
          <w:numId w:val="1029"/>
        </w:numPr>
      </w:pPr>
      <w:r>
        <w:t xml:space="preserve">C++</w:t>
      </w:r>
      <w:r>
        <w:t xml:space="preserve"> </w:t>
      </w:r>
      <w:r>
        <w:rPr>
          <w:rStyle w:val="VerbatimChar"/>
        </w:rPr>
        <w:t xml:space="preserve">std::mt19937_64</w:t>
      </w:r>
      <w:r>
        <w:t xml:space="preserve">-compatible random-number generation</w:t>
      </w:r>
    </w:p>
    <w:p>
      <w:pPr>
        <w:pStyle w:val="Compact"/>
        <w:numPr>
          <w:ilvl w:val="0"/>
          <w:numId w:val="1029"/>
        </w:numPr>
      </w:pPr>
      <w:r>
        <w:t xml:space="preserve">TRACMT-style bootstrap resampling</w:t>
      </w:r>
    </w:p>
    <w:p>
      <w:pPr>
        <w:pStyle w:val="Compact"/>
        <w:numPr>
          <w:ilvl w:val="0"/>
          <w:numId w:val="1029"/>
        </w:numPr>
      </w:pPr>
      <w:r>
        <w:t xml:space="preserve">Full estimator refitting for robust and strict bootstrap modes</w:t>
      </w:r>
    </w:p>
    <w:p>
      <w:pPr>
        <w:pStyle w:val="Compact"/>
        <w:numPr>
          <w:ilvl w:val="0"/>
          <w:numId w:val="1029"/>
        </w:numPr>
      </w:pPr>
      <w:r>
        <w:t xml:space="preserve">TRACMT Tukey biweight parameter tables</w:t>
      </w:r>
    </w:p>
    <w:p>
      <w:pPr>
        <w:pStyle w:val="Compact"/>
        <w:numPr>
          <w:ilvl w:val="0"/>
          <w:numId w:val="1029"/>
        </w:numPr>
      </w:pPr>
      <w:r>
        <w:t xml:space="preserve">TRACMT-style Tukey interpolation and scale updating</w:t>
      </w:r>
    </w:p>
    <w:p>
      <w:pPr>
        <w:pStyle w:val="Compact"/>
        <w:numPr>
          <w:ilvl w:val="0"/>
          <w:numId w:val="1029"/>
        </w:numPr>
      </w:pPr>
      <w:r>
        <w:t xml:space="preserve">Short-section zero padding</w:t>
      </w:r>
    </w:p>
    <w:p>
      <w:pPr>
        <w:pStyle w:val="Compact"/>
        <w:numPr>
          <w:ilvl w:val="0"/>
          <w:numId w:val="1029"/>
        </w:numPr>
      </w:pPr>
      <w:r>
        <w:t xml:space="preserve">Source-aligned FFT segmentation behavior</w:t>
      </w:r>
    </w:p>
    <w:p>
      <w:pPr>
        <w:pStyle w:val="Compact"/>
        <w:numPr>
          <w:ilvl w:val="0"/>
          <w:numId w:val="1029"/>
        </w:numPr>
      </w:pPr>
      <w:r>
        <w:t xml:space="preserve">Removal of unintended segment demeaning</w:t>
      </w:r>
    </w:p>
    <w:p>
      <w:pPr>
        <w:pStyle w:val="Compact"/>
        <w:numPr>
          <w:ilvl w:val="0"/>
          <w:numId w:val="1029"/>
        </w:numPr>
      </w:pPr>
      <w:r>
        <w:t xml:space="preserve">TRACMT-style ordinary-RR coherence rejection</w:t>
      </w:r>
    </w:p>
    <w:p>
      <w:pPr>
        <w:pStyle w:val="Compact"/>
        <w:numPr>
          <w:ilvl w:val="0"/>
          <w:numId w:val="1029"/>
        </w:numPr>
      </w:pPr>
      <w:r>
        <w:t xml:space="preserve">TRACMT-compatible apparent-resistivity scaling</w:t>
      </w:r>
    </w:p>
    <w:p>
      <w:pPr>
        <w:pStyle w:val="Compact"/>
        <w:numPr>
          <w:ilvl w:val="0"/>
          <w:numId w:val="1029"/>
        </w:numPr>
      </w:pPr>
      <w:r>
        <w:t xml:space="preserve">TRACMT-style uncertainty propagation</w:t>
      </w:r>
    </w:p>
    <w:p>
      <w:pPr>
        <w:pStyle w:val="FirstParagraph"/>
      </w:pPr>
      <w:r>
        <w:t xml:space="preserve">These features are intended to improve consistency between pyTRACMT and the original TRACMT processing results.</w:t>
      </w:r>
    </w:p>
    <w:p>
      <w:pPr>
        <w:pStyle w:val="BodyText"/>
      </w:pPr>
      <w:r>
        <w:t xml:space="preserve">Nevertheless, exact numerical identity cannot be guaranteed in all cases because results may also depend on compiler implementation, numerical libraries, floating-point precision, random-number distribution mapping, preprocessing settings, and input-data precision.</w:t>
      </w:r>
    </w:p>
    <w:p>
      <w:r>
        <w:pict>
          <v:rect style="width:0;height:1.5pt" o:hralign="center" o:hrstd="t" o:hr="t"/>
        </w:pict>
      </w:r>
    </w:p>
    <w:bookmarkStart w:id="100" w:name="end-of-guide"/>
    <w:p>
      <w:pPr>
        <w:pStyle w:val="Heading2"/>
      </w:pPr>
      <w:r>
        <w:t xml:space="preserve">End of Guide</w:t>
      </w:r>
    </w:p>
    <w:p>
      <w:pPr>
        <w:pStyle w:val="FirstParagraph"/>
      </w:pPr>
      <w:r>
        <w:rPr>
          <w:b/>
          <w:bCs/>
        </w:rPr>
        <w:t xml:space="preserve">pyTRACMT Professional v11 — TRACMT Source-Aligned Edition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2026-07-28T01:56:19Z</dcterms:created>
  <dcterms:modified xsi:type="dcterms:W3CDTF">2026-07-28T01:56:19Z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