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5623" w14:textId="77777777" w:rsidR="00622D02" w:rsidRDefault="00622D02">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2"/>
        <w:tblW w:w="6590" w:type="dxa"/>
        <w:tblInd w:w="0" w:type="dxa"/>
        <w:tblLayout w:type="fixed"/>
        <w:tblLook w:val="0000" w:firstRow="0" w:lastRow="0" w:firstColumn="0" w:lastColumn="0" w:noHBand="0" w:noVBand="0"/>
      </w:tblPr>
      <w:tblGrid>
        <w:gridCol w:w="1063"/>
        <w:gridCol w:w="5527"/>
      </w:tblGrid>
      <w:tr w:rsidR="00622D02" w14:paraId="166ED9A5" w14:textId="77777777">
        <w:trPr>
          <w:trHeight w:val="851"/>
        </w:trPr>
        <w:tc>
          <w:tcPr>
            <w:tcW w:w="1063" w:type="dxa"/>
            <w:tcBorders>
              <w:bottom w:val="single" w:sz="4" w:space="0" w:color="000000"/>
            </w:tcBorders>
          </w:tcPr>
          <w:p w14:paraId="64B6555A" w14:textId="77777777" w:rsidR="00622D02" w:rsidRDefault="00000000">
            <w:pPr>
              <w:rPr>
                <w:sz w:val="22"/>
                <w:szCs w:val="22"/>
              </w:rPr>
            </w:pPr>
            <w:r>
              <w:rPr>
                <w:noProof/>
              </w:rPr>
              <w:drawing>
                <wp:anchor distT="0" distB="0" distL="0" distR="0" simplePos="0" relativeHeight="251658240" behindDoc="0" locked="0" layoutInCell="1" hidden="0" allowOverlap="1" wp14:anchorId="2D14101E" wp14:editId="75BB2536">
                  <wp:simplePos x="0" y="0"/>
                  <wp:positionH relativeFrom="column">
                    <wp:posOffset>-7618</wp:posOffset>
                  </wp:positionH>
                  <wp:positionV relativeFrom="paragraph">
                    <wp:posOffset>-110791</wp:posOffset>
                  </wp:positionV>
                  <wp:extent cx="615600" cy="62280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15600" cy="622800"/>
                          </a:xfrm>
                          <a:prstGeom prst="rect">
                            <a:avLst/>
                          </a:prstGeom>
                          <a:ln/>
                        </pic:spPr>
                      </pic:pic>
                    </a:graphicData>
                  </a:graphic>
                </wp:anchor>
              </w:drawing>
            </w:r>
          </w:p>
        </w:tc>
        <w:tc>
          <w:tcPr>
            <w:tcW w:w="5527" w:type="dxa"/>
            <w:tcBorders>
              <w:bottom w:val="single" w:sz="4" w:space="0" w:color="000000"/>
            </w:tcBorders>
          </w:tcPr>
          <w:p w14:paraId="41F55954" w14:textId="77777777" w:rsidR="00622D02" w:rsidRDefault="00000000">
            <w:pPr>
              <w:rPr>
                <w:sz w:val="22"/>
                <w:szCs w:val="22"/>
              </w:rPr>
            </w:pPr>
            <w:r>
              <w:rPr>
                <w:sz w:val="22"/>
                <w:szCs w:val="22"/>
              </w:rPr>
              <w:t>Universidad Católica del Norte</w:t>
            </w:r>
          </w:p>
          <w:p w14:paraId="7C70BA1D" w14:textId="77777777" w:rsidR="00622D02" w:rsidRDefault="00000000">
            <w:pPr>
              <w:rPr>
                <w:sz w:val="22"/>
                <w:szCs w:val="22"/>
              </w:rPr>
            </w:pPr>
            <w:r>
              <w:rPr>
                <w:sz w:val="22"/>
                <w:szCs w:val="22"/>
              </w:rPr>
              <w:t>Escuela de Ingeniería</w:t>
            </w:r>
          </w:p>
          <w:p w14:paraId="0BA0D922" w14:textId="77777777" w:rsidR="00622D02" w:rsidRDefault="00000000">
            <w:pPr>
              <w:rPr>
                <w:sz w:val="22"/>
                <w:szCs w:val="22"/>
              </w:rPr>
            </w:pPr>
            <w:r>
              <w:rPr>
                <w:sz w:val="22"/>
                <w:szCs w:val="22"/>
              </w:rPr>
              <w:t>Ingeniería Civil Industrial</w:t>
            </w:r>
          </w:p>
          <w:p w14:paraId="34B6A4B9" w14:textId="77777777" w:rsidR="00622D02" w:rsidRDefault="00000000">
            <w:pPr>
              <w:rPr>
                <w:sz w:val="22"/>
                <w:szCs w:val="22"/>
              </w:rPr>
            </w:pPr>
            <w:r>
              <w:rPr>
                <w:sz w:val="22"/>
                <w:szCs w:val="22"/>
              </w:rPr>
              <w:t>Ingeniería Civil Informática</w:t>
            </w:r>
          </w:p>
          <w:p w14:paraId="5DDA2FF6" w14:textId="77777777" w:rsidR="00622D02" w:rsidRDefault="00622D02">
            <w:pPr>
              <w:rPr>
                <w:sz w:val="22"/>
                <w:szCs w:val="22"/>
              </w:rPr>
            </w:pPr>
          </w:p>
        </w:tc>
      </w:tr>
    </w:tbl>
    <w:p w14:paraId="35A04A49" w14:textId="77777777" w:rsidR="00622D02" w:rsidRDefault="00000000">
      <w:pPr>
        <w:pBdr>
          <w:top w:val="nil"/>
          <w:left w:val="nil"/>
          <w:bottom w:val="nil"/>
          <w:right w:val="nil"/>
          <w:between w:val="nil"/>
        </w:pBdr>
      </w:pPr>
      <w:r>
        <w:rPr>
          <w:color w:val="000000"/>
        </w:rPr>
        <w:t xml:space="preserve">INGENIERÍA ECONÓMICA/ </w:t>
      </w:r>
      <w:r>
        <w:t>Segundo Semestre 2022</w:t>
      </w:r>
    </w:p>
    <w:p w14:paraId="614EA6F6" w14:textId="77777777" w:rsidR="00622D02" w:rsidRDefault="00000000">
      <w:r>
        <w:t>Prof.  P. Cerda - G. Godoy - R. Collao</w:t>
      </w:r>
    </w:p>
    <w:p w14:paraId="21682068" w14:textId="77777777" w:rsidR="00622D02" w:rsidRDefault="00622D02">
      <w:pPr>
        <w:rPr>
          <w:sz w:val="22"/>
          <w:szCs w:val="22"/>
        </w:rPr>
      </w:pPr>
    </w:p>
    <w:p w14:paraId="32B004FB" w14:textId="77777777" w:rsidR="00622D02" w:rsidRDefault="00622D02">
      <w:pPr>
        <w:rPr>
          <w:sz w:val="12"/>
          <w:szCs w:val="12"/>
        </w:rPr>
      </w:pPr>
    </w:p>
    <w:p w14:paraId="25BBEACD" w14:textId="77777777" w:rsidR="00622D02" w:rsidRDefault="00000000">
      <w:pPr>
        <w:pStyle w:val="Ttulo4"/>
        <w:rPr>
          <w:sz w:val="22"/>
          <w:szCs w:val="22"/>
        </w:rPr>
      </w:pPr>
      <w:r>
        <w:rPr>
          <w:sz w:val="22"/>
          <w:szCs w:val="22"/>
        </w:rPr>
        <w:t>Prueba Formativa 1- Ingeniería Económica</w:t>
      </w:r>
    </w:p>
    <w:p w14:paraId="352B773E" w14:textId="77777777" w:rsidR="00622D02" w:rsidRDefault="00622D02">
      <w:pPr>
        <w:rPr>
          <w:sz w:val="12"/>
          <w:szCs w:val="12"/>
        </w:rPr>
      </w:pPr>
    </w:p>
    <w:p w14:paraId="5F8A44E9" w14:textId="77777777" w:rsidR="00622D02" w:rsidRDefault="00000000">
      <w:pPr>
        <w:jc w:val="both"/>
        <w:rPr>
          <w:b/>
        </w:rPr>
      </w:pPr>
      <w:r>
        <w:rPr>
          <w:b/>
        </w:rPr>
        <w:t>Parte 1) 30%</w:t>
      </w:r>
    </w:p>
    <w:p w14:paraId="5682921C" w14:textId="77777777" w:rsidR="00622D02" w:rsidRDefault="00622D02">
      <w:pPr>
        <w:jc w:val="both"/>
      </w:pPr>
    </w:p>
    <w:p w14:paraId="6A2C127D" w14:textId="77777777" w:rsidR="00622D02" w:rsidRDefault="00000000">
      <w:pPr>
        <w:jc w:val="both"/>
        <w:rPr>
          <w:sz w:val="22"/>
          <w:szCs w:val="22"/>
        </w:rPr>
      </w:pPr>
      <w:r>
        <w:rPr>
          <w:sz w:val="22"/>
          <w:szCs w:val="22"/>
        </w:rPr>
        <w:t xml:space="preserve">Como estudiante de Ingeniería Económica y con los conocimientos entregados en la asignatura, se le ha solicitado asesorar a un amigo que necesita su apoyo para evaluar económica y financieramente, si conviene o no invertir en un proyecto Silvoagropecuario en la Región de Coquimbo, específicamente en la producción de manzanas y peras, con un horizonte de evaluación de 8 trimestres. </w:t>
      </w:r>
    </w:p>
    <w:p w14:paraId="37CE28D7" w14:textId="77777777" w:rsidR="00622D02" w:rsidRDefault="00622D02">
      <w:pPr>
        <w:jc w:val="both"/>
        <w:rPr>
          <w:sz w:val="8"/>
          <w:szCs w:val="8"/>
        </w:rPr>
      </w:pPr>
    </w:p>
    <w:p w14:paraId="7B019B5D" w14:textId="77777777" w:rsidR="00622D02" w:rsidRDefault="00000000">
      <w:pPr>
        <w:jc w:val="both"/>
        <w:rPr>
          <w:sz w:val="22"/>
          <w:szCs w:val="22"/>
        </w:rPr>
      </w:pPr>
      <w:r>
        <w:rPr>
          <w:sz w:val="22"/>
          <w:szCs w:val="22"/>
        </w:rPr>
        <w:t xml:space="preserve">Usted para tener un contexto referencial, comienza a investigar el mercado y analiza los sectores económicos, de esta forma se entera que las exportaciones de la Región de Coquimbo durante </w:t>
      </w:r>
      <w:proofErr w:type="gramStart"/>
      <w:r>
        <w:rPr>
          <w:sz w:val="22"/>
          <w:szCs w:val="22"/>
        </w:rPr>
        <w:t>Junio</w:t>
      </w:r>
      <w:proofErr w:type="gramEnd"/>
      <w:r>
        <w:rPr>
          <w:sz w:val="22"/>
          <w:szCs w:val="22"/>
        </w:rPr>
        <w:t xml:space="preserve"> 2022 se contabilizaron en 130,8 millones de dólares, representando una participación de 2,8% del total país, al realizar la comparación con el periodo anterior, se registró una disminución de 82,0% en 12 meses.</w:t>
      </w:r>
    </w:p>
    <w:p w14:paraId="07B24822" w14:textId="77777777" w:rsidR="00622D02" w:rsidRDefault="00000000">
      <w:pPr>
        <w:jc w:val="both"/>
        <w:rPr>
          <w:sz w:val="22"/>
          <w:szCs w:val="22"/>
        </w:rPr>
      </w:pPr>
      <w:r>
        <w:rPr>
          <w:sz w:val="22"/>
          <w:szCs w:val="22"/>
        </w:rPr>
        <w:t>Dentro del estudio de los sectores económicos, Minería fue el principal exportador de la zona, seguido de Silvoagropecuario, Industria y Pesca.</w:t>
      </w:r>
    </w:p>
    <w:p w14:paraId="5D85F1E1" w14:textId="77777777" w:rsidR="00622D02" w:rsidRDefault="00622D02">
      <w:pPr>
        <w:jc w:val="both"/>
        <w:rPr>
          <w:sz w:val="8"/>
          <w:szCs w:val="8"/>
        </w:rPr>
      </w:pPr>
    </w:p>
    <w:p w14:paraId="769D210C" w14:textId="77777777" w:rsidR="00622D02" w:rsidRDefault="00000000">
      <w:pPr>
        <w:jc w:val="both"/>
        <w:rPr>
          <w:sz w:val="22"/>
          <w:szCs w:val="22"/>
        </w:rPr>
      </w:pPr>
      <w:r>
        <w:rPr>
          <w:sz w:val="22"/>
          <w:szCs w:val="22"/>
        </w:rPr>
        <w:t>De esta forma, de acuerdo con lo publicado por el Instituto Nacional de Estadísticas (INE), Minería participó con 76,2% del total, equivalente a 54,8 millones de dólares reflejando contracción interanual de 68,3%. Mientras que el sector Silvoagropecuario ocupó el segundo lugar en el total de las exportaciones con una participación de 29,9%, correspondiente a 40,1 millones de dólares, decreciendo 30,3% en 12 meses.</w:t>
      </w:r>
    </w:p>
    <w:p w14:paraId="0509C12C" w14:textId="77777777" w:rsidR="00622D02" w:rsidRDefault="00622D02">
      <w:pPr>
        <w:tabs>
          <w:tab w:val="left" w:pos="0"/>
        </w:tabs>
        <w:jc w:val="both"/>
        <w:rPr>
          <w:sz w:val="6"/>
          <w:szCs w:val="6"/>
        </w:rPr>
      </w:pPr>
    </w:p>
    <w:p w14:paraId="6244798B" w14:textId="77777777" w:rsidR="00622D02" w:rsidRDefault="00000000">
      <w:pPr>
        <w:tabs>
          <w:tab w:val="left" w:pos="0"/>
        </w:tabs>
        <w:jc w:val="both"/>
        <w:rPr>
          <w:sz w:val="22"/>
          <w:szCs w:val="22"/>
        </w:rPr>
      </w:pPr>
      <w:r>
        <w:rPr>
          <w:sz w:val="22"/>
          <w:szCs w:val="22"/>
        </w:rPr>
        <w:t>Independiente del contexto actual, su amigo se encuentra bastante interesado en la inversión y ejecución de este proyecto. Por esto él le hace entrega de un análisis de inversión, que considera la estructura en Activos Fijos, que se depreciarán de forma lineal, y son los necesarios para poner en marcha el proyecto.</w:t>
      </w:r>
    </w:p>
    <w:p w14:paraId="77F7AB0D" w14:textId="77777777" w:rsidR="00622D02" w:rsidRDefault="00622D02">
      <w:pPr>
        <w:tabs>
          <w:tab w:val="left" w:pos="0"/>
        </w:tabs>
        <w:jc w:val="both"/>
        <w:rPr>
          <w:sz w:val="22"/>
          <w:szCs w:val="22"/>
        </w:rPr>
      </w:pPr>
    </w:p>
    <w:p w14:paraId="7369FE97" w14:textId="77777777" w:rsidR="00622D02" w:rsidRDefault="00622D02">
      <w:pPr>
        <w:tabs>
          <w:tab w:val="left" w:pos="0"/>
        </w:tabs>
        <w:jc w:val="both"/>
        <w:rPr>
          <w:sz w:val="22"/>
          <w:szCs w:val="22"/>
        </w:rPr>
      </w:pPr>
    </w:p>
    <w:p w14:paraId="4458E436" w14:textId="77777777" w:rsidR="00622D02" w:rsidRDefault="00622D02">
      <w:pPr>
        <w:tabs>
          <w:tab w:val="left" w:pos="0"/>
        </w:tabs>
        <w:jc w:val="both"/>
      </w:pPr>
    </w:p>
    <w:tbl>
      <w:tblPr>
        <w:tblStyle w:val="a3"/>
        <w:tblW w:w="6090" w:type="dxa"/>
        <w:jc w:val="center"/>
        <w:tblInd w:w="0" w:type="dxa"/>
        <w:tblLayout w:type="fixed"/>
        <w:tblLook w:val="0400" w:firstRow="0" w:lastRow="0" w:firstColumn="0" w:lastColumn="0" w:noHBand="0" w:noVBand="1"/>
      </w:tblPr>
      <w:tblGrid>
        <w:gridCol w:w="2693"/>
        <w:gridCol w:w="1559"/>
        <w:gridCol w:w="1838"/>
      </w:tblGrid>
      <w:tr w:rsidR="00622D02" w14:paraId="0AAC5334" w14:textId="77777777">
        <w:trPr>
          <w:trHeight w:val="281"/>
          <w:jc w:val="center"/>
        </w:trPr>
        <w:tc>
          <w:tcPr>
            <w:tcW w:w="2694" w:type="dxa"/>
            <w:tcBorders>
              <w:top w:val="single" w:sz="4" w:space="0" w:color="000000"/>
              <w:left w:val="single" w:sz="4" w:space="0" w:color="000000"/>
              <w:bottom w:val="single" w:sz="4" w:space="0" w:color="000000"/>
              <w:right w:val="single" w:sz="4" w:space="0" w:color="000000"/>
            </w:tcBorders>
            <w:shd w:val="clear" w:color="auto" w:fill="0070C0"/>
            <w:vAlign w:val="center"/>
          </w:tcPr>
          <w:p w14:paraId="2137C11D" w14:textId="77777777" w:rsidR="00622D02" w:rsidRDefault="00000000">
            <w:pPr>
              <w:jc w:val="center"/>
              <w:rPr>
                <w:b/>
                <w:color w:val="FFFFFF"/>
                <w:sz w:val="22"/>
                <w:szCs w:val="22"/>
              </w:rPr>
            </w:pPr>
            <w:r>
              <w:rPr>
                <w:b/>
                <w:color w:val="FFFFFF"/>
                <w:sz w:val="22"/>
                <w:szCs w:val="22"/>
              </w:rPr>
              <w:t>Inversión en Activos Fijos</w:t>
            </w:r>
          </w:p>
        </w:tc>
        <w:tc>
          <w:tcPr>
            <w:tcW w:w="1559" w:type="dxa"/>
            <w:tcBorders>
              <w:top w:val="single" w:sz="4" w:space="0" w:color="000000"/>
              <w:left w:val="nil"/>
              <w:bottom w:val="single" w:sz="4" w:space="0" w:color="000000"/>
              <w:right w:val="single" w:sz="4" w:space="0" w:color="000000"/>
            </w:tcBorders>
            <w:shd w:val="clear" w:color="auto" w:fill="0070C0"/>
            <w:vAlign w:val="center"/>
          </w:tcPr>
          <w:p w14:paraId="72F832AD" w14:textId="77777777" w:rsidR="00622D02" w:rsidRDefault="00000000">
            <w:pPr>
              <w:jc w:val="center"/>
              <w:rPr>
                <w:b/>
                <w:color w:val="FFFFFF"/>
                <w:sz w:val="22"/>
                <w:szCs w:val="22"/>
              </w:rPr>
            </w:pPr>
            <w:r>
              <w:rPr>
                <w:b/>
                <w:color w:val="FFFFFF"/>
                <w:sz w:val="22"/>
                <w:szCs w:val="22"/>
              </w:rPr>
              <w:t>Monto</w:t>
            </w:r>
          </w:p>
        </w:tc>
        <w:tc>
          <w:tcPr>
            <w:tcW w:w="1838" w:type="dxa"/>
            <w:tcBorders>
              <w:top w:val="single" w:sz="4" w:space="0" w:color="000000"/>
              <w:left w:val="nil"/>
              <w:bottom w:val="single" w:sz="4" w:space="0" w:color="000000"/>
              <w:right w:val="single" w:sz="4" w:space="0" w:color="000000"/>
            </w:tcBorders>
            <w:shd w:val="clear" w:color="auto" w:fill="0070C0"/>
            <w:vAlign w:val="center"/>
          </w:tcPr>
          <w:p w14:paraId="36BCF914" w14:textId="77777777" w:rsidR="00622D02" w:rsidRDefault="00000000">
            <w:pPr>
              <w:jc w:val="center"/>
              <w:rPr>
                <w:b/>
                <w:color w:val="FFFFFF"/>
                <w:sz w:val="22"/>
                <w:szCs w:val="22"/>
              </w:rPr>
            </w:pPr>
            <w:r>
              <w:rPr>
                <w:b/>
                <w:color w:val="FFFFFF"/>
                <w:sz w:val="22"/>
                <w:szCs w:val="22"/>
              </w:rPr>
              <w:t>Vida Útil (años)</w:t>
            </w:r>
          </w:p>
        </w:tc>
      </w:tr>
      <w:tr w:rsidR="00622D02" w14:paraId="460624D5" w14:textId="77777777">
        <w:trPr>
          <w:trHeight w:val="281"/>
          <w:jc w:val="center"/>
        </w:trPr>
        <w:tc>
          <w:tcPr>
            <w:tcW w:w="2694" w:type="dxa"/>
            <w:tcBorders>
              <w:top w:val="nil"/>
              <w:left w:val="single" w:sz="4" w:space="0" w:color="000000"/>
              <w:bottom w:val="single" w:sz="4" w:space="0" w:color="000000"/>
              <w:right w:val="single" w:sz="4" w:space="0" w:color="000000"/>
            </w:tcBorders>
            <w:shd w:val="clear" w:color="auto" w:fill="auto"/>
            <w:vAlign w:val="center"/>
          </w:tcPr>
          <w:p w14:paraId="1000AAB1" w14:textId="77777777" w:rsidR="00622D02" w:rsidRDefault="00000000">
            <w:pPr>
              <w:jc w:val="center"/>
              <w:rPr>
                <w:sz w:val="22"/>
                <w:szCs w:val="22"/>
              </w:rPr>
            </w:pPr>
            <w:r>
              <w:rPr>
                <w:sz w:val="22"/>
                <w:szCs w:val="22"/>
              </w:rPr>
              <w:t>Parcela</w:t>
            </w:r>
          </w:p>
        </w:tc>
        <w:tc>
          <w:tcPr>
            <w:tcW w:w="1559" w:type="dxa"/>
            <w:tcBorders>
              <w:top w:val="nil"/>
              <w:left w:val="nil"/>
              <w:bottom w:val="single" w:sz="4" w:space="0" w:color="000000"/>
              <w:right w:val="single" w:sz="4" w:space="0" w:color="000000"/>
            </w:tcBorders>
            <w:shd w:val="clear" w:color="auto" w:fill="auto"/>
            <w:vAlign w:val="center"/>
          </w:tcPr>
          <w:p w14:paraId="04A0EFA4" w14:textId="77777777" w:rsidR="00622D02" w:rsidRDefault="00000000">
            <w:pPr>
              <w:jc w:val="center"/>
              <w:rPr>
                <w:color w:val="000000"/>
                <w:sz w:val="22"/>
                <w:szCs w:val="22"/>
              </w:rPr>
            </w:pPr>
            <w:r>
              <w:rPr>
                <w:color w:val="000000"/>
                <w:sz w:val="22"/>
                <w:szCs w:val="22"/>
              </w:rPr>
              <w:t>1</w:t>
            </w:r>
            <w:r>
              <w:rPr>
                <w:sz w:val="22"/>
                <w:szCs w:val="22"/>
              </w:rPr>
              <w:t>10</w:t>
            </w:r>
            <w:r>
              <w:rPr>
                <w:color w:val="000000"/>
                <w:sz w:val="22"/>
                <w:szCs w:val="22"/>
              </w:rPr>
              <w:t>.000.000</w:t>
            </w:r>
          </w:p>
        </w:tc>
        <w:tc>
          <w:tcPr>
            <w:tcW w:w="1838" w:type="dxa"/>
            <w:tcBorders>
              <w:top w:val="nil"/>
              <w:left w:val="nil"/>
              <w:bottom w:val="single" w:sz="4" w:space="0" w:color="000000"/>
              <w:right w:val="single" w:sz="4" w:space="0" w:color="000000"/>
            </w:tcBorders>
            <w:shd w:val="clear" w:color="auto" w:fill="auto"/>
            <w:vAlign w:val="center"/>
          </w:tcPr>
          <w:p w14:paraId="2D1627EB" w14:textId="77777777" w:rsidR="00622D02" w:rsidRDefault="00000000">
            <w:pPr>
              <w:jc w:val="center"/>
              <w:rPr>
                <w:sz w:val="22"/>
                <w:szCs w:val="22"/>
              </w:rPr>
            </w:pPr>
            <w:r>
              <w:rPr>
                <w:sz w:val="22"/>
                <w:szCs w:val="22"/>
              </w:rPr>
              <w:t>-</w:t>
            </w:r>
          </w:p>
        </w:tc>
      </w:tr>
      <w:tr w:rsidR="00622D02" w14:paraId="6B61959A" w14:textId="77777777">
        <w:trPr>
          <w:trHeight w:val="281"/>
          <w:jc w:val="center"/>
        </w:trPr>
        <w:tc>
          <w:tcPr>
            <w:tcW w:w="2694" w:type="dxa"/>
            <w:tcBorders>
              <w:top w:val="nil"/>
              <w:left w:val="single" w:sz="4" w:space="0" w:color="000000"/>
              <w:bottom w:val="single" w:sz="4" w:space="0" w:color="000000"/>
              <w:right w:val="single" w:sz="4" w:space="0" w:color="000000"/>
            </w:tcBorders>
            <w:shd w:val="clear" w:color="auto" w:fill="auto"/>
            <w:vAlign w:val="center"/>
          </w:tcPr>
          <w:p w14:paraId="74BFDDA3" w14:textId="77777777" w:rsidR="00622D02" w:rsidRDefault="00000000">
            <w:pPr>
              <w:jc w:val="center"/>
              <w:rPr>
                <w:sz w:val="22"/>
                <w:szCs w:val="22"/>
              </w:rPr>
            </w:pPr>
            <w:r>
              <w:rPr>
                <w:sz w:val="22"/>
                <w:szCs w:val="22"/>
              </w:rPr>
              <w:t>Galpón</w:t>
            </w:r>
          </w:p>
        </w:tc>
        <w:tc>
          <w:tcPr>
            <w:tcW w:w="1559" w:type="dxa"/>
            <w:tcBorders>
              <w:top w:val="nil"/>
              <w:left w:val="nil"/>
              <w:bottom w:val="single" w:sz="4" w:space="0" w:color="000000"/>
              <w:right w:val="single" w:sz="4" w:space="0" w:color="000000"/>
            </w:tcBorders>
            <w:shd w:val="clear" w:color="auto" w:fill="auto"/>
            <w:vAlign w:val="center"/>
          </w:tcPr>
          <w:p w14:paraId="7FA6A362" w14:textId="77777777" w:rsidR="00622D02" w:rsidRDefault="00000000">
            <w:pPr>
              <w:jc w:val="center"/>
              <w:rPr>
                <w:color w:val="000000"/>
                <w:sz w:val="22"/>
                <w:szCs w:val="22"/>
              </w:rPr>
            </w:pPr>
            <w:r>
              <w:rPr>
                <w:sz w:val="22"/>
                <w:szCs w:val="22"/>
              </w:rPr>
              <w:t>5</w:t>
            </w:r>
            <w:r>
              <w:rPr>
                <w:color w:val="000000"/>
                <w:sz w:val="22"/>
                <w:szCs w:val="22"/>
              </w:rPr>
              <w:t>0.000.000</w:t>
            </w:r>
          </w:p>
        </w:tc>
        <w:tc>
          <w:tcPr>
            <w:tcW w:w="1838" w:type="dxa"/>
            <w:tcBorders>
              <w:top w:val="nil"/>
              <w:left w:val="nil"/>
              <w:bottom w:val="single" w:sz="4" w:space="0" w:color="000000"/>
              <w:right w:val="single" w:sz="4" w:space="0" w:color="000000"/>
            </w:tcBorders>
            <w:shd w:val="clear" w:color="auto" w:fill="auto"/>
            <w:vAlign w:val="center"/>
          </w:tcPr>
          <w:p w14:paraId="36D6D978" w14:textId="77777777" w:rsidR="00622D02" w:rsidRDefault="00000000">
            <w:pPr>
              <w:jc w:val="center"/>
              <w:rPr>
                <w:sz w:val="22"/>
                <w:szCs w:val="22"/>
              </w:rPr>
            </w:pPr>
            <w:r>
              <w:rPr>
                <w:sz w:val="22"/>
                <w:szCs w:val="22"/>
              </w:rPr>
              <w:t>12</w:t>
            </w:r>
          </w:p>
        </w:tc>
      </w:tr>
      <w:tr w:rsidR="00622D02" w14:paraId="51593BBD" w14:textId="77777777">
        <w:trPr>
          <w:trHeight w:val="281"/>
          <w:jc w:val="center"/>
        </w:trPr>
        <w:tc>
          <w:tcPr>
            <w:tcW w:w="2694" w:type="dxa"/>
            <w:tcBorders>
              <w:top w:val="nil"/>
              <w:left w:val="single" w:sz="4" w:space="0" w:color="000000"/>
              <w:bottom w:val="single" w:sz="4" w:space="0" w:color="000000"/>
              <w:right w:val="single" w:sz="4" w:space="0" w:color="000000"/>
            </w:tcBorders>
            <w:shd w:val="clear" w:color="auto" w:fill="auto"/>
            <w:vAlign w:val="center"/>
          </w:tcPr>
          <w:p w14:paraId="19B519F4" w14:textId="77777777" w:rsidR="00622D02" w:rsidRDefault="00000000">
            <w:pPr>
              <w:jc w:val="center"/>
              <w:rPr>
                <w:sz w:val="22"/>
                <w:szCs w:val="22"/>
              </w:rPr>
            </w:pPr>
            <w:r>
              <w:rPr>
                <w:sz w:val="22"/>
                <w:szCs w:val="22"/>
              </w:rPr>
              <w:t>Maquinarias y Equipos</w:t>
            </w:r>
          </w:p>
        </w:tc>
        <w:tc>
          <w:tcPr>
            <w:tcW w:w="1559" w:type="dxa"/>
            <w:tcBorders>
              <w:top w:val="nil"/>
              <w:left w:val="nil"/>
              <w:bottom w:val="single" w:sz="4" w:space="0" w:color="000000"/>
              <w:right w:val="single" w:sz="4" w:space="0" w:color="000000"/>
            </w:tcBorders>
            <w:shd w:val="clear" w:color="auto" w:fill="auto"/>
            <w:vAlign w:val="center"/>
          </w:tcPr>
          <w:p w14:paraId="53B1536C" w14:textId="77777777" w:rsidR="00622D02" w:rsidRDefault="00000000">
            <w:pPr>
              <w:jc w:val="center"/>
              <w:rPr>
                <w:color w:val="000000"/>
                <w:sz w:val="22"/>
                <w:szCs w:val="22"/>
              </w:rPr>
            </w:pPr>
            <w:r>
              <w:rPr>
                <w:sz w:val="22"/>
                <w:szCs w:val="22"/>
              </w:rPr>
              <w:t>7</w:t>
            </w:r>
            <w:r>
              <w:rPr>
                <w:color w:val="000000"/>
                <w:sz w:val="22"/>
                <w:szCs w:val="22"/>
              </w:rPr>
              <w:t>0.000.000</w:t>
            </w:r>
          </w:p>
        </w:tc>
        <w:tc>
          <w:tcPr>
            <w:tcW w:w="1838" w:type="dxa"/>
            <w:tcBorders>
              <w:top w:val="nil"/>
              <w:left w:val="nil"/>
              <w:bottom w:val="single" w:sz="4" w:space="0" w:color="000000"/>
              <w:right w:val="single" w:sz="4" w:space="0" w:color="000000"/>
            </w:tcBorders>
            <w:shd w:val="clear" w:color="auto" w:fill="auto"/>
            <w:vAlign w:val="center"/>
          </w:tcPr>
          <w:p w14:paraId="54DA2F66" w14:textId="77777777" w:rsidR="00622D02" w:rsidRDefault="00000000">
            <w:pPr>
              <w:jc w:val="center"/>
              <w:rPr>
                <w:sz w:val="22"/>
                <w:szCs w:val="22"/>
              </w:rPr>
            </w:pPr>
            <w:r>
              <w:rPr>
                <w:sz w:val="22"/>
                <w:szCs w:val="22"/>
              </w:rPr>
              <w:t>12</w:t>
            </w:r>
          </w:p>
        </w:tc>
      </w:tr>
    </w:tbl>
    <w:p w14:paraId="675599C6" w14:textId="77777777" w:rsidR="00622D02" w:rsidRDefault="00622D02"/>
    <w:p w14:paraId="59F93225" w14:textId="77777777" w:rsidR="00622D02" w:rsidRDefault="00000000">
      <w:pPr>
        <w:pBdr>
          <w:top w:val="nil"/>
          <w:left w:val="nil"/>
          <w:bottom w:val="nil"/>
          <w:right w:val="nil"/>
          <w:between w:val="nil"/>
        </w:pBdr>
        <w:tabs>
          <w:tab w:val="left" w:pos="0"/>
        </w:tabs>
        <w:jc w:val="both"/>
        <w:rPr>
          <w:sz w:val="22"/>
          <w:szCs w:val="22"/>
        </w:rPr>
      </w:pPr>
      <w:r>
        <w:rPr>
          <w:sz w:val="22"/>
          <w:szCs w:val="22"/>
        </w:rPr>
        <w:t>Su amigo le comenta que, no posee la totalidad del dinero para la inversión en activos fijos del proyecto, por esto necesita su asesoría con la finalidad de solicitar un crédito a una entidad financiera por un 50% del total de activos de puesta en marcha. De esta forma, al estudiar las condiciones crediticias, selecciona tres instituciones financieras que representan los mejores escenarios y se pueden identificar, a continuación:</w:t>
      </w:r>
    </w:p>
    <w:p w14:paraId="4805A0E3" w14:textId="77777777" w:rsidR="00622D02" w:rsidRDefault="00622D02">
      <w:pPr>
        <w:pBdr>
          <w:top w:val="nil"/>
          <w:left w:val="nil"/>
          <w:bottom w:val="nil"/>
          <w:right w:val="nil"/>
          <w:between w:val="nil"/>
        </w:pBdr>
        <w:tabs>
          <w:tab w:val="left" w:pos="0"/>
        </w:tabs>
        <w:jc w:val="both"/>
      </w:pPr>
    </w:p>
    <w:tbl>
      <w:tblPr>
        <w:tblStyle w:val="a4"/>
        <w:tblW w:w="7229" w:type="dxa"/>
        <w:jc w:val="center"/>
        <w:tblInd w:w="0" w:type="dxa"/>
        <w:tblLayout w:type="fixed"/>
        <w:tblLook w:val="0400" w:firstRow="0" w:lastRow="0" w:firstColumn="0" w:lastColumn="0" w:noHBand="0" w:noVBand="1"/>
      </w:tblPr>
      <w:tblGrid>
        <w:gridCol w:w="1271"/>
        <w:gridCol w:w="1281"/>
        <w:gridCol w:w="1417"/>
        <w:gridCol w:w="2263"/>
        <w:gridCol w:w="997"/>
      </w:tblGrid>
      <w:tr w:rsidR="00622D02" w14:paraId="053CEA94" w14:textId="77777777">
        <w:trPr>
          <w:trHeight w:val="281"/>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0070C0"/>
            <w:tcMar>
              <w:left w:w="28" w:type="dxa"/>
              <w:right w:w="28" w:type="dxa"/>
            </w:tcMar>
            <w:vAlign w:val="center"/>
          </w:tcPr>
          <w:p w14:paraId="1AFA1070" w14:textId="77777777" w:rsidR="00622D02" w:rsidRDefault="00000000">
            <w:pPr>
              <w:tabs>
                <w:tab w:val="left" w:pos="299"/>
              </w:tabs>
              <w:jc w:val="center"/>
              <w:rPr>
                <w:b/>
                <w:color w:val="FFFFFF"/>
              </w:rPr>
            </w:pPr>
            <w:r>
              <w:rPr>
                <w:b/>
                <w:color w:val="FFFFFF"/>
              </w:rPr>
              <w:t>Institución Financiera</w:t>
            </w:r>
          </w:p>
        </w:tc>
        <w:tc>
          <w:tcPr>
            <w:tcW w:w="1281" w:type="dxa"/>
            <w:tcBorders>
              <w:top w:val="single" w:sz="4" w:space="0" w:color="000000"/>
              <w:left w:val="nil"/>
              <w:bottom w:val="single" w:sz="4" w:space="0" w:color="000000"/>
              <w:right w:val="single" w:sz="4" w:space="0" w:color="000000"/>
            </w:tcBorders>
            <w:shd w:val="clear" w:color="auto" w:fill="0070C0"/>
            <w:vAlign w:val="center"/>
          </w:tcPr>
          <w:p w14:paraId="065568B7" w14:textId="77777777" w:rsidR="00622D02" w:rsidRDefault="00000000">
            <w:pPr>
              <w:jc w:val="center"/>
              <w:rPr>
                <w:b/>
                <w:color w:val="FFFFFF"/>
              </w:rPr>
            </w:pPr>
            <w:r>
              <w:rPr>
                <w:b/>
                <w:color w:val="FFFFFF"/>
              </w:rPr>
              <w:t>Costo de deuda</w:t>
            </w:r>
          </w:p>
        </w:tc>
        <w:tc>
          <w:tcPr>
            <w:tcW w:w="1417" w:type="dxa"/>
            <w:tcBorders>
              <w:top w:val="single" w:sz="4" w:space="0" w:color="000000"/>
              <w:left w:val="nil"/>
              <w:bottom w:val="single" w:sz="4" w:space="0" w:color="000000"/>
              <w:right w:val="single" w:sz="4" w:space="0" w:color="000000"/>
            </w:tcBorders>
            <w:shd w:val="clear" w:color="auto" w:fill="0070C0"/>
            <w:vAlign w:val="center"/>
          </w:tcPr>
          <w:p w14:paraId="159EE7A9" w14:textId="77777777" w:rsidR="00622D02" w:rsidRDefault="00000000">
            <w:pPr>
              <w:jc w:val="center"/>
              <w:rPr>
                <w:b/>
                <w:color w:val="FFFFFF"/>
              </w:rPr>
            </w:pPr>
            <w:r>
              <w:rPr>
                <w:b/>
                <w:color w:val="FFFFFF"/>
              </w:rPr>
              <w:t>Composición</w:t>
            </w:r>
          </w:p>
        </w:tc>
        <w:tc>
          <w:tcPr>
            <w:tcW w:w="2263" w:type="dxa"/>
            <w:tcBorders>
              <w:top w:val="single" w:sz="4" w:space="0" w:color="000000"/>
              <w:left w:val="nil"/>
              <w:bottom w:val="single" w:sz="4" w:space="0" w:color="000000"/>
              <w:right w:val="single" w:sz="4" w:space="0" w:color="000000"/>
            </w:tcBorders>
            <w:shd w:val="clear" w:color="auto" w:fill="0070C0"/>
            <w:vAlign w:val="center"/>
          </w:tcPr>
          <w:p w14:paraId="0C29F432" w14:textId="77777777" w:rsidR="00622D02" w:rsidRDefault="00000000">
            <w:pPr>
              <w:jc w:val="center"/>
              <w:rPr>
                <w:b/>
                <w:color w:val="FFFFFF"/>
              </w:rPr>
            </w:pPr>
            <w:r>
              <w:rPr>
                <w:b/>
                <w:color w:val="FFFFFF"/>
              </w:rPr>
              <w:t>Modalidad</w:t>
            </w:r>
          </w:p>
        </w:tc>
        <w:tc>
          <w:tcPr>
            <w:tcW w:w="997" w:type="dxa"/>
            <w:tcBorders>
              <w:top w:val="single" w:sz="4" w:space="0" w:color="000000"/>
              <w:left w:val="nil"/>
              <w:bottom w:val="single" w:sz="4" w:space="0" w:color="000000"/>
              <w:right w:val="single" w:sz="4" w:space="0" w:color="000000"/>
            </w:tcBorders>
            <w:shd w:val="clear" w:color="auto" w:fill="0070C0"/>
            <w:tcMar>
              <w:left w:w="28" w:type="dxa"/>
              <w:right w:w="28" w:type="dxa"/>
            </w:tcMar>
            <w:vAlign w:val="center"/>
          </w:tcPr>
          <w:p w14:paraId="4089E5AD" w14:textId="77777777" w:rsidR="00622D02" w:rsidRDefault="00000000">
            <w:pPr>
              <w:jc w:val="center"/>
              <w:rPr>
                <w:b/>
                <w:color w:val="FFFFFF"/>
              </w:rPr>
            </w:pPr>
            <w:r>
              <w:rPr>
                <w:b/>
                <w:color w:val="FFFFFF"/>
              </w:rPr>
              <w:t>Pago de Cuotas</w:t>
            </w:r>
          </w:p>
        </w:tc>
      </w:tr>
      <w:tr w:rsidR="00622D02" w14:paraId="0346DD68" w14:textId="77777777">
        <w:trPr>
          <w:trHeight w:val="281"/>
          <w:jc w:val="center"/>
        </w:trPr>
        <w:tc>
          <w:tcPr>
            <w:tcW w:w="1271" w:type="dxa"/>
            <w:tcBorders>
              <w:top w:val="nil"/>
              <w:left w:val="single" w:sz="4" w:space="0" w:color="000000"/>
              <w:bottom w:val="single" w:sz="4" w:space="0" w:color="000000"/>
              <w:right w:val="single" w:sz="4" w:space="0" w:color="000000"/>
            </w:tcBorders>
            <w:shd w:val="clear" w:color="auto" w:fill="auto"/>
            <w:tcMar>
              <w:left w:w="28" w:type="dxa"/>
              <w:right w:w="28" w:type="dxa"/>
            </w:tcMar>
            <w:vAlign w:val="center"/>
          </w:tcPr>
          <w:p w14:paraId="0CFFE33F" w14:textId="77777777" w:rsidR="00622D02" w:rsidRDefault="00000000">
            <w:pPr>
              <w:jc w:val="center"/>
            </w:pPr>
            <w:proofErr w:type="spellStart"/>
            <w:r>
              <w:t>CrediBanco</w:t>
            </w:r>
            <w:proofErr w:type="spellEnd"/>
          </w:p>
        </w:tc>
        <w:tc>
          <w:tcPr>
            <w:tcW w:w="1281" w:type="dxa"/>
            <w:tcBorders>
              <w:top w:val="nil"/>
              <w:left w:val="nil"/>
              <w:bottom w:val="single" w:sz="4" w:space="0" w:color="000000"/>
              <w:right w:val="single" w:sz="4" w:space="0" w:color="000000"/>
            </w:tcBorders>
            <w:shd w:val="clear" w:color="auto" w:fill="auto"/>
            <w:vAlign w:val="center"/>
          </w:tcPr>
          <w:p w14:paraId="4FBD9332" w14:textId="77777777" w:rsidR="00622D02" w:rsidRDefault="00000000">
            <w:pPr>
              <w:jc w:val="center"/>
              <w:rPr>
                <w:color w:val="000000"/>
              </w:rPr>
            </w:pPr>
            <w:r>
              <w:t>8</w:t>
            </w:r>
            <w:r>
              <w:rPr>
                <w:color w:val="000000"/>
              </w:rPr>
              <w:t>% mensual</w:t>
            </w:r>
          </w:p>
        </w:tc>
        <w:tc>
          <w:tcPr>
            <w:tcW w:w="1417" w:type="dxa"/>
            <w:tcBorders>
              <w:top w:val="nil"/>
              <w:left w:val="nil"/>
              <w:bottom w:val="single" w:sz="4" w:space="0" w:color="000000"/>
              <w:right w:val="single" w:sz="4" w:space="0" w:color="000000"/>
            </w:tcBorders>
            <w:shd w:val="clear" w:color="auto" w:fill="auto"/>
            <w:tcMar>
              <w:left w:w="57" w:type="dxa"/>
              <w:right w:w="57" w:type="dxa"/>
            </w:tcMar>
            <w:vAlign w:val="center"/>
          </w:tcPr>
          <w:p w14:paraId="36C4BE8E" w14:textId="77777777" w:rsidR="00622D02" w:rsidRDefault="00000000">
            <w:pPr>
              <w:jc w:val="center"/>
            </w:pPr>
            <w:r>
              <w:t>Semestral</w:t>
            </w:r>
          </w:p>
        </w:tc>
        <w:tc>
          <w:tcPr>
            <w:tcW w:w="2263" w:type="dxa"/>
            <w:tcBorders>
              <w:top w:val="nil"/>
              <w:left w:val="nil"/>
              <w:bottom w:val="single" w:sz="4" w:space="0" w:color="000000"/>
              <w:right w:val="single" w:sz="4" w:space="0" w:color="000000"/>
            </w:tcBorders>
            <w:tcMar>
              <w:left w:w="28" w:type="dxa"/>
              <w:right w:w="28" w:type="dxa"/>
            </w:tcMar>
            <w:vAlign w:val="center"/>
          </w:tcPr>
          <w:p w14:paraId="34CF1BD0" w14:textId="77777777" w:rsidR="00622D02" w:rsidRDefault="00000000">
            <w:pPr>
              <w:jc w:val="center"/>
            </w:pPr>
            <w:r>
              <w:t>Amortización Constante</w:t>
            </w:r>
          </w:p>
        </w:tc>
        <w:tc>
          <w:tcPr>
            <w:tcW w:w="997" w:type="dxa"/>
            <w:tcBorders>
              <w:top w:val="nil"/>
              <w:left w:val="nil"/>
              <w:bottom w:val="single" w:sz="4" w:space="0" w:color="000000"/>
              <w:right w:val="single" w:sz="4" w:space="0" w:color="000000"/>
            </w:tcBorders>
            <w:tcMar>
              <w:left w:w="28" w:type="dxa"/>
              <w:right w:w="28" w:type="dxa"/>
            </w:tcMar>
            <w:vAlign w:val="center"/>
          </w:tcPr>
          <w:p w14:paraId="086AC652" w14:textId="77777777" w:rsidR="00622D02" w:rsidRDefault="00000000">
            <w:pPr>
              <w:jc w:val="center"/>
            </w:pPr>
            <w:r>
              <w:t>Trimestral</w:t>
            </w:r>
          </w:p>
        </w:tc>
      </w:tr>
      <w:tr w:rsidR="00622D02" w14:paraId="7C18C863" w14:textId="77777777">
        <w:trPr>
          <w:trHeight w:val="281"/>
          <w:jc w:val="center"/>
        </w:trPr>
        <w:tc>
          <w:tcPr>
            <w:tcW w:w="1271" w:type="dxa"/>
            <w:tcBorders>
              <w:top w:val="nil"/>
              <w:left w:val="single" w:sz="4" w:space="0" w:color="000000"/>
              <w:bottom w:val="single" w:sz="4" w:space="0" w:color="000000"/>
              <w:right w:val="single" w:sz="4" w:space="0" w:color="000000"/>
            </w:tcBorders>
            <w:shd w:val="clear" w:color="auto" w:fill="auto"/>
            <w:tcMar>
              <w:left w:w="28" w:type="dxa"/>
              <w:right w:w="28" w:type="dxa"/>
            </w:tcMar>
            <w:vAlign w:val="center"/>
          </w:tcPr>
          <w:p w14:paraId="50A8994D" w14:textId="77777777" w:rsidR="00622D02" w:rsidRDefault="00000000">
            <w:pPr>
              <w:jc w:val="center"/>
            </w:pPr>
            <w:proofErr w:type="spellStart"/>
            <w:r>
              <w:t>BankSeguro</w:t>
            </w:r>
            <w:proofErr w:type="spellEnd"/>
          </w:p>
        </w:tc>
        <w:tc>
          <w:tcPr>
            <w:tcW w:w="1281" w:type="dxa"/>
            <w:tcBorders>
              <w:top w:val="nil"/>
              <w:left w:val="nil"/>
              <w:bottom w:val="single" w:sz="4" w:space="0" w:color="000000"/>
              <w:right w:val="single" w:sz="4" w:space="0" w:color="000000"/>
            </w:tcBorders>
            <w:shd w:val="clear" w:color="auto" w:fill="auto"/>
            <w:vAlign w:val="center"/>
          </w:tcPr>
          <w:p w14:paraId="6F0DF37E" w14:textId="77777777" w:rsidR="00622D02" w:rsidRDefault="00000000">
            <w:pPr>
              <w:jc w:val="center"/>
            </w:pPr>
            <w:r>
              <w:t>17% semestral</w:t>
            </w:r>
          </w:p>
          <w:p w14:paraId="0543156C" w14:textId="77777777" w:rsidR="00622D02" w:rsidRDefault="00622D02">
            <w:pPr>
              <w:jc w:val="center"/>
              <w:rPr>
                <w:color w:val="000000"/>
              </w:rPr>
            </w:pPr>
          </w:p>
        </w:tc>
        <w:tc>
          <w:tcPr>
            <w:tcW w:w="1417" w:type="dxa"/>
            <w:tcBorders>
              <w:top w:val="nil"/>
              <w:left w:val="nil"/>
              <w:bottom w:val="single" w:sz="4" w:space="0" w:color="000000"/>
              <w:right w:val="single" w:sz="4" w:space="0" w:color="000000"/>
            </w:tcBorders>
            <w:shd w:val="clear" w:color="auto" w:fill="auto"/>
            <w:tcMar>
              <w:left w:w="57" w:type="dxa"/>
              <w:right w:w="57" w:type="dxa"/>
            </w:tcMar>
            <w:vAlign w:val="center"/>
          </w:tcPr>
          <w:p w14:paraId="79999265" w14:textId="77777777" w:rsidR="00622D02" w:rsidRDefault="00000000">
            <w:pPr>
              <w:jc w:val="center"/>
            </w:pPr>
            <w:r>
              <w:t>Mensual</w:t>
            </w:r>
          </w:p>
        </w:tc>
        <w:tc>
          <w:tcPr>
            <w:tcW w:w="2263" w:type="dxa"/>
            <w:tcBorders>
              <w:top w:val="nil"/>
              <w:left w:val="nil"/>
              <w:bottom w:val="single" w:sz="4" w:space="0" w:color="000000"/>
              <w:right w:val="single" w:sz="4" w:space="0" w:color="000000"/>
            </w:tcBorders>
            <w:tcMar>
              <w:left w:w="28" w:type="dxa"/>
              <w:right w:w="28" w:type="dxa"/>
            </w:tcMar>
            <w:vAlign w:val="center"/>
          </w:tcPr>
          <w:p w14:paraId="664D677D" w14:textId="4153E4FD" w:rsidR="00622D02" w:rsidRDefault="00000000" w:rsidP="00F3294F">
            <w:pPr>
              <w:jc w:val="center"/>
            </w:pPr>
            <w:r>
              <w:t>7 trimestres de gracia (con pago de intereses trimestrales) y el pago del capital al final del horizonte de evaluación</w:t>
            </w:r>
          </w:p>
        </w:tc>
        <w:tc>
          <w:tcPr>
            <w:tcW w:w="997" w:type="dxa"/>
            <w:tcBorders>
              <w:top w:val="nil"/>
              <w:left w:val="nil"/>
              <w:bottom w:val="single" w:sz="4" w:space="0" w:color="000000"/>
              <w:right w:val="single" w:sz="4" w:space="0" w:color="000000"/>
            </w:tcBorders>
            <w:tcMar>
              <w:left w:w="28" w:type="dxa"/>
              <w:right w:w="28" w:type="dxa"/>
            </w:tcMar>
            <w:vAlign w:val="center"/>
          </w:tcPr>
          <w:p w14:paraId="428825A3" w14:textId="77777777" w:rsidR="00622D02" w:rsidRDefault="00000000">
            <w:pPr>
              <w:jc w:val="center"/>
            </w:pPr>
            <w:r>
              <w:t>Trimestral</w:t>
            </w:r>
          </w:p>
        </w:tc>
      </w:tr>
      <w:tr w:rsidR="00622D02" w14:paraId="76BA0348" w14:textId="77777777">
        <w:trPr>
          <w:trHeight w:val="281"/>
          <w:jc w:val="center"/>
        </w:trPr>
        <w:tc>
          <w:tcPr>
            <w:tcW w:w="1271" w:type="dxa"/>
            <w:tcBorders>
              <w:top w:val="nil"/>
              <w:left w:val="single" w:sz="4" w:space="0" w:color="000000"/>
              <w:bottom w:val="single" w:sz="4" w:space="0" w:color="000000"/>
              <w:right w:val="single" w:sz="4" w:space="0" w:color="000000"/>
            </w:tcBorders>
            <w:shd w:val="clear" w:color="auto" w:fill="auto"/>
            <w:tcMar>
              <w:left w:w="28" w:type="dxa"/>
              <w:right w:w="28" w:type="dxa"/>
            </w:tcMar>
            <w:vAlign w:val="center"/>
          </w:tcPr>
          <w:p w14:paraId="5DCC6690" w14:textId="77777777" w:rsidR="00622D02" w:rsidRDefault="00000000">
            <w:pPr>
              <w:jc w:val="center"/>
            </w:pPr>
            <w:r>
              <w:t>Cooperativa de Préstamos</w:t>
            </w:r>
          </w:p>
        </w:tc>
        <w:tc>
          <w:tcPr>
            <w:tcW w:w="1281" w:type="dxa"/>
            <w:tcBorders>
              <w:top w:val="nil"/>
              <w:left w:val="nil"/>
              <w:bottom w:val="single" w:sz="4" w:space="0" w:color="000000"/>
              <w:right w:val="single" w:sz="4" w:space="0" w:color="000000"/>
            </w:tcBorders>
            <w:shd w:val="clear" w:color="auto" w:fill="auto"/>
            <w:vAlign w:val="center"/>
          </w:tcPr>
          <w:p w14:paraId="05879209" w14:textId="77777777" w:rsidR="00622D02" w:rsidRDefault="00000000">
            <w:pPr>
              <w:jc w:val="center"/>
              <w:rPr>
                <w:color w:val="000000"/>
              </w:rPr>
            </w:pPr>
            <w:r>
              <w:t>10% bimestral</w:t>
            </w:r>
          </w:p>
        </w:tc>
        <w:tc>
          <w:tcPr>
            <w:tcW w:w="1417" w:type="dxa"/>
            <w:tcBorders>
              <w:top w:val="nil"/>
              <w:left w:val="nil"/>
              <w:bottom w:val="single" w:sz="4" w:space="0" w:color="000000"/>
              <w:right w:val="single" w:sz="4" w:space="0" w:color="000000"/>
            </w:tcBorders>
            <w:shd w:val="clear" w:color="auto" w:fill="auto"/>
            <w:tcMar>
              <w:left w:w="57" w:type="dxa"/>
              <w:right w:w="57" w:type="dxa"/>
            </w:tcMar>
            <w:vAlign w:val="center"/>
          </w:tcPr>
          <w:p w14:paraId="3CFA1014" w14:textId="77777777" w:rsidR="00622D02" w:rsidRDefault="00000000">
            <w:pPr>
              <w:jc w:val="center"/>
            </w:pPr>
            <w:r>
              <w:t>Continuamente</w:t>
            </w:r>
          </w:p>
        </w:tc>
        <w:tc>
          <w:tcPr>
            <w:tcW w:w="2263" w:type="dxa"/>
            <w:tcBorders>
              <w:top w:val="nil"/>
              <w:left w:val="nil"/>
              <w:bottom w:val="single" w:sz="4" w:space="0" w:color="000000"/>
              <w:right w:val="single" w:sz="4" w:space="0" w:color="000000"/>
            </w:tcBorders>
            <w:tcMar>
              <w:left w:w="28" w:type="dxa"/>
              <w:right w:w="28" w:type="dxa"/>
            </w:tcMar>
            <w:vAlign w:val="center"/>
          </w:tcPr>
          <w:p w14:paraId="60479A91" w14:textId="77777777" w:rsidR="00622D02" w:rsidRDefault="00000000">
            <w:pPr>
              <w:jc w:val="center"/>
            </w:pPr>
            <w:r>
              <w:t>Cuotas constantes</w:t>
            </w:r>
          </w:p>
        </w:tc>
        <w:tc>
          <w:tcPr>
            <w:tcW w:w="997" w:type="dxa"/>
            <w:tcBorders>
              <w:top w:val="nil"/>
              <w:left w:val="nil"/>
              <w:bottom w:val="single" w:sz="4" w:space="0" w:color="000000"/>
              <w:right w:val="single" w:sz="4" w:space="0" w:color="000000"/>
            </w:tcBorders>
            <w:tcMar>
              <w:left w:w="28" w:type="dxa"/>
              <w:right w:w="28" w:type="dxa"/>
            </w:tcMar>
            <w:vAlign w:val="center"/>
          </w:tcPr>
          <w:p w14:paraId="36019B92" w14:textId="77777777" w:rsidR="00622D02" w:rsidRDefault="00000000">
            <w:pPr>
              <w:jc w:val="center"/>
            </w:pPr>
            <w:r>
              <w:t>Trimestral</w:t>
            </w:r>
          </w:p>
        </w:tc>
      </w:tr>
    </w:tbl>
    <w:p w14:paraId="591CD9CA" w14:textId="77777777" w:rsidR="00622D02" w:rsidRDefault="00622D02">
      <w:pPr>
        <w:pBdr>
          <w:top w:val="nil"/>
          <w:left w:val="nil"/>
          <w:bottom w:val="nil"/>
          <w:right w:val="nil"/>
          <w:between w:val="nil"/>
        </w:pBdr>
        <w:tabs>
          <w:tab w:val="left" w:pos="0"/>
        </w:tabs>
        <w:jc w:val="both"/>
      </w:pPr>
    </w:p>
    <w:p w14:paraId="42DC054E" w14:textId="77777777" w:rsidR="00622D02" w:rsidRDefault="00622D02">
      <w:pPr>
        <w:tabs>
          <w:tab w:val="left" w:pos="0"/>
        </w:tabs>
        <w:ind w:left="720"/>
        <w:jc w:val="both"/>
      </w:pPr>
    </w:p>
    <w:p w14:paraId="0DC462E5" w14:textId="77777777" w:rsidR="00622D02" w:rsidRDefault="00000000">
      <w:pPr>
        <w:numPr>
          <w:ilvl w:val="0"/>
          <w:numId w:val="1"/>
        </w:numPr>
        <w:tabs>
          <w:tab w:val="left" w:pos="0"/>
        </w:tabs>
        <w:ind w:left="426"/>
        <w:jc w:val="both"/>
        <w:rPr>
          <w:sz w:val="22"/>
          <w:szCs w:val="22"/>
        </w:rPr>
      </w:pPr>
      <w:r>
        <w:rPr>
          <w:sz w:val="22"/>
          <w:szCs w:val="22"/>
        </w:rPr>
        <w:t>Deberá calcular el Monto del Préstamo y hacer una tabla de Amortización del Crédito con el horizonte de evaluación del proyecto solicitado (8 trimestres), considerando el interés efectivo por Periodo de Pago para las alternativas. Asimismo, deberá seleccionar la alternativa más conveniente, considerando esta alternativa crediticia para realizar los cálculos de las siguientes etapas del proyecto. (</w:t>
      </w:r>
      <w:proofErr w:type="spellStart"/>
      <w:r>
        <w:rPr>
          <w:sz w:val="22"/>
          <w:szCs w:val="22"/>
        </w:rPr>
        <w:t>Hint</w:t>
      </w:r>
      <w:proofErr w:type="spellEnd"/>
      <w:r>
        <w:rPr>
          <w:sz w:val="22"/>
          <w:szCs w:val="22"/>
        </w:rPr>
        <w:t>: pago trimestral)</w:t>
      </w:r>
    </w:p>
    <w:p w14:paraId="4212B1B3" w14:textId="77777777" w:rsidR="00622D02" w:rsidRDefault="00622D02">
      <w:pPr>
        <w:tabs>
          <w:tab w:val="left" w:pos="0"/>
        </w:tabs>
        <w:jc w:val="both"/>
        <w:rPr>
          <w:b/>
        </w:rPr>
      </w:pPr>
    </w:p>
    <w:p w14:paraId="6237F6F1" w14:textId="77777777" w:rsidR="00622D02" w:rsidRDefault="00622D02">
      <w:pPr>
        <w:jc w:val="both"/>
        <w:rPr>
          <w:b/>
        </w:rPr>
      </w:pPr>
    </w:p>
    <w:p w14:paraId="1809705E" w14:textId="77777777" w:rsidR="00622D02" w:rsidRDefault="00000000">
      <w:pPr>
        <w:jc w:val="both"/>
        <w:rPr>
          <w:b/>
        </w:rPr>
      </w:pPr>
      <w:bookmarkStart w:id="0" w:name="_heading=h.gjdgxs" w:colFirst="0" w:colLast="0"/>
      <w:bookmarkEnd w:id="0"/>
      <w:r>
        <w:rPr>
          <w:b/>
        </w:rPr>
        <w:t>Parte 2) 25%</w:t>
      </w:r>
    </w:p>
    <w:p w14:paraId="3D288071" w14:textId="77777777" w:rsidR="00622D02" w:rsidRDefault="00000000">
      <w:pPr>
        <w:jc w:val="both"/>
        <w:rPr>
          <w:sz w:val="22"/>
          <w:szCs w:val="22"/>
        </w:rPr>
      </w:pPr>
      <w:r>
        <w:rPr>
          <w:sz w:val="22"/>
          <w:szCs w:val="22"/>
        </w:rPr>
        <w:t>El proyecto de su amigo considera producción y venta de manzanas y peras según la siguiente distribución:</w:t>
      </w:r>
    </w:p>
    <w:p w14:paraId="55D45507" w14:textId="77777777" w:rsidR="00622D02" w:rsidRDefault="00622D02">
      <w:pPr>
        <w:jc w:val="both"/>
        <w:rPr>
          <w:sz w:val="22"/>
          <w:szCs w:val="22"/>
        </w:rPr>
      </w:pPr>
    </w:p>
    <w:tbl>
      <w:tblPr>
        <w:tblStyle w:val="a5"/>
        <w:tblW w:w="68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6"/>
        <w:gridCol w:w="2369"/>
        <w:gridCol w:w="2203"/>
      </w:tblGrid>
      <w:tr w:rsidR="00622D02" w14:paraId="7A5CFF88" w14:textId="77777777">
        <w:tc>
          <w:tcPr>
            <w:tcW w:w="2326" w:type="dxa"/>
            <w:shd w:val="clear" w:color="auto" w:fill="0070C0"/>
          </w:tcPr>
          <w:p w14:paraId="4DCECF8C"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Productos</w:t>
            </w:r>
          </w:p>
        </w:tc>
        <w:tc>
          <w:tcPr>
            <w:tcW w:w="2369" w:type="dxa"/>
            <w:shd w:val="clear" w:color="auto" w:fill="0070C0"/>
          </w:tcPr>
          <w:p w14:paraId="11FD1E2E"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Producción trimestral </w:t>
            </w:r>
          </w:p>
          <w:p w14:paraId="367B88E7"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(Año 1)</w:t>
            </w:r>
          </w:p>
        </w:tc>
        <w:tc>
          <w:tcPr>
            <w:tcW w:w="2203" w:type="dxa"/>
            <w:shd w:val="clear" w:color="auto" w:fill="0070C0"/>
          </w:tcPr>
          <w:p w14:paraId="3C3FD69E"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Precio ($)</w:t>
            </w:r>
          </w:p>
          <w:p w14:paraId="781936EC"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(Año 1)</w:t>
            </w:r>
          </w:p>
        </w:tc>
      </w:tr>
      <w:tr w:rsidR="00622D02" w14:paraId="1556A972" w14:textId="77777777">
        <w:trPr>
          <w:trHeight w:val="70"/>
        </w:trPr>
        <w:tc>
          <w:tcPr>
            <w:tcW w:w="2326" w:type="dxa"/>
          </w:tcPr>
          <w:p w14:paraId="5CC3F1BA"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Manzanas</w:t>
            </w:r>
          </w:p>
        </w:tc>
        <w:tc>
          <w:tcPr>
            <w:tcW w:w="2369" w:type="dxa"/>
          </w:tcPr>
          <w:p w14:paraId="641D4702"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160.000</w:t>
            </w:r>
          </w:p>
        </w:tc>
        <w:tc>
          <w:tcPr>
            <w:tcW w:w="2203" w:type="dxa"/>
          </w:tcPr>
          <w:p w14:paraId="5239FAC8"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800</w:t>
            </w:r>
          </w:p>
        </w:tc>
      </w:tr>
      <w:tr w:rsidR="00622D02" w14:paraId="551739BC" w14:textId="77777777">
        <w:tc>
          <w:tcPr>
            <w:tcW w:w="2326" w:type="dxa"/>
          </w:tcPr>
          <w:p w14:paraId="38AF2546"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Peras</w:t>
            </w:r>
          </w:p>
        </w:tc>
        <w:tc>
          <w:tcPr>
            <w:tcW w:w="2369" w:type="dxa"/>
          </w:tcPr>
          <w:p w14:paraId="3235C460"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70.000</w:t>
            </w:r>
          </w:p>
        </w:tc>
        <w:tc>
          <w:tcPr>
            <w:tcW w:w="2203" w:type="dxa"/>
          </w:tcPr>
          <w:p w14:paraId="53BB5776"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900</w:t>
            </w:r>
          </w:p>
        </w:tc>
      </w:tr>
    </w:tbl>
    <w:p w14:paraId="770EC267" w14:textId="77777777" w:rsidR="00622D02" w:rsidRDefault="00622D02">
      <w:pPr>
        <w:tabs>
          <w:tab w:val="left" w:pos="0"/>
        </w:tabs>
        <w:jc w:val="both"/>
      </w:pPr>
    </w:p>
    <w:p w14:paraId="0C44D2D8" w14:textId="77777777" w:rsidR="00622D02" w:rsidRDefault="00000000">
      <w:pPr>
        <w:rPr>
          <w:sz w:val="22"/>
          <w:szCs w:val="22"/>
        </w:rPr>
      </w:pPr>
      <w:r>
        <w:br w:type="page"/>
      </w:r>
    </w:p>
    <w:p w14:paraId="475971D3" w14:textId="77777777" w:rsidR="00622D02" w:rsidRDefault="00000000">
      <w:pPr>
        <w:tabs>
          <w:tab w:val="left" w:pos="0"/>
        </w:tabs>
        <w:jc w:val="both"/>
        <w:rPr>
          <w:sz w:val="22"/>
          <w:szCs w:val="22"/>
        </w:rPr>
      </w:pPr>
      <w:r>
        <w:rPr>
          <w:sz w:val="22"/>
          <w:szCs w:val="22"/>
        </w:rPr>
        <w:lastRenderedPageBreak/>
        <w:t>Al analizar la información de la producción, usted pronostica que las proyecciones de crecimiento para la producción de cada tipo de producto, con respecto al trimestre anterior, son las siguientes:</w:t>
      </w:r>
    </w:p>
    <w:p w14:paraId="4D707ED2" w14:textId="77777777" w:rsidR="00622D02" w:rsidRDefault="00622D02">
      <w:pPr>
        <w:tabs>
          <w:tab w:val="left" w:pos="0"/>
        </w:tabs>
        <w:jc w:val="both"/>
      </w:pPr>
    </w:p>
    <w:tbl>
      <w:tblPr>
        <w:tblStyle w:val="a6"/>
        <w:tblW w:w="68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2309"/>
        <w:gridCol w:w="2309"/>
      </w:tblGrid>
      <w:tr w:rsidR="00622D02" w14:paraId="0AFC6505" w14:textId="77777777">
        <w:trPr>
          <w:trHeight w:val="70"/>
        </w:trPr>
        <w:tc>
          <w:tcPr>
            <w:tcW w:w="2280" w:type="dxa"/>
            <w:vMerge w:val="restart"/>
            <w:shd w:val="clear" w:color="auto" w:fill="0070C0"/>
          </w:tcPr>
          <w:p w14:paraId="6FBE2FF4"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Productos</w:t>
            </w:r>
          </w:p>
        </w:tc>
        <w:tc>
          <w:tcPr>
            <w:tcW w:w="4618" w:type="dxa"/>
            <w:gridSpan w:val="2"/>
            <w:shd w:val="clear" w:color="auto" w:fill="0070C0"/>
          </w:tcPr>
          <w:p w14:paraId="6E429288"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Crecimiento Porcentual Producción</w:t>
            </w:r>
          </w:p>
        </w:tc>
      </w:tr>
      <w:tr w:rsidR="00622D02" w14:paraId="453634CA" w14:textId="77777777">
        <w:tc>
          <w:tcPr>
            <w:tcW w:w="2280" w:type="dxa"/>
            <w:vMerge/>
            <w:shd w:val="clear" w:color="auto" w:fill="0070C0"/>
          </w:tcPr>
          <w:p w14:paraId="0FBC1CCD" w14:textId="77777777" w:rsidR="00622D02" w:rsidRDefault="00622D02">
            <w:pPr>
              <w:widowControl w:val="0"/>
              <w:pBdr>
                <w:top w:val="nil"/>
                <w:left w:val="nil"/>
                <w:bottom w:val="nil"/>
                <w:right w:val="nil"/>
                <w:between w:val="nil"/>
              </w:pBdr>
              <w:spacing w:line="276" w:lineRule="auto"/>
              <w:rPr>
                <w:rFonts w:ascii="Times New Roman" w:eastAsia="Times New Roman" w:hAnsi="Times New Roman" w:cs="Times New Roman"/>
                <w:b/>
                <w:color w:val="FFFFFF"/>
              </w:rPr>
            </w:pPr>
          </w:p>
        </w:tc>
        <w:tc>
          <w:tcPr>
            <w:tcW w:w="2309" w:type="dxa"/>
            <w:shd w:val="clear" w:color="auto" w:fill="0070C0"/>
          </w:tcPr>
          <w:p w14:paraId="3EA9AFDA"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Trimestres 5 - 6</w:t>
            </w:r>
          </w:p>
        </w:tc>
        <w:tc>
          <w:tcPr>
            <w:tcW w:w="2309" w:type="dxa"/>
            <w:shd w:val="clear" w:color="auto" w:fill="0070C0"/>
          </w:tcPr>
          <w:p w14:paraId="0ECC0DB3"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Trimestres 7 - 8</w:t>
            </w:r>
          </w:p>
        </w:tc>
      </w:tr>
      <w:tr w:rsidR="00622D02" w14:paraId="09F2C040" w14:textId="77777777">
        <w:trPr>
          <w:trHeight w:val="70"/>
        </w:trPr>
        <w:tc>
          <w:tcPr>
            <w:tcW w:w="2280" w:type="dxa"/>
          </w:tcPr>
          <w:p w14:paraId="4B93FC07"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Manzanas</w:t>
            </w:r>
          </w:p>
        </w:tc>
        <w:tc>
          <w:tcPr>
            <w:tcW w:w="2309" w:type="dxa"/>
          </w:tcPr>
          <w:p w14:paraId="07387FCC"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13%</w:t>
            </w:r>
          </w:p>
        </w:tc>
        <w:tc>
          <w:tcPr>
            <w:tcW w:w="2309" w:type="dxa"/>
          </w:tcPr>
          <w:p w14:paraId="1D8B7420"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15%</w:t>
            </w:r>
          </w:p>
        </w:tc>
      </w:tr>
      <w:tr w:rsidR="00622D02" w14:paraId="51B22F77" w14:textId="77777777">
        <w:tc>
          <w:tcPr>
            <w:tcW w:w="2280" w:type="dxa"/>
          </w:tcPr>
          <w:p w14:paraId="40C61BCF"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Peras</w:t>
            </w:r>
          </w:p>
        </w:tc>
        <w:tc>
          <w:tcPr>
            <w:tcW w:w="2309" w:type="dxa"/>
          </w:tcPr>
          <w:p w14:paraId="0B25B5C2"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12%</w:t>
            </w:r>
          </w:p>
        </w:tc>
        <w:tc>
          <w:tcPr>
            <w:tcW w:w="2309" w:type="dxa"/>
          </w:tcPr>
          <w:p w14:paraId="40BA99FC"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17%</w:t>
            </w:r>
          </w:p>
        </w:tc>
      </w:tr>
    </w:tbl>
    <w:p w14:paraId="3BD3B6AE" w14:textId="77777777" w:rsidR="00622D02" w:rsidRDefault="00622D02">
      <w:pPr>
        <w:tabs>
          <w:tab w:val="left" w:pos="0"/>
        </w:tabs>
        <w:jc w:val="both"/>
      </w:pPr>
    </w:p>
    <w:p w14:paraId="441411DE" w14:textId="77777777" w:rsidR="00622D02" w:rsidRDefault="00000000">
      <w:pPr>
        <w:tabs>
          <w:tab w:val="left" w:pos="0"/>
        </w:tabs>
        <w:jc w:val="both"/>
        <w:rPr>
          <w:sz w:val="22"/>
          <w:szCs w:val="22"/>
        </w:rPr>
      </w:pPr>
      <w:r>
        <w:rPr>
          <w:sz w:val="22"/>
          <w:szCs w:val="22"/>
        </w:rPr>
        <w:t>Así también se visualiza que el precio de los productos variará, según la siguiente distribución:</w:t>
      </w:r>
    </w:p>
    <w:p w14:paraId="50FE57A0" w14:textId="77777777" w:rsidR="00622D02" w:rsidRDefault="00622D02">
      <w:pPr>
        <w:tabs>
          <w:tab w:val="left" w:pos="0"/>
        </w:tabs>
        <w:jc w:val="both"/>
        <w:rPr>
          <w:sz w:val="22"/>
          <w:szCs w:val="22"/>
        </w:rPr>
      </w:pPr>
    </w:p>
    <w:tbl>
      <w:tblPr>
        <w:tblStyle w:val="a7"/>
        <w:tblW w:w="68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0"/>
        <w:gridCol w:w="2309"/>
        <w:gridCol w:w="2309"/>
      </w:tblGrid>
      <w:tr w:rsidR="00622D02" w14:paraId="28378487" w14:textId="77777777">
        <w:trPr>
          <w:trHeight w:val="70"/>
        </w:trPr>
        <w:tc>
          <w:tcPr>
            <w:tcW w:w="2280" w:type="dxa"/>
            <w:vMerge w:val="restart"/>
            <w:shd w:val="clear" w:color="auto" w:fill="0070C0"/>
          </w:tcPr>
          <w:p w14:paraId="48747722"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Productos</w:t>
            </w:r>
          </w:p>
        </w:tc>
        <w:tc>
          <w:tcPr>
            <w:tcW w:w="4618" w:type="dxa"/>
            <w:gridSpan w:val="2"/>
            <w:shd w:val="clear" w:color="auto" w:fill="0070C0"/>
          </w:tcPr>
          <w:p w14:paraId="370B1D4F" w14:textId="77777777" w:rsidR="00622D02" w:rsidRDefault="00622D02">
            <w:pPr>
              <w:jc w:val="center"/>
              <w:rPr>
                <w:rFonts w:ascii="Times New Roman" w:eastAsia="Times New Roman" w:hAnsi="Times New Roman" w:cs="Times New Roman"/>
                <w:b/>
                <w:color w:val="FFFFFF"/>
              </w:rPr>
            </w:pPr>
          </w:p>
          <w:p w14:paraId="40701DE4"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Precio</w:t>
            </w:r>
          </w:p>
        </w:tc>
      </w:tr>
      <w:tr w:rsidR="00622D02" w14:paraId="39EB0128" w14:textId="77777777">
        <w:tc>
          <w:tcPr>
            <w:tcW w:w="2280" w:type="dxa"/>
            <w:vMerge/>
            <w:shd w:val="clear" w:color="auto" w:fill="0070C0"/>
          </w:tcPr>
          <w:p w14:paraId="74E3FA91" w14:textId="77777777" w:rsidR="00622D02" w:rsidRDefault="00622D02">
            <w:pPr>
              <w:widowControl w:val="0"/>
              <w:pBdr>
                <w:top w:val="nil"/>
                <w:left w:val="nil"/>
                <w:bottom w:val="nil"/>
                <w:right w:val="nil"/>
                <w:between w:val="nil"/>
              </w:pBdr>
              <w:spacing w:line="276" w:lineRule="auto"/>
              <w:rPr>
                <w:rFonts w:ascii="Times New Roman" w:eastAsia="Times New Roman" w:hAnsi="Times New Roman" w:cs="Times New Roman"/>
                <w:b/>
                <w:color w:val="FFFFFF"/>
              </w:rPr>
            </w:pPr>
          </w:p>
        </w:tc>
        <w:tc>
          <w:tcPr>
            <w:tcW w:w="2309" w:type="dxa"/>
            <w:shd w:val="clear" w:color="auto" w:fill="0070C0"/>
          </w:tcPr>
          <w:p w14:paraId="69109079"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Trimestres 5 – 6 ($)</w:t>
            </w:r>
          </w:p>
        </w:tc>
        <w:tc>
          <w:tcPr>
            <w:tcW w:w="2309" w:type="dxa"/>
            <w:shd w:val="clear" w:color="auto" w:fill="0070C0"/>
          </w:tcPr>
          <w:p w14:paraId="3B835F47" w14:textId="77777777" w:rsidR="00622D02" w:rsidRDefault="000000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Trimestres 7 – 8 ($)</w:t>
            </w:r>
          </w:p>
        </w:tc>
      </w:tr>
      <w:tr w:rsidR="00622D02" w14:paraId="3A16E49D" w14:textId="77777777">
        <w:trPr>
          <w:trHeight w:val="70"/>
        </w:trPr>
        <w:tc>
          <w:tcPr>
            <w:tcW w:w="2280" w:type="dxa"/>
          </w:tcPr>
          <w:p w14:paraId="0798379F"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Manzanas</w:t>
            </w:r>
          </w:p>
        </w:tc>
        <w:tc>
          <w:tcPr>
            <w:tcW w:w="2309" w:type="dxa"/>
          </w:tcPr>
          <w:p w14:paraId="759A8B4D"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1050</w:t>
            </w:r>
          </w:p>
        </w:tc>
        <w:tc>
          <w:tcPr>
            <w:tcW w:w="2309" w:type="dxa"/>
          </w:tcPr>
          <w:p w14:paraId="44DF002F"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1.150</w:t>
            </w:r>
          </w:p>
        </w:tc>
      </w:tr>
      <w:tr w:rsidR="00622D02" w14:paraId="2ADBFA43" w14:textId="77777777">
        <w:tc>
          <w:tcPr>
            <w:tcW w:w="2280" w:type="dxa"/>
          </w:tcPr>
          <w:p w14:paraId="1B4D3733"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Peras</w:t>
            </w:r>
          </w:p>
        </w:tc>
        <w:tc>
          <w:tcPr>
            <w:tcW w:w="2309" w:type="dxa"/>
          </w:tcPr>
          <w:p w14:paraId="7C4B6309"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1000</w:t>
            </w:r>
          </w:p>
        </w:tc>
        <w:tc>
          <w:tcPr>
            <w:tcW w:w="2309" w:type="dxa"/>
          </w:tcPr>
          <w:p w14:paraId="7323435B" w14:textId="77777777" w:rsidR="00622D02" w:rsidRDefault="00000000">
            <w:pPr>
              <w:jc w:val="center"/>
              <w:rPr>
                <w:rFonts w:ascii="Times New Roman" w:eastAsia="Times New Roman" w:hAnsi="Times New Roman" w:cs="Times New Roman"/>
              </w:rPr>
            </w:pPr>
            <w:r>
              <w:rPr>
                <w:rFonts w:ascii="Times New Roman" w:eastAsia="Times New Roman" w:hAnsi="Times New Roman" w:cs="Times New Roman"/>
              </w:rPr>
              <w:t>1.100</w:t>
            </w:r>
          </w:p>
        </w:tc>
      </w:tr>
    </w:tbl>
    <w:p w14:paraId="541CAE16" w14:textId="77777777" w:rsidR="00622D02" w:rsidRDefault="00622D02">
      <w:pPr>
        <w:tabs>
          <w:tab w:val="left" w:pos="0"/>
        </w:tabs>
        <w:jc w:val="both"/>
      </w:pPr>
    </w:p>
    <w:p w14:paraId="6B4F6259" w14:textId="77777777" w:rsidR="00622D02" w:rsidRDefault="00000000">
      <w:pPr>
        <w:tabs>
          <w:tab w:val="left" w:pos="0"/>
        </w:tabs>
        <w:ind w:left="284"/>
        <w:jc w:val="both"/>
        <w:rPr>
          <w:sz w:val="22"/>
          <w:szCs w:val="22"/>
        </w:rPr>
      </w:pPr>
      <w:r>
        <w:rPr>
          <w:sz w:val="22"/>
          <w:szCs w:val="22"/>
        </w:rPr>
        <w:t>La estructura de costos que actualmente tiene el proyecto desde el momento de comercialización es:</w:t>
      </w:r>
    </w:p>
    <w:p w14:paraId="5F7CE0CC" w14:textId="77777777" w:rsidR="00622D02" w:rsidRDefault="00622D02">
      <w:pPr>
        <w:tabs>
          <w:tab w:val="left" w:pos="0"/>
        </w:tabs>
        <w:ind w:left="284"/>
        <w:jc w:val="both"/>
        <w:rPr>
          <w:sz w:val="22"/>
          <w:szCs w:val="22"/>
        </w:rPr>
      </w:pPr>
    </w:p>
    <w:p w14:paraId="54C8E4AC" w14:textId="77777777" w:rsidR="00622D02" w:rsidRDefault="00000000">
      <w:pPr>
        <w:numPr>
          <w:ilvl w:val="0"/>
          <w:numId w:val="2"/>
        </w:numPr>
        <w:tabs>
          <w:tab w:val="left" w:pos="0"/>
        </w:tabs>
        <w:jc w:val="both"/>
        <w:rPr>
          <w:sz w:val="22"/>
          <w:szCs w:val="22"/>
        </w:rPr>
      </w:pPr>
      <w:r>
        <w:rPr>
          <w:sz w:val="22"/>
          <w:szCs w:val="22"/>
        </w:rPr>
        <w:t>Costos fijos de $7.500.000 mensuales durante los años de comercialización.</w:t>
      </w:r>
    </w:p>
    <w:p w14:paraId="39F99046" w14:textId="77777777" w:rsidR="00622D02" w:rsidRDefault="00000000">
      <w:pPr>
        <w:numPr>
          <w:ilvl w:val="0"/>
          <w:numId w:val="2"/>
        </w:numPr>
        <w:pBdr>
          <w:top w:val="nil"/>
          <w:left w:val="nil"/>
          <w:bottom w:val="nil"/>
          <w:right w:val="nil"/>
          <w:between w:val="nil"/>
        </w:pBdr>
        <w:tabs>
          <w:tab w:val="left" w:pos="0"/>
        </w:tabs>
        <w:spacing w:line="259" w:lineRule="auto"/>
        <w:jc w:val="both"/>
        <w:rPr>
          <w:color w:val="000000"/>
          <w:sz w:val="22"/>
          <w:szCs w:val="22"/>
        </w:rPr>
      </w:pPr>
      <w:r>
        <w:rPr>
          <w:color w:val="000000"/>
          <w:sz w:val="22"/>
          <w:szCs w:val="22"/>
        </w:rPr>
        <w:t xml:space="preserve">Costo Variable Unitario para el primer año por cada unidad de </w:t>
      </w:r>
      <w:r>
        <w:rPr>
          <w:sz w:val="22"/>
          <w:szCs w:val="22"/>
        </w:rPr>
        <w:t xml:space="preserve">manzana </w:t>
      </w:r>
      <w:r>
        <w:rPr>
          <w:color w:val="000000"/>
          <w:sz w:val="22"/>
          <w:szCs w:val="22"/>
        </w:rPr>
        <w:t>de $</w:t>
      </w:r>
      <w:r>
        <w:rPr>
          <w:sz w:val="22"/>
          <w:szCs w:val="22"/>
        </w:rPr>
        <w:t>4</w:t>
      </w:r>
      <w:r>
        <w:rPr>
          <w:color w:val="000000"/>
          <w:sz w:val="22"/>
          <w:szCs w:val="22"/>
        </w:rPr>
        <w:t>00, el cual aumentará anualmente en $</w:t>
      </w:r>
      <w:r>
        <w:rPr>
          <w:sz w:val="22"/>
          <w:szCs w:val="22"/>
        </w:rPr>
        <w:t>3</w:t>
      </w:r>
      <w:r>
        <w:rPr>
          <w:color w:val="000000"/>
          <w:sz w:val="22"/>
          <w:szCs w:val="22"/>
        </w:rPr>
        <w:t>0.</w:t>
      </w:r>
    </w:p>
    <w:p w14:paraId="36209596" w14:textId="77777777" w:rsidR="00622D02" w:rsidRDefault="00000000">
      <w:pPr>
        <w:numPr>
          <w:ilvl w:val="0"/>
          <w:numId w:val="2"/>
        </w:numPr>
        <w:pBdr>
          <w:top w:val="nil"/>
          <w:left w:val="nil"/>
          <w:bottom w:val="nil"/>
          <w:right w:val="nil"/>
          <w:between w:val="nil"/>
        </w:pBdr>
        <w:tabs>
          <w:tab w:val="left" w:pos="0"/>
        </w:tabs>
        <w:spacing w:after="160" w:line="259" w:lineRule="auto"/>
        <w:jc w:val="both"/>
        <w:rPr>
          <w:color w:val="000000"/>
          <w:sz w:val="22"/>
          <w:szCs w:val="22"/>
        </w:rPr>
      </w:pPr>
      <w:r>
        <w:rPr>
          <w:color w:val="000000"/>
          <w:sz w:val="22"/>
          <w:szCs w:val="22"/>
        </w:rPr>
        <w:t xml:space="preserve">Costo Variable Unitario para el primer año por cada unidad de </w:t>
      </w:r>
      <w:r>
        <w:rPr>
          <w:sz w:val="22"/>
          <w:szCs w:val="22"/>
        </w:rPr>
        <w:t xml:space="preserve">pera </w:t>
      </w:r>
      <w:r>
        <w:rPr>
          <w:color w:val="000000"/>
          <w:sz w:val="22"/>
          <w:szCs w:val="22"/>
        </w:rPr>
        <w:t>de $</w:t>
      </w:r>
      <w:r>
        <w:rPr>
          <w:sz w:val="22"/>
          <w:szCs w:val="22"/>
        </w:rPr>
        <w:t>4</w:t>
      </w:r>
      <w:r>
        <w:rPr>
          <w:color w:val="000000"/>
          <w:sz w:val="22"/>
          <w:szCs w:val="22"/>
        </w:rPr>
        <w:t>50, el cual aumentará anualmente en $</w:t>
      </w:r>
      <w:r>
        <w:rPr>
          <w:sz w:val="22"/>
          <w:szCs w:val="22"/>
        </w:rPr>
        <w:t>6</w:t>
      </w:r>
      <w:r>
        <w:rPr>
          <w:color w:val="000000"/>
          <w:sz w:val="22"/>
          <w:szCs w:val="22"/>
        </w:rPr>
        <w:t>0.</w:t>
      </w:r>
    </w:p>
    <w:p w14:paraId="1B177243" w14:textId="77777777" w:rsidR="00622D02" w:rsidRDefault="00000000">
      <w:pPr>
        <w:tabs>
          <w:tab w:val="left" w:pos="0"/>
        </w:tabs>
        <w:ind w:left="284"/>
        <w:jc w:val="both"/>
        <w:rPr>
          <w:sz w:val="22"/>
          <w:szCs w:val="22"/>
        </w:rPr>
      </w:pPr>
      <w:r>
        <w:rPr>
          <w:sz w:val="22"/>
          <w:szCs w:val="22"/>
        </w:rPr>
        <w:t>Los gastos de administración alcanzarían:</w:t>
      </w:r>
    </w:p>
    <w:p w14:paraId="6D8734DA" w14:textId="77777777" w:rsidR="00622D02" w:rsidRDefault="00622D02">
      <w:pPr>
        <w:tabs>
          <w:tab w:val="left" w:pos="0"/>
        </w:tabs>
        <w:ind w:left="284"/>
        <w:jc w:val="both"/>
        <w:rPr>
          <w:sz w:val="22"/>
          <w:szCs w:val="22"/>
        </w:rPr>
      </w:pPr>
    </w:p>
    <w:p w14:paraId="77037818" w14:textId="77777777" w:rsidR="00622D02" w:rsidRDefault="00000000">
      <w:pPr>
        <w:numPr>
          <w:ilvl w:val="0"/>
          <w:numId w:val="3"/>
        </w:numPr>
        <w:tabs>
          <w:tab w:val="left" w:pos="0"/>
        </w:tabs>
        <w:jc w:val="both"/>
        <w:rPr>
          <w:sz w:val="22"/>
          <w:szCs w:val="22"/>
        </w:rPr>
      </w:pPr>
      <w:r>
        <w:rPr>
          <w:sz w:val="22"/>
          <w:szCs w:val="22"/>
        </w:rPr>
        <w:t>$6.000.000 para cada mes de los años de comercialización.</w:t>
      </w:r>
    </w:p>
    <w:p w14:paraId="5B2315F2" w14:textId="77777777" w:rsidR="00622D02" w:rsidRDefault="00622D02">
      <w:pPr>
        <w:tabs>
          <w:tab w:val="left" w:pos="0"/>
        </w:tabs>
        <w:jc w:val="both"/>
        <w:rPr>
          <w:b/>
          <w:sz w:val="22"/>
          <w:szCs w:val="22"/>
        </w:rPr>
      </w:pPr>
    </w:p>
    <w:p w14:paraId="6C0DCE09" w14:textId="77777777" w:rsidR="00622D02" w:rsidRDefault="00000000">
      <w:pPr>
        <w:numPr>
          <w:ilvl w:val="0"/>
          <w:numId w:val="1"/>
        </w:numPr>
        <w:pBdr>
          <w:top w:val="nil"/>
          <w:left w:val="nil"/>
          <w:bottom w:val="nil"/>
          <w:right w:val="nil"/>
          <w:between w:val="nil"/>
        </w:pBdr>
        <w:tabs>
          <w:tab w:val="left" w:pos="0"/>
        </w:tabs>
        <w:jc w:val="both"/>
        <w:rPr>
          <w:color w:val="000000"/>
          <w:sz w:val="22"/>
          <w:szCs w:val="22"/>
        </w:rPr>
      </w:pPr>
      <w:r>
        <w:rPr>
          <w:color w:val="000000"/>
          <w:sz w:val="22"/>
          <w:szCs w:val="22"/>
        </w:rPr>
        <w:t>Deberá calcular la demanda de los productos, el ingreso anual por la comercialización de estos, los costos fijos y variables, margen y Ebitda según lo pronosticado.</w:t>
      </w:r>
    </w:p>
    <w:p w14:paraId="68A62967" w14:textId="77777777" w:rsidR="00622D02" w:rsidRDefault="00622D02">
      <w:pPr>
        <w:tabs>
          <w:tab w:val="left" w:pos="0"/>
        </w:tabs>
        <w:jc w:val="both"/>
        <w:rPr>
          <w:sz w:val="22"/>
          <w:szCs w:val="22"/>
        </w:rPr>
      </w:pPr>
    </w:p>
    <w:p w14:paraId="498F3141" w14:textId="77777777" w:rsidR="00622D02" w:rsidRDefault="00622D02">
      <w:pPr>
        <w:tabs>
          <w:tab w:val="left" w:pos="0"/>
        </w:tabs>
        <w:jc w:val="both"/>
        <w:rPr>
          <w:sz w:val="22"/>
          <w:szCs w:val="22"/>
        </w:rPr>
      </w:pPr>
    </w:p>
    <w:p w14:paraId="1561667A" w14:textId="77777777" w:rsidR="00622D02" w:rsidRDefault="00622D02">
      <w:pPr>
        <w:jc w:val="both"/>
        <w:rPr>
          <w:b/>
          <w:sz w:val="22"/>
          <w:szCs w:val="22"/>
        </w:rPr>
      </w:pPr>
    </w:p>
    <w:p w14:paraId="54A52452" w14:textId="77777777" w:rsidR="00622D02" w:rsidRDefault="00622D02">
      <w:pPr>
        <w:jc w:val="both"/>
        <w:rPr>
          <w:b/>
          <w:sz w:val="22"/>
          <w:szCs w:val="22"/>
        </w:rPr>
      </w:pPr>
    </w:p>
    <w:p w14:paraId="5E6F3B00" w14:textId="77777777" w:rsidR="00622D02" w:rsidRDefault="00622D02">
      <w:pPr>
        <w:jc w:val="both"/>
        <w:rPr>
          <w:b/>
          <w:sz w:val="22"/>
          <w:szCs w:val="22"/>
        </w:rPr>
      </w:pPr>
    </w:p>
    <w:p w14:paraId="6C374757" w14:textId="77777777" w:rsidR="00622D02" w:rsidRDefault="00622D02">
      <w:pPr>
        <w:jc w:val="both"/>
        <w:rPr>
          <w:b/>
          <w:sz w:val="22"/>
          <w:szCs w:val="22"/>
        </w:rPr>
      </w:pPr>
    </w:p>
    <w:p w14:paraId="1FB8B45E" w14:textId="77777777" w:rsidR="00622D02" w:rsidRDefault="00622D02">
      <w:pPr>
        <w:jc w:val="both"/>
        <w:rPr>
          <w:b/>
          <w:sz w:val="22"/>
          <w:szCs w:val="22"/>
        </w:rPr>
      </w:pPr>
    </w:p>
    <w:p w14:paraId="0BEC3306" w14:textId="77777777" w:rsidR="00622D02" w:rsidRDefault="00622D02">
      <w:pPr>
        <w:jc w:val="both"/>
        <w:rPr>
          <w:b/>
          <w:sz w:val="22"/>
          <w:szCs w:val="22"/>
        </w:rPr>
      </w:pPr>
    </w:p>
    <w:p w14:paraId="7F6E1B7B" w14:textId="77777777" w:rsidR="00622D02" w:rsidRDefault="00000000">
      <w:pPr>
        <w:ind w:left="426" w:hanging="142"/>
        <w:jc w:val="both"/>
        <w:rPr>
          <w:b/>
          <w:sz w:val="22"/>
          <w:szCs w:val="22"/>
        </w:rPr>
      </w:pPr>
      <w:r>
        <w:rPr>
          <w:b/>
          <w:sz w:val="22"/>
          <w:szCs w:val="22"/>
        </w:rPr>
        <w:t>Parte 3) 45%</w:t>
      </w:r>
    </w:p>
    <w:p w14:paraId="3E2147A1" w14:textId="77777777" w:rsidR="00622D02" w:rsidRDefault="00622D02">
      <w:pPr>
        <w:tabs>
          <w:tab w:val="left" w:pos="0"/>
        </w:tabs>
        <w:ind w:left="568"/>
        <w:jc w:val="both"/>
        <w:rPr>
          <w:sz w:val="22"/>
          <w:szCs w:val="22"/>
        </w:rPr>
      </w:pPr>
    </w:p>
    <w:p w14:paraId="1DC5AE67" w14:textId="77777777" w:rsidR="00622D02" w:rsidRDefault="00000000">
      <w:pPr>
        <w:tabs>
          <w:tab w:val="left" w:pos="0"/>
        </w:tabs>
        <w:ind w:left="568"/>
        <w:jc w:val="both"/>
        <w:rPr>
          <w:sz w:val="22"/>
          <w:szCs w:val="22"/>
        </w:rPr>
      </w:pPr>
      <w:r>
        <w:rPr>
          <w:sz w:val="22"/>
          <w:szCs w:val="22"/>
        </w:rPr>
        <w:t>Finalmente usted deberá considerar para el cálculo de su flujo de caja una tasa de descuento del 6,4% mensual compuesta continuamente, también tener en cuenta una tasa de Impuesto a la Renta para Empresas de Primera Categoría de un 27% trimestral, de esta forma tendrá que:</w:t>
      </w:r>
    </w:p>
    <w:p w14:paraId="43C060C3" w14:textId="77777777" w:rsidR="00622D02" w:rsidRDefault="00622D02">
      <w:pPr>
        <w:tabs>
          <w:tab w:val="left" w:pos="0"/>
        </w:tabs>
        <w:ind w:left="568"/>
        <w:jc w:val="both"/>
        <w:rPr>
          <w:b/>
          <w:sz w:val="22"/>
          <w:szCs w:val="22"/>
        </w:rPr>
      </w:pPr>
    </w:p>
    <w:p w14:paraId="464CED49" w14:textId="77777777" w:rsidR="00622D02" w:rsidRDefault="00000000">
      <w:pPr>
        <w:numPr>
          <w:ilvl w:val="0"/>
          <w:numId w:val="1"/>
        </w:numPr>
        <w:pBdr>
          <w:top w:val="nil"/>
          <w:left w:val="nil"/>
          <w:bottom w:val="nil"/>
          <w:right w:val="nil"/>
          <w:between w:val="nil"/>
        </w:pBdr>
        <w:tabs>
          <w:tab w:val="left" w:pos="0"/>
        </w:tabs>
        <w:jc w:val="both"/>
        <w:rPr>
          <w:color w:val="000000"/>
          <w:sz w:val="22"/>
          <w:szCs w:val="22"/>
        </w:rPr>
      </w:pPr>
      <w:r>
        <w:rPr>
          <w:color w:val="000000"/>
          <w:sz w:val="22"/>
          <w:szCs w:val="22"/>
        </w:rPr>
        <w:t xml:space="preserve">Desarrollar los componentes y obtener el Flujo de Caja Financiado completo para hacer la Evaluación Económica del Proyecto vaciando en él la información pertinente de los cálculos anteriores. Podrá considerar fracciones de depreciación menor a un año. No se considerarán los valores de los activos fijos en flujo de caja al final del horizonte de evaluación. </w:t>
      </w:r>
    </w:p>
    <w:p w14:paraId="1037D833" w14:textId="77777777" w:rsidR="00622D02" w:rsidRDefault="00000000">
      <w:pPr>
        <w:numPr>
          <w:ilvl w:val="0"/>
          <w:numId w:val="1"/>
        </w:numPr>
        <w:pBdr>
          <w:top w:val="nil"/>
          <w:left w:val="nil"/>
          <w:bottom w:val="nil"/>
          <w:right w:val="nil"/>
          <w:between w:val="nil"/>
        </w:pBdr>
        <w:tabs>
          <w:tab w:val="left" w:pos="0"/>
        </w:tabs>
        <w:jc w:val="both"/>
        <w:rPr>
          <w:color w:val="000000"/>
          <w:sz w:val="22"/>
          <w:szCs w:val="22"/>
        </w:rPr>
      </w:pPr>
      <w:r>
        <w:rPr>
          <w:color w:val="000000"/>
          <w:sz w:val="22"/>
          <w:szCs w:val="22"/>
        </w:rPr>
        <w:t>¿Este es un proyecto rentable? Considere una respuesta cualitativa y cuantitativa, apoyándose con la obtención del VAN.</w:t>
      </w:r>
    </w:p>
    <w:p w14:paraId="496DC55D" w14:textId="77777777" w:rsidR="00622D02" w:rsidRDefault="00622D02"/>
    <w:p w14:paraId="13395A67" w14:textId="77777777" w:rsidR="00622D02" w:rsidRDefault="00622D02">
      <w:pPr>
        <w:tabs>
          <w:tab w:val="left" w:pos="0"/>
        </w:tabs>
        <w:jc w:val="both"/>
      </w:pPr>
    </w:p>
    <w:p w14:paraId="1A4DDE30" w14:textId="77777777" w:rsidR="00622D02" w:rsidRDefault="00622D02"/>
    <w:p w14:paraId="385196D4" w14:textId="77777777" w:rsidR="00622D02" w:rsidRDefault="00622D02">
      <w:pPr>
        <w:rPr>
          <w:sz w:val="22"/>
          <w:szCs w:val="22"/>
        </w:rPr>
      </w:pPr>
    </w:p>
    <w:sectPr w:rsidR="00622D02">
      <w:pgSz w:w="15840" w:h="12240" w:orient="landscape"/>
      <w:pgMar w:top="568" w:right="737" w:bottom="629" w:left="567" w:header="720" w:footer="720" w:gutter="0"/>
      <w:pgNumType w:start="1"/>
      <w:cols w:num="2" w:space="720" w:equalWidth="0">
        <w:col w:w="7088" w:space="360"/>
        <w:col w:w="708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D4CFA"/>
    <w:multiLevelType w:val="multilevel"/>
    <w:tmpl w:val="B4BAECF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1D62652C"/>
    <w:multiLevelType w:val="multilevel"/>
    <w:tmpl w:val="1E76ED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692A45F3"/>
    <w:multiLevelType w:val="multilevel"/>
    <w:tmpl w:val="90186A5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16cid:durableId="679508634">
    <w:abstractNumId w:val="1"/>
  </w:num>
  <w:num w:numId="2" w16cid:durableId="705057581">
    <w:abstractNumId w:val="0"/>
  </w:num>
  <w:num w:numId="3" w16cid:durableId="550308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D02"/>
    <w:rsid w:val="00622D02"/>
    <w:rsid w:val="00F3294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A17B"/>
  <w15:docId w15:val="{3B59A24C-8517-473F-9424-BEA45C3D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color w:val="000000"/>
      <w:sz w:val="24"/>
      <w:szCs w:val="24"/>
    </w:rPr>
  </w:style>
  <w:style w:type="paragraph" w:styleId="Ttulo2">
    <w:name w:val="heading 2"/>
    <w:basedOn w:val="Normal"/>
    <w:next w:val="Normal"/>
    <w:uiPriority w:val="9"/>
    <w:unhideWhenUsed/>
    <w:qFormat/>
    <w:pPr>
      <w:keepNext/>
      <w:jc w:val="center"/>
      <w:outlineLvl w:val="1"/>
    </w:pPr>
    <w:rPr>
      <w:b/>
      <w:color w:val="000000"/>
      <w:sz w:val="24"/>
      <w:szCs w:val="24"/>
    </w:rPr>
  </w:style>
  <w:style w:type="paragraph" w:styleId="Ttulo3">
    <w:name w:val="heading 3"/>
    <w:basedOn w:val="Normal"/>
    <w:next w:val="Normal"/>
    <w:uiPriority w:val="9"/>
    <w:unhideWhenUsed/>
    <w:qFormat/>
    <w:pPr>
      <w:keepNext/>
      <w:jc w:val="center"/>
      <w:outlineLvl w:val="2"/>
    </w:pPr>
    <w:rPr>
      <w:b/>
      <w:sz w:val="28"/>
      <w:szCs w:val="28"/>
    </w:rPr>
  </w:style>
  <w:style w:type="paragraph" w:styleId="Ttulo4">
    <w:name w:val="heading 4"/>
    <w:basedOn w:val="Normal"/>
    <w:next w:val="Normal"/>
    <w:uiPriority w:val="9"/>
    <w:unhideWhenUsed/>
    <w:qFormat/>
    <w:pPr>
      <w:keepNext/>
      <w:jc w:val="center"/>
      <w:outlineLvl w:val="3"/>
    </w:pPr>
    <w:rPr>
      <w:b/>
      <w:sz w:val="32"/>
      <w:szCs w:val="32"/>
    </w:rPr>
  </w:style>
  <w:style w:type="paragraph" w:styleId="Ttulo5">
    <w:name w:val="heading 5"/>
    <w:basedOn w:val="Normal"/>
    <w:next w:val="Normal"/>
    <w:uiPriority w:val="9"/>
    <w:semiHidden/>
    <w:unhideWhenUsed/>
    <w:qFormat/>
    <w:pPr>
      <w:keepNext/>
      <w:ind w:left="112"/>
      <w:outlineLvl w:val="4"/>
    </w:pPr>
    <w:rPr>
      <w:color w:val="000000"/>
      <w:sz w:val="24"/>
      <w:szCs w:val="24"/>
    </w:rPr>
  </w:style>
  <w:style w:type="paragraph" w:styleId="Ttulo6">
    <w:name w:val="heading 6"/>
    <w:basedOn w:val="Normal"/>
    <w:next w:val="Normal"/>
    <w:uiPriority w:val="9"/>
    <w:semiHidden/>
    <w:unhideWhenUsed/>
    <w:qFormat/>
    <w:pPr>
      <w:keepNext/>
      <w:ind w:left="253"/>
      <w:outlineLvl w:val="5"/>
    </w:pPr>
    <w:rPr>
      <w:color w:val="00000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42A2A"/>
    <w:pPr>
      <w:ind w:left="720"/>
      <w:contextualSpacing/>
    </w:pPr>
  </w:style>
  <w:style w:type="table" w:styleId="Tablaconcuadrcula">
    <w:name w:val="Table Grid"/>
    <w:basedOn w:val="Tablanormal"/>
    <w:uiPriority w:val="39"/>
    <w:rsid w:val="00ED703E"/>
    <w:rPr>
      <w:rFonts w:asciiTheme="minorHAnsi" w:eastAsiaTheme="minorHAnsi" w:hAnsiTheme="minorHAnsi" w:cstheme="minorBidi"/>
      <w:sz w:val="22"/>
      <w:szCs w:val="22"/>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rPr>
      <w:rFonts w:ascii="Cambria" w:eastAsia="Cambria" w:hAnsi="Cambria" w:cs="Cambria"/>
      <w:sz w:val="22"/>
      <w:szCs w:val="22"/>
    </w:rPr>
    <w:tblPr>
      <w:tblStyleRowBandSize w:val="1"/>
      <w:tblStyleColBandSize w:val="1"/>
      <w:tblCellMar>
        <w:left w:w="108" w:type="dxa"/>
        <w:right w:w="108" w:type="dxa"/>
      </w:tblCellMar>
    </w:tblPr>
  </w:style>
  <w:style w:type="table" w:customStyle="1" w:styleId="a6">
    <w:basedOn w:val="TableNormal0"/>
    <w:rPr>
      <w:rFonts w:ascii="Cambria" w:eastAsia="Cambria" w:hAnsi="Cambria" w:cs="Cambria"/>
      <w:sz w:val="22"/>
      <w:szCs w:val="22"/>
    </w:rPr>
    <w:tblPr>
      <w:tblStyleRowBandSize w:val="1"/>
      <w:tblStyleColBandSize w:val="1"/>
      <w:tblCellMar>
        <w:left w:w="108" w:type="dxa"/>
        <w:right w:w="108" w:type="dxa"/>
      </w:tblCellMar>
    </w:tblPr>
  </w:style>
  <w:style w:type="table" w:customStyle="1" w:styleId="a7">
    <w:basedOn w:val="TableNormal0"/>
    <w:rPr>
      <w:rFonts w:ascii="Cambria" w:eastAsia="Cambria" w:hAnsi="Cambria" w:cs="Cambria"/>
      <w:sz w:val="22"/>
      <w:szCs w:val="22"/>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lPwx0qz/uf7+iAFdkhYjS94CnQ==">AMUW2mVJzO4h6c8WCPWbgWabNMu7zUWs8WNdUMSQvD/0DG0akhFCn/hlEynPaIzEzEncpzqsApcct8RUTo4ayOHo5a5izwheJQan2um57DMiv+/1pPs1MqXcV4xrtE5zXnmEd/xxYFP7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848</Words>
  <Characters>4664</Characters>
  <Application>Microsoft Office Word</Application>
  <DocSecurity>0</DocSecurity>
  <Lines>38</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EPCO</dc:creator>
  <cp:lastModifiedBy>Marcelo Fabian Vera Zamora</cp:lastModifiedBy>
  <cp:revision>2</cp:revision>
  <dcterms:created xsi:type="dcterms:W3CDTF">2022-05-02T13:39:00Z</dcterms:created>
  <dcterms:modified xsi:type="dcterms:W3CDTF">2022-09-08T14:34:00Z</dcterms:modified>
</cp:coreProperties>
</file>