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Caneta (Objeto Material)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Tipo de ponta (por exemplo, fina, média, grossa)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Escrever(texto): Escreve o texto especificado na cor da caneta.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TrocarTinta(novaCor): Altera a cor da caneta.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Destampar(): Remove a tampa da caneta para que possa ser usada.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Carro (Objeto Material)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Ano de fabricação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Velocidade atual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Acelerar(aceleracao): Aumenta a velocidade do carro.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Frear(): Reduz a velocidade do carro.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Ligar(): Liga o carro.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Usuário (Objeto Abstrato)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Idade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EscreverMensagem(mensagem): Escreve uma mensagem usando o nome do usuário.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Aniversario(): Incrementa a idade do usuário em um ano.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EnviarEmail(destinatario, assunto, corpo): Envia um email para outro usuário.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Cálculo Matemático (Objeto Abstrato)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Número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Número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Somar(): Soma os números A e B e armazena o resultado.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Subtrair(): Subtrai o número B do número A e armazena o resultado.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Multiplicar(): Multiplica os números A e B e armazena o resultado.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