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28" w:rsidRDefault="00284F53" w:rsidP="00284F53">
      <w:pPr>
        <w:jc w:val="center"/>
        <w:rPr>
          <w:b/>
          <w:sz w:val="28"/>
          <w:szCs w:val="28"/>
        </w:rPr>
      </w:pPr>
      <w:r w:rsidRPr="00284F53">
        <w:rPr>
          <w:b/>
          <w:sz w:val="28"/>
          <w:szCs w:val="28"/>
        </w:rPr>
        <w:t>Singleton</w:t>
      </w:r>
    </w:p>
    <w:p w:rsidR="00284F53" w:rsidRDefault="00284F53" w:rsidP="00284F53">
      <w:r>
        <w:rPr>
          <w:b/>
        </w:rPr>
        <w:t xml:space="preserve">Def. </w:t>
      </w:r>
      <w:r>
        <w:t xml:space="preserve">Zapewnia, że dana klasa będzie miała tylko i wyłącznie jedną instancję obiektu, i zapewnia globalny punkt dostępu do tej instancji </w:t>
      </w:r>
    </w:p>
    <w:p w:rsidR="00284F53" w:rsidRDefault="00284F53" w:rsidP="00284F53">
      <w:pPr>
        <w:rPr>
          <w:b/>
        </w:rPr>
      </w:pPr>
      <w:r w:rsidRPr="00284F53">
        <w:rPr>
          <w:b/>
        </w:rPr>
        <w:t>Diagram klas</w:t>
      </w:r>
      <w:r>
        <w:rPr>
          <w:b/>
        </w:rPr>
        <w:t>:</w:t>
      </w:r>
    </w:p>
    <w:tbl>
      <w:tblPr>
        <w:tblStyle w:val="Tabela-Siatka"/>
        <w:tblW w:w="0" w:type="auto"/>
        <w:tblInd w:w="1669" w:type="dxa"/>
        <w:tblLook w:val="04A0" w:firstRow="1" w:lastRow="0" w:firstColumn="1" w:lastColumn="0" w:noHBand="0" w:noVBand="1"/>
      </w:tblPr>
      <w:tblGrid>
        <w:gridCol w:w="5718"/>
      </w:tblGrid>
      <w:tr w:rsidR="00284F53" w:rsidTr="00284F53">
        <w:trPr>
          <w:trHeight w:val="264"/>
        </w:trPr>
        <w:tc>
          <w:tcPr>
            <w:tcW w:w="5718" w:type="dxa"/>
          </w:tcPr>
          <w:p w:rsidR="00284F53" w:rsidRDefault="00284F53" w:rsidP="00284F53">
            <w:pPr>
              <w:jc w:val="center"/>
            </w:pPr>
            <w:r>
              <w:t>Singleton</w:t>
            </w:r>
          </w:p>
        </w:tc>
      </w:tr>
      <w:tr w:rsidR="00284F53" w:rsidTr="00284F53">
        <w:trPr>
          <w:trHeight w:val="661"/>
        </w:trPr>
        <w:tc>
          <w:tcPr>
            <w:tcW w:w="5718" w:type="dxa"/>
          </w:tcPr>
          <w:p w:rsidR="00284F53" w:rsidRDefault="00284F53" w:rsidP="00284F53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instancjaUnikalna</w:t>
            </w:r>
            <w:proofErr w:type="spellEnd"/>
            <w:r>
              <w:t xml:space="preserve"> </w:t>
            </w:r>
          </w:p>
          <w:p w:rsidR="00284F53" w:rsidRDefault="00284F53" w:rsidP="00284F53">
            <w:r>
              <w:t>//inne użyteczne dane wzorca Singleton</w:t>
            </w:r>
          </w:p>
        </w:tc>
      </w:tr>
      <w:tr w:rsidR="00284F53" w:rsidTr="00284F53">
        <w:trPr>
          <w:trHeight w:val="691"/>
        </w:trPr>
        <w:tc>
          <w:tcPr>
            <w:tcW w:w="5718" w:type="dxa"/>
          </w:tcPr>
          <w:p w:rsidR="00284F53" w:rsidRDefault="00284F53" w:rsidP="00284F53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pobierzInstancje</w:t>
            </w:r>
            <w:proofErr w:type="spellEnd"/>
            <w:r>
              <w:t>()</w:t>
            </w:r>
          </w:p>
          <w:p w:rsidR="00284F53" w:rsidRDefault="00284F53" w:rsidP="00284F53">
            <w:r>
              <w:t>//inne użyteczne metody wzorca singleton</w:t>
            </w:r>
          </w:p>
        </w:tc>
      </w:tr>
    </w:tbl>
    <w:p w:rsidR="00284F53" w:rsidRPr="00ED55A9" w:rsidRDefault="00284F53" w:rsidP="00284F53">
      <w:pPr>
        <w:rPr>
          <w:b/>
        </w:rPr>
      </w:pPr>
    </w:p>
    <w:p w:rsidR="00284F53" w:rsidRPr="00ED55A9" w:rsidRDefault="00284F53" w:rsidP="00284F53">
      <w:pPr>
        <w:rPr>
          <w:b/>
        </w:rPr>
      </w:pPr>
      <w:r w:rsidRPr="00ED55A9">
        <w:rPr>
          <w:b/>
        </w:rPr>
        <w:t>Ważne info:</w:t>
      </w:r>
    </w:p>
    <w:p w:rsidR="00284F53" w:rsidRDefault="00ED55A9" w:rsidP="00284F53">
      <w:r>
        <w:t>- prywatny konstruktor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statyczny wskaźnik instancji jako </w:t>
      </w:r>
      <w:proofErr w:type="spellStart"/>
      <w:r>
        <w:t>private</w:t>
      </w:r>
      <w:proofErr w:type="spellEnd"/>
      <w: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nazwaKlasy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publiczny statyczny getter wskaźnika instancji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55A9" w:rsidRPr="00284F53" w:rsidRDefault="00ED55A9" w:rsidP="00284F53">
      <w:bookmarkStart w:id="0" w:name="_GoBack"/>
      <w:bookmarkEnd w:id="0"/>
    </w:p>
    <w:sectPr w:rsidR="00ED55A9" w:rsidRPr="00284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F"/>
    <w:rsid w:val="00284F53"/>
    <w:rsid w:val="00C27CDF"/>
    <w:rsid w:val="00E84028"/>
    <w:rsid w:val="00E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C732"/>
  <w15:chartTrackingRefBased/>
  <w15:docId w15:val="{F2C99C7B-1B83-4F67-95F3-3052E979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2</cp:revision>
  <dcterms:created xsi:type="dcterms:W3CDTF">2019-05-26T17:55:00Z</dcterms:created>
  <dcterms:modified xsi:type="dcterms:W3CDTF">2019-05-26T18:16:00Z</dcterms:modified>
</cp:coreProperties>
</file>