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Times New Roman" w:hAnsi="Times New Roman" w:eastAsia="Times New Roman"/>
          <w:b/>
          <w:i w:val="0"/>
          <w:color w:val="8B1A1A"/>
          <w:sz w:val="36"/>
        </w:rPr>
        <w:t>Tài liệu hệ thống Quản lý án — TANDTC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Tài liệu đặc tả các màn hình của hệ thống. Mỗi màn một file.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D2E4F"/>
          <w:sz w:val="29"/>
        </w:rPr>
        <w:t>Module Quản lý đơn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Mã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Màn hình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Tài liệu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Trạng thái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Danh sách đơn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D2E4F"/>
                <w:sz w:val="21"/>
              </w:rPr>
              <w:t>man-hinh-danh-sach-don.md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✅ Đã viết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Thêm mới đơn (luồng OCR)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Chưa viết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Hồ sơ kháng nghị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(gộp trong MH-01, mục 7)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Phân công thẩm phán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Chưa viết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Lưu số văn bản &amp; in báo cáo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Chưa viết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D2E4F"/>
          <w:sz w:val="29"/>
        </w:rPr>
        <w:t>Module Quản lý án GĐT/TT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Mã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Màn hình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Tài liệu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Trạng thái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đơn và TL vụ án (6 tab)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Chưa viết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Cấu hình TTV báo cáo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Chưa viết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Cấu hình phân công Thẩm phán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Chưa viết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 w:eastAsia="Times New Roman"/>
          <w:b/>
          <w:i w:val="0"/>
          <w:color w:val="1D2E4F"/>
          <w:sz w:val="29"/>
        </w:rPr>
        <w:t>Module Công tác lãnh đạo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Mã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Màn hình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Tài liệu</w:t>
            </w:r>
          </w:p>
        </w:tc>
        <w:tc>
          <w:tcPr>
            <w:tcW w:type="dxa" w:w="2493"/>
            <w:shd w:val="clear" w:fill="E8EDF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Trạng thái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MH-09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Phê duyệt đề xuất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Chưa viết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