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Name: </w:t>
      </w:r>
      <w:r w:rsidDel="00000000" w:rsidR="00000000" w:rsidRPr="00000000">
        <w:rPr>
          <w:rFonts w:ascii="Times New Roman" w:cs="Times New Roman" w:eastAsia="Times New Roman" w:hAnsi="Times New Roman"/>
          <w:rtl w:val="0"/>
        </w:rPr>
        <w:t xml:space="preserve"> Name of company in the S&amp;P500 index</w:t>
      </w:r>
    </w:p>
    <w:p w:rsidR="00000000" w:rsidDel="00000000" w:rsidP="00000000" w:rsidRDefault="00000000" w:rsidRPr="00000000" w14:paraId="00000002">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BBRGovernance Pillar Score:</w:t>
      </w:r>
      <w:r w:rsidDel="00000000" w:rsidR="00000000" w:rsidRPr="00000000">
        <w:rPr>
          <w:rFonts w:ascii="Times New Roman" w:cs="Times New Roman" w:eastAsia="Times New Roman" w:hAnsi="Times New Roman"/>
          <w:rtl w:val="0"/>
        </w:rPr>
        <w:t xml:space="preserve"> an absolute assessment of a company’s governance that uses a universally applied 0-10 scale, calculated using a deduction-based approach.</w:t>
      </w:r>
    </w:p>
    <w:p w:rsidR="00000000" w:rsidDel="00000000" w:rsidP="00000000" w:rsidRDefault="00000000" w:rsidRPr="00000000" w14:paraId="00000003">
      <w:pPr>
        <w:numPr>
          <w:ilvl w:val="0"/>
          <w:numId w:val="3"/>
        </w:numPr>
        <w:ind w:left="720" w:hanging="360"/>
        <w:rPr>
          <w:u w:val="none"/>
        </w:rPr>
      </w:pPr>
      <w:r w:rsidDel="00000000" w:rsidR="00000000" w:rsidRPr="00000000">
        <w:rPr>
          <w:rFonts w:ascii="Times New Roman" w:cs="Times New Roman" w:eastAsia="Times New Roman" w:hAnsi="Times New Roman"/>
          <w:b w:val="1"/>
          <w:i w:val="1"/>
          <w:u w:val="single"/>
          <w:rtl w:val="0"/>
        </w:rPr>
        <w:t xml:space="preserve">Market Cap - Compound Annual Growth Rate</w:t>
      </w:r>
      <w:r w:rsidDel="00000000" w:rsidR="00000000" w:rsidRPr="00000000">
        <w:rPr>
          <w:rFonts w:ascii="Times New Roman" w:cs="Times New Roman" w:eastAsia="Times New Roman" w:hAnsi="Times New Roman"/>
          <w:b w:val="1"/>
          <w:i w:val="1"/>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Market Cap </w:t>
      </w:r>
      <w:r w:rsidDel="00000000" w:rsidR="00000000" w:rsidRPr="00000000">
        <w:rPr>
          <w:rFonts w:ascii="Times New Roman" w:cs="Times New Roman" w:eastAsia="Times New Roman" w:hAnsi="Times New Roman"/>
          <w:rtl w:val="0"/>
        </w:rPr>
        <w:t xml:space="preserve">is the monetary value of all outstanding shares stated in the pricing currency. Capitalization is a measure of corporate size. </w:t>
      </w:r>
      <w:r w:rsidDel="00000000" w:rsidR="00000000" w:rsidRPr="00000000">
        <w:rPr>
          <w:rFonts w:ascii="Times New Roman" w:cs="Times New Roman" w:eastAsia="Times New Roman" w:hAnsi="Times New Roman"/>
          <w:b w:val="1"/>
          <w:rtl w:val="0"/>
        </w:rPr>
        <w:t xml:space="preserve">Compound Annual Growth Rate</w:t>
      </w:r>
      <w:r w:rsidDel="00000000" w:rsidR="00000000" w:rsidRPr="00000000">
        <w:rPr>
          <w:rFonts w:ascii="Times New Roman" w:cs="Times New Roman" w:eastAsia="Times New Roman" w:hAnsi="Times New Roman"/>
          <w:rtl w:val="0"/>
        </w:rPr>
        <w:t xml:space="preserve"> is the smooth Growth rate between two periods. It’s calculated by dividing the value from the most recent time period by the value from the oldest time period, raised to the power of 1/n, where n is the number of periods.</w:t>
      </w:r>
    </w:p>
    <w:p w:rsidR="00000000" w:rsidDel="00000000" w:rsidP="00000000" w:rsidRDefault="00000000" w:rsidRPr="00000000" w14:paraId="00000004">
      <w:pPr>
        <w:numPr>
          <w:ilvl w:val="0"/>
          <w:numId w:val="3"/>
        </w:numPr>
        <w:ind w:left="720" w:hanging="360"/>
        <w:rPr>
          <w:u w:val="none"/>
        </w:rPr>
      </w:pPr>
      <w:r w:rsidDel="00000000" w:rsidR="00000000" w:rsidRPr="00000000">
        <w:rPr>
          <w:rFonts w:ascii="Times New Roman" w:cs="Times New Roman" w:eastAsia="Times New Roman" w:hAnsi="Times New Roman"/>
          <w:b w:val="1"/>
          <w:i w:val="1"/>
          <w:u w:val="single"/>
          <w:rtl w:val="0"/>
        </w:rPr>
        <w:t xml:space="preserve">Relative Strength Index</w:t>
      </w:r>
      <w:r w:rsidDel="00000000" w:rsidR="00000000" w:rsidRPr="00000000">
        <w:rPr>
          <w:rFonts w:ascii="Times New Roman" w:cs="Times New Roman" w:eastAsia="Times New Roman" w:hAnsi="Times New Roman"/>
          <w:b w:val="1"/>
          <w:i w:val="1"/>
          <w:rtl w:val="0"/>
        </w:rPr>
        <w:t xml:space="preserve">:</w:t>
      </w:r>
      <w:r w:rsidDel="00000000" w:rsidR="00000000" w:rsidRPr="00000000">
        <w:rPr>
          <w:rFonts w:ascii="Times New Roman" w:cs="Times New Roman" w:eastAsia="Times New Roman" w:hAnsi="Times New Roman"/>
          <w:rtl w:val="0"/>
        </w:rPr>
        <w:t xml:space="preserve"> An index used for purpose of comparing a security (performance, volatility, etc.) to the market. </w:t>
      </w:r>
      <w:r w:rsidDel="00000000" w:rsidR="00000000" w:rsidRPr="00000000">
        <w:rPr>
          <w:rFonts w:ascii="Times New Roman" w:cs="Times New Roman" w:eastAsia="Times New Roman" w:hAnsi="Times New Roman"/>
          <w:b w:val="1"/>
          <w:rtl w:val="0"/>
        </w:rPr>
        <w:t xml:space="preserve">Equity: </w:t>
      </w:r>
      <w:r w:rsidDel="00000000" w:rsidR="00000000" w:rsidRPr="00000000">
        <w:rPr>
          <w:rFonts w:ascii="Times New Roman" w:cs="Times New Roman" w:eastAsia="Times New Roman" w:hAnsi="Times New Roman"/>
          <w:rtl w:val="0"/>
        </w:rPr>
        <w:t xml:space="preserve">This is set as a default for the exchange code, regardless of whether or not the equity security is a member of the benchmark index. </w:t>
      </w:r>
      <w:r w:rsidDel="00000000" w:rsidR="00000000" w:rsidRPr="00000000">
        <w:rPr>
          <w:rFonts w:ascii="Times New Roman" w:cs="Times New Roman" w:eastAsia="Times New Roman" w:hAnsi="Times New Roman"/>
          <w:b w:val="1"/>
          <w:rtl w:val="0"/>
        </w:rPr>
        <w:t xml:space="preserve">Bloomberg terminal: </w:t>
      </w:r>
      <w:r w:rsidDel="00000000" w:rsidR="00000000" w:rsidRPr="00000000">
        <w:rPr>
          <w:rFonts w:ascii="Times New Roman" w:cs="Times New Roman" w:eastAsia="Times New Roman" w:hAnsi="Times New Roman"/>
          <w:rtl w:val="0"/>
        </w:rPr>
        <w:t xml:space="preserve">The IPDF&lt;GO&gt; function can be used to override the relative index and, if applicable, sub-index for the loaded security.</w:t>
      </w:r>
    </w:p>
    <w:p w:rsidR="00000000" w:rsidDel="00000000" w:rsidP="00000000" w:rsidRDefault="00000000" w:rsidRPr="00000000" w14:paraId="00000005">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u w:val="single"/>
          <w:rtl w:val="0"/>
        </w:rPr>
        <w:t xml:space="preserve">Price Earnings Ratio (P/E)</w:t>
      </w:r>
      <w:r w:rsidDel="00000000" w:rsidR="00000000" w:rsidRPr="00000000">
        <w:rPr>
          <w:rFonts w:ascii="Times New Roman" w:cs="Times New Roman" w:eastAsia="Times New Roman" w:hAnsi="Times New Roman"/>
          <w:b w:val="1"/>
          <w:i w:val="1"/>
          <w:rtl w:val="0"/>
        </w:rPr>
        <w:t xml:space="preserve">:</w:t>
      </w:r>
      <w:r w:rsidDel="00000000" w:rsidR="00000000" w:rsidRPr="00000000">
        <w:rPr>
          <w:rFonts w:ascii="Times New Roman" w:cs="Times New Roman" w:eastAsia="Times New Roman" w:hAnsi="Times New Roman"/>
          <w:rtl w:val="0"/>
        </w:rPr>
        <w:t xml:space="preserve"> Ratio of the price of a stock and the company’s earnings per share. For US and Canada, calculated as Last Price (PR005, PX_LAST) divided by Trailing 12M Diluted EPS From Cont OPS (RR844, T12M_DIL_DES_CONT_OPS) or Diluted EPS From Continuing Ops (IS147, IS_DIL_EPS_CONT_OPS) if only annual earnings exist.</w:t>
      </w:r>
    </w:p>
    <w:p w:rsidR="00000000" w:rsidDel="00000000" w:rsidP="00000000" w:rsidRDefault="00000000" w:rsidRPr="00000000" w14:paraId="00000006">
      <w:pPr>
        <w:numPr>
          <w:ilvl w:val="0"/>
          <w:numId w:val="3"/>
        </w:numPr>
        <w:ind w:left="72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Bloomberg Default Risk:</w:t>
      </w:r>
    </w:p>
    <w:p w:rsidR="00000000" w:rsidDel="00000000" w:rsidP="00000000" w:rsidRDefault="00000000" w:rsidRPr="00000000" w14:paraId="0000000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79537" cy="195561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79537" cy="195561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u w:val="single"/>
          <w:rtl w:val="0"/>
        </w:rPr>
        <w:t xml:space="preserve">Return Sharpe Ratio</w:t>
      </w:r>
      <w:r w:rsidDel="00000000" w:rsidR="00000000" w:rsidRPr="00000000">
        <w:rPr>
          <w:rFonts w:ascii="Times New Roman" w:cs="Times New Roman" w:eastAsia="Times New Roman" w:hAnsi="Times New Roman"/>
          <w:b w:val="1"/>
          <w:i w:val="1"/>
          <w:rtl w:val="0"/>
        </w:rPr>
        <w:t xml:space="preserve">:</w:t>
      </w:r>
      <w:r w:rsidDel="00000000" w:rsidR="00000000" w:rsidRPr="00000000">
        <w:rPr>
          <w:rFonts w:ascii="Times New Roman" w:cs="Times New Roman" w:eastAsia="Times New Roman" w:hAnsi="Times New Roman"/>
          <w:rtl w:val="0"/>
        </w:rPr>
        <w:t xml:space="preserve"> A risk-adjusted measure that calculates the excess performance with respect to the risk free rate (in our case, the yield 3 months linked to the currency), per unit of volatility over the time frame. Performance is measured as mean return. The higher the Sharpe ratio, the better the historical ris-adjusted performance. The default time frame is 1 year. Time frame can be changed using Risk Measures.</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Fundamental Industry Code: </w:t>
      </w:r>
      <w:r w:rsidDel="00000000" w:rsidR="00000000" w:rsidRPr="00000000">
        <w:rPr>
          <w:rFonts w:ascii="Times New Roman" w:cs="Times New Roman" w:eastAsia="Times New Roman" w:hAnsi="Times New Roman"/>
          <w:rtl w:val="0"/>
        </w:rPr>
        <w:t xml:space="preserve">Returns the format in which the company reports its financial statements. The available types are Industrial, Bank, Financial, Insurance, Utility, Minicipal General Obligation, REITs, and Municipal Revenue Bond. This field may return different from the industry in which the company operates.</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Ticker and Exchange Code: </w:t>
      </w:r>
      <w:r w:rsidDel="00000000" w:rsidR="00000000" w:rsidRPr="00000000">
        <w:rPr>
          <w:rFonts w:ascii="Times New Roman" w:cs="Times New Roman" w:eastAsia="Times New Roman" w:hAnsi="Times New Roman"/>
          <w:rtl w:val="0"/>
        </w:rPr>
        <w:t xml:space="preserve">This field is the ticker and the exchange code.</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u w:val="single"/>
          <w:rtl w:val="0"/>
        </w:rPr>
        <w:t xml:space="preserve">BEst Target Price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Price target (fair value) provided by the analyst covering the stock</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Total Assets: </w:t>
      </w:r>
      <w:r w:rsidDel="00000000" w:rsidR="00000000" w:rsidRPr="00000000">
        <w:rPr>
          <w:rFonts w:ascii="Times New Roman" w:cs="Times New Roman" w:eastAsia="Times New Roman" w:hAnsi="Times New Roman"/>
          <w:rtl w:val="0"/>
        </w:rPr>
        <w:t xml:space="preserve">This is the sum of Cash and bank balances, FED funds sold and resae agreement, Investments for Trade and Sale, Net loans, Investments held to maturity, Net fixed assets, Other assets, Customers’ Acceptances and liabilities.</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u w:val="single"/>
          <w:rtl w:val="0"/>
        </w:rPr>
        <w:t xml:space="preserve">Free Cash Flow</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rtl w:val="0"/>
        </w:rPr>
        <w:t xml:space="preserve">Measure of financial performance calculated as operating cash flow minus capital expenditures. Free cash flow (FCF) represents the cash that a company is able to generate after laying out the money required to maintain or expand its asset base. Figure is reported in millions.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are collected as of:</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11/07/2022</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11/07/2020</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11/07/2019</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11/07/2018</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11/07/2017</w:t>
      </w:r>
    </w:p>
    <w:p w:rsidR="00000000" w:rsidDel="00000000" w:rsidP="00000000" w:rsidRDefault="00000000" w:rsidRPr="00000000" w14:paraId="00000015">
      <w:pPr>
        <w:ind w:left="720" w:firstLine="0"/>
        <w:rPr>
          <w:rFonts w:ascii="Times New Roman" w:cs="Times New Roman" w:eastAsia="Times New Roman" w:hAnsi="Times New Roman"/>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