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8C1C" w14:textId="6C4DA451" w:rsidR="0007449A" w:rsidRPr="009E4A02" w:rsidRDefault="009E4A02" w:rsidP="009E4A02">
      <w:pPr>
        <w:pStyle w:val="2"/>
        <w:rPr>
          <w:sz w:val="28"/>
          <w:szCs w:val="28"/>
        </w:rPr>
      </w:pPr>
      <w:r w:rsidRPr="009E4A02">
        <w:rPr>
          <w:rFonts w:hint="eastAsia"/>
          <w:sz w:val="28"/>
          <w:szCs w:val="28"/>
        </w:rPr>
        <w:t xml:space="preserve">复星医药 </w:t>
      </w:r>
      <w:r w:rsidRPr="009E4A02">
        <w:rPr>
          <w:sz w:val="28"/>
          <w:szCs w:val="28"/>
        </w:rPr>
        <w:t xml:space="preserve">600196 </w:t>
      </w:r>
      <w:hyperlink r:id="rId4"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5" w:history="1">
        <w:r w:rsidR="00276B27" w:rsidRPr="00A83E17">
          <w:rPr>
            <w:rStyle w:val="a3"/>
            <w:sz w:val="28"/>
            <w:szCs w:val="28"/>
            <w:shd w:val="clear" w:color="auto" w:fill="FFFFFF"/>
          </w:rPr>
          <w:t>https://www.henlius.com/Index.html</w:t>
        </w:r>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6" w:history="1">
        <w:r w:rsidR="002432A7" w:rsidRPr="00A83E17">
          <w:rPr>
            <w:rStyle w:val="a3"/>
            <w:sz w:val="28"/>
            <w:szCs w:val="28"/>
            <w:shd w:val="clear" w:color="auto" w:fill="FFFFFF"/>
          </w:rPr>
          <w:t>https://sisram-medical.com/</w:t>
        </w:r>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7"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hint="eastAsi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651E1F01" w:rsidR="00170723" w:rsidRPr="004A2124" w:rsidRDefault="00170723" w:rsidP="00B748F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制剂</w:t>
      </w:r>
    </w:p>
    <w:sectPr w:rsidR="00170723" w:rsidRPr="004A2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7449A"/>
    <w:rsid w:val="000B5218"/>
    <w:rsid w:val="00154F1F"/>
    <w:rsid w:val="00170723"/>
    <w:rsid w:val="002432A7"/>
    <w:rsid w:val="00276B27"/>
    <w:rsid w:val="00360FE3"/>
    <w:rsid w:val="004A2124"/>
    <w:rsid w:val="005E4A5C"/>
    <w:rsid w:val="0066648E"/>
    <w:rsid w:val="007A0F13"/>
    <w:rsid w:val="00827746"/>
    <w:rsid w:val="00890371"/>
    <w:rsid w:val="0095448A"/>
    <w:rsid w:val="009E1EF5"/>
    <w:rsid w:val="009E4A02"/>
    <w:rsid w:val="00AA7C34"/>
    <w:rsid w:val="00B748FB"/>
    <w:rsid w:val="00B860A1"/>
    <w:rsid w:val="00BD7154"/>
    <w:rsid w:val="00C7642E"/>
    <w:rsid w:val="00E2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pelo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sram-medical.com/" TargetMode="External"/><Relationship Id="rId5" Type="http://schemas.openxmlformats.org/officeDocument/2006/relationships/hyperlink" Target="https://www.henlius.com/Index.html" TargetMode="External"/><Relationship Id="rId4" Type="http://schemas.openxmlformats.org/officeDocument/2006/relationships/hyperlink" Target="http://www.fosunpharma.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2022-02-17T06:55:00Z</dcterms:created>
  <dcterms:modified xsi:type="dcterms:W3CDTF">2022-02-18T03:18:00Z</dcterms:modified>
</cp:coreProperties>
</file>