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sz w:val="44"/>
          <w:szCs w:val="44"/>
        </w:rPr>
        <w:t xml:space="preserve">SPRINT 2 REPORT</w:t>
      </w:r>
    </w:p>
    <w:p>
      <w:pPr>
        <w:spacing w:after="60" w:before="0"/>
        <w:jc w:val="center"/>
      </w:pPr>
      <w:r>
        <w:rPr>
          <w:rFonts w:ascii="Arial" w:cs="Arial" w:eastAsia="Arial" w:hAnsi="Arial"/>
          <w:b/>
          <w:bCs/>
          <w:sz w:val="26"/>
          <w:szCs w:val="26"/>
        </w:rPr>
        <w:t xml:space="preserve">J-VizAudit – Online Java Compiler with Visualization</w:t>
      </w:r>
    </w:p>
    <w:p>
      <w:pPr>
        <w:spacing w:after="240" w:before="0"/>
        <w:jc w:val="center"/>
      </w:pPr>
      <w:r>
        <w:rPr>
          <w:rFonts w:ascii="Arial" w:cs="Arial" w:eastAsia="Arial" w:hAnsi="Arial"/>
          <w:sz w:val="22"/>
          <w:szCs w:val="22"/>
        </w:rPr>
        <w:t xml:space="preserve">Group 1  |  Sprint 2 – Backend Development  |  SE2 2026</w:t>
      </w:r>
    </w:p>
    <w:p>
      <w:pPr>
        <w:pBdr>
          <w:bottom w:val="single" w:color="000000" w:sz="6" w:space="1"/>
        </w:pBdr>
        <w:spacing w:after="160" w:before="160"/>
      </w:pPr>
    </w:p>
    <w:p>
      <w:pPr>
        <w:spacing w:after="0" w:before="100"/>
      </w:pP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2520"/>
        <w:gridCol w:w="6480"/>
      </w:tblGrid>
      <w:tr>
        <w:tc>
          <w:tcPr>
            <w:tcW w:type="dxa" w:w="2520"/>
            <w:tcMar>
              <w:top w:type="dxa" w:w="80"/>
              <w:left w:type="dxa" w:w="120"/>
              <w:bottom w:type="dxa" w:w="80"/>
              <w:right w:type="dxa" w:w="120"/>
            </w:tcMar>
          </w:tcPr>
          <w:p>
            <w:r>
              <w:rPr>
                <w:rFonts w:ascii="Arial" w:cs="Arial" w:eastAsia="Arial" w:hAnsi="Arial"/>
                <w:b/>
                <w:bCs/>
                <w:sz w:val="20"/>
                <w:szCs w:val="20"/>
              </w:rPr>
              <w:t xml:space="preserve">Sprint No.</w:t>
            </w:r>
          </w:p>
        </w:tc>
        <w:tc>
          <w:tcPr>
            <w:tcW w:type="dxa" w:w="6480"/>
            <w:tcMar>
              <w:top w:type="dxa" w:w="80"/>
              <w:left w:type="dxa" w:w="120"/>
              <w:bottom w:type="dxa" w:w="80"/>
              <w:right w:type="dxa" w:w="120"/>
            </w:tcMar>
          </w:tcPr>
          <w:p>
            <w:r>
              <w:rPr>
                <w:rFonts w:ascii="Arial" w:cs="Arial" w:eastAsia="Arial" w:hAnsi="Arial"/>
                <w:sz w:val="20"/>
                <w:szCs w:val="20"/>
              </w:rPr>
              <w:t xml:space="preserve">Sprint 2</w:t>
            </w:r>
          </w:p>
        </w:tc>
      </w:tr>
      <w:tr>
        <w:tc>
          <w:tcPr>
            <w:tcW w:type="dxa" w:w="2520"/>
            <w:tcMar>
              <w:top w:type="dxa" w:w="80"/>
              <w:left w:type="dxa" w:w="120"/>
              <w:bottom w:type="dxa" w:w="80"/>
              <w:right w:type="dxa" w:w="120"/>
            </w:tcMar>
          </w:tcPr>
          <w:p>
            <w:r>
              <w:rPr>
                <w:rFonts w:ascii="Arial" w:cs="Arial" w:eastAsia="Arial" w:hAnsi="Arial"/>
                <w:b/>
                <w:bCs/>
                <w:sz w:val="20"/>
                <w:szCs w:val="20"/>
              </w:rPr>
              <w:t xml:space="preserve">Sprint Name</w:t>
            </w:r>
          </w:p>
        </w:tc>
        <w:tc>
          <w:tcPr>
            <w:tcW w:type="dxa" w:w="6480"/>
            <w:tcMar>
              <w:top w:type="dxa" w:w="80"/>
              <w:left w:type="dxa" w:w="120"/>
              <w:bottom w:type="dxa" w:w="80"/>
              <w:right w:type="dxa" w:w="120"/>
            </w:tcMar>
          </w:tcPr>
          <w:p>
            <w:r>
              <w:rPr>
                <w:rFonts w:ascii="Arial" w:cs="Arial" w:eastAsia="Arial" w:hAnsi="Arial"/>
                <w:sz w:val="20"/>
                <w:szCs w:val="20"/>
              </w:rPr>
              <w:t xml:space="preserve">Backend Development</w:t>
            </w:r>
          </w:p>
        </w:tc>
      </w:tr>
      <w:tr>
        <w:tc>
          <w:tcPr>
            <w:tcW w:type="dxa" w:w="2520"/>
            <w:tcMar>
              <w:top w:type="dxa" w:w="80"/>
              <w:left w:type="dxa" w:w="120"/>
              <w:bottom w:type="dxa" w:w="80"/>
              <w:right w:type="dxa" w:w="120"/>
            </w:tcMar>
          </w:tcPr>
          <w:p>
            <w:r>
              <w:rPr>
                <w:rFonts w:ascii="Arial" w:cs="Arial" w:eastAsia="Arial" w:hAnsi="Arial"/>
                <w:b/>
                <w:bCs/>
                <w:sz w:val="20"/>
                <w:szCs w:val="20"/>
              </w:rPr>
              <w:t xml:space="preserve">Period</w:t>
            </w:r>
          </w:p>
        </w:tc>
        <w:tc>
          <w:tcPr>
            <w:tcW w:type="dxa" w:w="6480"/>
            <w:tcMar>
              <w:top w:type="dxa" w:w="80"/>
              <w:left w:type="dxa" w:w="120"/>
              <w:bottom w:type="dxa" w:w="80"/>
              <w:right w:type="dxa" w:w="120"/>
            </w:tcMar>
          </w:tcPr>
          <w:p>
            <w:r>
              <w:rPr>
                <w:rFonts w:ascii="Arial" w:cs="Arial" w:eastAsia="Arial" w:hAnsi="Arial"/>
                <w:sz w:val="20"/>
                <w:szCs w:val="20"/>
              </w:rPr>
              <w:t xml:space="preserve">08/03/2026 – 25/03/2026</w:t>
            </w:r>
          </w:p>
        </w:tc>
      </w:tr>
      <w:tr>
        <w:tc>
          <w:tcPr>
            <w:tcW w:type="dxa" w:w="2520"/>
            <w:tcMar>
              <w:top w:type="dxa" w:w="80"/>
              <w:left w:type="dxa" w:w="120"/>
              <w:bottom w:type="dxa" w:w="80"/>
              <w:right w:type="dxa" w:w="120"/>
            </w:tcMar>
          </w:tcPr>
          <w:p>
            <w:r>
              <w:rPr>
                <w:rFonts w:ascii="Arial" w:cs="Arial" w:eastAsia="Arial" w:hAnsi="Arial"/>
                <w:b/>
                <w:bCs/>
                <w:sz w:val="20"/>
                <w:szCs w:val="20"/>
              </w:rPr>
              <w:t xml:space="preserve">Phase</w:t>
            </w:r>
          </w:p>
        </w:tc>
        <w:tc>
          <w:tcPr>
            <w:tcW w:type="dxa" w:w="6480"/>
            <w:tcMar>
              <w:top w:type="dxa" w:w="80"/>
              <w:left w:type="dxa" w:w="120"/>
              <w:bottom w:type="dxa" w:w="80"/>
              <w:right w:type="dxa" w:w="120"/>
            </w:tcMar>
          </w:tcPr>
          <w:p>
            <w:r>
              <w:rPr>
                <w:rFonts w:ascii="Arial" w:cs="Arial" w:eastAsia="Arial" w:hAnsi="Arial"/>
                <w:sz w:val="20"/>
                <w:szCs w:val="20"/>
              </w:rPr>
              <w:t xml:space="preserve">Phase 2A – Backend Development</w:t>
            </w:r>
          </w:p>
        </w:tc>
      </w:tr>
      <w:tr>
        <w:tc>
          <w:tcPr>
            <w:tcW w:type="dxa" w:w="2520"/>
            <w:tcMar>
              <w:top w:type="dxa" w:w="80"/>
              <w:left w:type="dxa" w:w="120"/>
              <w:bottom w:type="dxa" w:w="80"/>
              <w:right w:type="dxa" w:w="120"/>
            </w:tcMar>
          </w:tcPr>
          <w:p>
            <w:r>
              <w:rPr>
                <w:rFonts w:ascii="Arial" w:cs="Arial" w:eastAsia="Arial" w:hAnsi="Arial"/>
                <w:b/>
                <w:bCs/>
                <w:sz w:val="20"/>
                <w:szCs w:val="20"/>
              </w:rPr>
              <w:t xml:space="preserve">File Name</w:t>
            </w:r>
          </w:p>
        </w:tc>
        <w:tc>
          <w:tcPr>
            <w:tcW w:type="dxa" w:w="6480"/>
            <w:tcMar>
              <w:top w:type="dxa" w:w="80"/>
              <w:left w:type="dxa" w:w="120"/>
              <w:bottom w:type="dxa" w:w="80"/>
              <w:right w:type="dxa" w:w="120"/>
            </w:tcMar>
          </w:tcPr>
          <w:p>
            <w:r>
              <w:rPr>
                <w:rFonts w:ascii="Arial" w:cs="Arial" w:eastAsia="Arial" w:hAnsi="Arial"/>
                <w:sz w:val="20"/>
                <w:szCs w:val="20"/>
              </w:rPr>
              <w:t xml:space="preserve">Group_1_Sprint_2.docx</w:t>
            </w:r>
          </w:p>
        </w:tc>
      </w:tr>
    </w:tbl>
    <w:p>
      <w:pPr>
        <w:spacing w:after="0" w:before="200"/>
      </w:pPr>
    </w:p>
    <w:p>
      <w:pPr>
        <w:pStyle w:val="Heading1"/>
        <w:spacing w:after="160" w:before="320"/>
      </w:pPr>
      <w:r>
        <w:rPr>
          <w:rFonts w:ascii="Arial" w:cs="Arial" w:eastAsia="Arial" w:hAnsi="Arial"/>
          <w:b/>
          <w:bCs/>
          <w:sz w:val="32"/>
          <w:szCs w:val="32"/>
        </w:rPr>
        <w:t xml:space="preserve">*) Work Done in This Sprint</w:t>
      </w:r>
    </w:p>
    <w:p>
      <w:pPr>
        <w:spacing w:after="80" w:before="80"/>
      </w:pPr>
      <w:r>
        <w:rPr>
          <w:rFonts w:ascii="Arial" w:cs="Arial" w:eastAsia="Arial" w:hAnsi="Arial"/>
          <w:sz w:val="22"/>
          <w:szCs w:val="22"/>
        </w:rPr>
        <w:t xml:space="preserve">This sprint delivers the complete backend of J-VizAudit: the Spring Boot project setup and all three core visualization APIs (UML, Flowchart, Formatter). All APIs are connected to the WebSocket layer established in T0005.</w:t>
      </w:r>
    </w:p>
    <w:p>
      <w:pPr>
        <w:spacing w:after="0" w:before="80"/>
      </w:pPr>
    </w:p>
    <w:p>
      <w:pPr>
        <w:pStyle w:val="ListParagraph"/>
        <w:numPr>
          <w:ilvl w:val="0"/>
          <w:numId w:val="2"/>
        </w:numPr>
        <w:spacing w:after="60" w:before="140"/>
      </w:pPr>
      <w:r>
        <w:rPr>
          <w:rFonts w:ascii="Arial" w:cs="Arial" w:eastAsia="Arial" w:hAnsi="Arial"/>
          <w:b/>
          <w:bCs/>
          <w:sz w:val="22"/>
          <w:szCs w:val="22"/>
        </w:rPr>
        <w:t xml:space="preserve">Project Setup &amp; Infrastructure</w:t>
      </w:r>
    </w:p>
    <w:p>
      <w:pPr>
        <w:pStyle w:val="ListParagraph"/>
        <w:numPr>
          <w:ilvl w:val="0"/>
          <w:numId w:val="3"/>
        </w:numPr>
        <w:spacing w:after="40" w:before="40"/>
      </w:pPr>
      <w:r>
        <w:rPr>
          <w:rFonts w:ascii="Arial" w:cs="Arial" w:eastAsia="Arial" w:hAnsi="Arial"/>
          <w:b/>
          <w:bCs/>
          <w:sz w:val="22"/>
          <w:szCs w:val="22"/>
        </w:rPr>
        <w:t xml:space="preserve">T0005 – </w:t>
      </w:r>
      <w:r>
        <w:rPr>
          <w:rFonts w:ascii="Arial" w:cs="Arial" w:eastAsia="Arial" w:hAnsi="Arial"/>
          <w:sz w:val="22"/>
          <w:szCs w:val="22"/>
        </w:rPr>
        <w:t xml:space="preserve">Created the Spring Boot project with Maven, configured all dependencies (JavaParser, WebSocket/STOMP, Thymeleaf, Spring Security, Spring Data JPA), and set up the WebSocket endpoint at /ws with the STOMP message broker.</w:t>
      </w:r>
    </w:p>
    <w:p>
      <w:pPr>
        <w:pStyle w:val="ListParagraph"/>
        <w:numPr>
          <w:ilvl w:val="0"/>
          <w:numId w:val="2"/>
        </w:numPr>
        <w:spacing w:after="60" w:before="140"/>
      </w:pPr>
      <w:r>
        <w:rPr>
          <w:rFonts w:ascii="Arial" w:cs="Arial" w:eastAsia="Arial" w:hAnsi="Arial"/>
          <w:b/>
          <w:bCs/>
          <w:sz w:val="22"/>
          <w:szCs w:val="22"/>
        </w:rPr>
        <w:t xml:space="preserve">Core Visualization APIs</w:t>
      </w:r>
    </w:p>
    <w:p>
      <w:pPr>
        <w:pStyle w:val="ListParagraph"/>
        <w:numPr>
          <w:ilvl w:val="0"/>
          <w:numId w:val="3"/>
        </w:numPr>
        <w:spacing w:after="40" w:before="40"/>
      </w:pPr>
      <w:r>
        <w:rPr>
          <w:rFonts w:ascii="Arial" w:cs="Arial" w:eastAsia="Arial" w:hAnsi="Arial"/>
          <w:b/>
          <w:bCs/>
          <w:sz w:val="22"/>
          <w:szCs w:val="22"/>
        </w:rPr>
        <w:t xml:space="preserve">T0006 – </w:t>
      </w:r>
      <w:r>
        <w:rPr>
          <w:rFonts w:ascii="Arial" w:cs="Arial" w:eastAsia="Arial" w:hAnsi="Arial"/>
          <w:sz w:val="22"/>
          <w:szCs w:val="22"/>
        </w:rPr>
        <w:t xml:space="preserve">Implemented the UML Diagram Generation API: JavaParser traverses the AST to extract class declarations, interface declarations, inheritance (extends) and realisation (implements) relationships, field types, and method signatures. Output is a valid Mermaid classDiagram syntax string published to /topic/diagram via WebSocket. Unit tests written for edge cases.</w:t>
      </w:r>
    </w:p>
    <w:p>
      <w:pPr>
        <w:pStyle w:val="ListParagraph"/>
        <w:numPr>
          <w:ilvl w:val="0"/>
          <w:numId w:val="3"/>
        </w:numPr>
        <w:spacing w:after="40" w:before="40"/>
      </w:pPr>
      <w:r>
        <w:rPr>
          <w:rFonts w:ascii="Arial" w:cs="Arial" w:eastAsia="Arial" w:hAnsi="Arial"/>
          <w:b/>
          <w:bCs/>
          <w:sz w:val="22"/>
          <w:szCs w:val="22"/>
        </w:rPr>
        <w:t xml:space="preserve">T0007 – </w:t>
      </w:r>
      <w:r>
        <w:rPr>
          <w:rFonts w:ascii="Arial" w:cs="Arial" w:eastAsia="Arial" w:hAnsi="Arial"/>
          <w:sz w:val="22"/>
          <w:szCs w:val="22"/>
        </w:rPr>
        <w:t xml:space="preserve">Implemented the Flowchart Generation API: AST visitor maps if/else to decision diamonds, for/while/do-while to loop nodes with back-edges, and switch to multi-branch diamonds. Lambda expressions and anonymous class bodies are detected and skipped; a user notification is emitted instead. A 50-statement guard prevents Mermaid rendering failures.</w:t>
      </w:r>
    </w:p>
    <w:p>
      <w:pPr>
        <w:pStyle w:val="ListParagraph"/>
        <w:numPr>
          <w:ilvl w:val="0"/>
          <w:numId w:val="3"/>
        </w:numPr>
        <w:spacing w:after="40" w:before="40"/>
      </w:pPr>
      <w:r>
        <w:rPr>
          <w:rFonts w:ascii="Arial" w:cs="Arial" w:eastAsia="Arial" w:hAnsi="Arial"/>
          <w:b/>
          <w:bCs/>
          <w:sz w:val="22"/>
          <w:szCs w:val="22"/>
        </w:rPr>
        <w:t xml:space="preserve">T0008 – </w:t>
      </w:r>
      <w:r>
        <w:rPr>
          <w:rFonts w:ascii="Arial" w:cs="Arial" w:eastAsia="Arial" w:hAnsi="Arial"/>
          <w:sz w:val="22"/>
          <w:szCs w:val="22"/>
        </w:rPr>
        <w:t xml:space="preserve">Implemented the Code Formatting API: code received via WebSocket on Format button click is parsed by JavaParser and reformatted (indentation, operator spacing, brace placement). Only syntactically valid Java is processed; invalid code returns an error notification.</w:t>
      </w:r>
    </w:p>
    <w:p>
      <w:pPr>
        <w:spacing w:after="0" w:before="200"/>
      </w:pPr>
    </w:p>
    <w:p>
      <w:pPr>
        <w:pStyle w:val="Heading1"/>
        <w:spacing w:after="160" w:before="320"/>
      </w:pPr>
      <w:r>
        <w:rPr>
          <w:rFonts w:ascii="Arial" w:cs="Arial" w:eastAsia="Arial" w:hAnsi="Arial"/>
          <w:b/>
          <w:bCs/>
          <w:sz w:val="32"/>
          <w:szCs w:val="32"/>
        </w:rPr>
        <w:t xml:space="preserve">*) Work Planning for Next Sprint</w:t>
      </w:r>
    </w:p>
    <w:p>
      <w:pPr>
        <w:spacing w:after="80" w:before="80"/>
      </w:pPr>
      <w:r>
        <w:rPr>
          <w:rFonts w:ascii="Arial" w:cs="Arial" w:eastAsia="Arial" w:hAnsi="Arial"/>
          <w:sz w:val="22"/>
          <w:szCs w:val="22"/>
        </w:rPr>
        <w:t xml:space="preserve">Sprint 3 delivers the remaining backend APIs (compile/execute and save/load) and the complete frontend integration. Frontend and backend integration of WebSocket will be validated end-to-end.</w:t>
      </w:r>
    </w:p>
    <w:p>
      <w:pPr>
        <w:spacing w:after="0" w:before="80"/>
      </w:pPr>
    </w:p>
    <w:p>
      <w:pPr>
        <w:pStyle w:val="ListParagraph"/>
        <w:numPr>
          <w:ilvl w:val="0"/>
          <w:numId w:val="2"/>
        </w:numPr>
        <w:spacing w:after="60" w:before="140"/>
      </w:pPr>
      <w:r>
        <w:rPr>
          <w:rFonts w:ascii="Arial" w:cs="Arial" w:eastAsia="Arial" w:hAnsi="Arial"/>
          <w:b/>
          <w:bCs/>
          <w:sz w:val="22"/>
          <w:szCs w:val="22"/>
        </w:rPr>
        <w:t xml:space="preserve">Execution &amp; Persistence APIs</w:t>
      </w:r>
    </w:p>
    <w:p>
      <w:pPr>
        <w:pStyle w:val="ListParagraph"/>
        <w:numPr>
          <w:ilvl w:val="0"/>
          <w:numId w:val="3"/>
        </w:numPr>
        <w:spacing w:after="40" w:before="40"/>
      </w:pPr>
      <w:r>
        <w:rPr>
          <w:rFonts w:ascii="Arial" w:cs="Arial" w:eastAsia="Arial" w:hAnsi="Arial"/>
          <w:b/>
          <w:bCs/>
          <w:sz w:val="22"/>
          <w:szCs w:val="22"/>
        </w:rPr>
        <w:t xml:space="preserve">T0009 – </w:t>
      </w:r>
      <w:r>
        <w:rPr>
          <w:rFonts w:ascii="Arial" w:cs="Arial" w:eastAsia="Arial" w:hAnsi="Arial"/>
          <w:sz w:val="22"/>
          <w:szCs w:val="22"/>
        </w:rPr>
        <w:t xml:space="preserve">Implement the Java Compile &amp; Execute API: run submitted code inside an isolated JVM subprocess, capture stdout and stderr, enforce a 3-second hard timeout, log execution results to the ExecutionLog table.</w:t>
      </w:r>
    </w:p>
    <w:p>
      <w:pPr>
        <w:pStyle w:val="ListParagraph"/>
        <w:numPr>
          <w:ilvl w:val="0"/>
          <w:numId w:val="3"/>
        </w:numPr>
        <w:spacing w:after="40" w:before="40"/>
      </w:pPr>
      <w:r>
        <w:rPr>
          <w:rFonts w:ascii="Arial" w:cs="Arial" w:eastAsia="Arial" w:hAnsi="Arial"/>
          <w:b/>
          <w:bCs/>
          <w:sz w:val="22"/>
          <w:szCs w:val="22"/>
        </w:rPr>
        <w:t xml:space="preserve">T0010 – </w:t>
      </w:r>
      <w:r>
        <w:rPr>
          <w:rFonts w:ascii="Arial" w:cs="Arial" w:eastAsia="Arial" w:hAnsi="Arial"/>
          <w:sz w:val="22"/>
          <w:szCs w:val="22"/>
        </w:rPr>
        <w:t xml:space="preserve">Build the Code Save &amp; Load endpoints: REST endpoints to create and retrieve CodeSession records (session_name, source_code, language, status, updated_at) per the database schema from T0003.</w:t>
      </w:r>
    </w:p>
    <w:p>
      <w:pPr>
        <w:pStyle w:val="ListParagraph"/>
        <w:numPr>
          <w:ilvl w:val="0"/>
          <w:numId w:val="2"/>
        </w:numPr>
        <w:spacing w:after="60" w:before="140"/>
      </w:pPr>
      <w:r>
        <w:rPr>
          <w:rFonts w:ascii="Arial" w:cs="Arial" w:eastAsia="Arial" w:hAnsi="Arial"/>
          <w:b/>
          <w:bCs/>
          <w:sz w:val="22"/>
          <w:szCs w:val="22"/>
        </w:rPr>
        <w:t xml:space="preserve">Frontend – Editor &amp; Diagram Panels</w:t>
      </w:r>
    </w:p>
    <w:p>
      <w:pPr>
        <w:pStyle w:val="ListParagraph"/>
        <w:numPr>
          <w:ilvl w:val="0"/>
          <w:numId w:val="3"/>
        </w:numPr>
        <w:spacing w:after="40" w:before="40"/>
      </w:pPr>
      <w:r>
        <w:rPr>
          <w:rFonts w:ascii="Arial" w:cs="Arial" w:eastAsia="Arial" w:hAnsi="Arial"/>
          <w:b/>
          <w:bCs/>
          <w:sz w:val="22"/>
          <w:szCs w:val="22"/>
        </w:rPr>
        <w:t xml:space="preserve">T0011 – </w:t>
      </w:r>
      <w:r>
        <w:rPr>
          <w:rFonts w:ascii="Arial" w:cs="Arial" w:eastAsia="Arial" w:hAnsi="Arial"/>
          <w:sz w:val="22"/>
          <w:szCs w:val="22"/>
        </w:rPr>
        <w:t xml:space="preserve">Embed Monaco Editor with Java syntax highlighting and connect the editor's onChange event to the WebSocket publisher.</w:t>
      </w:r>
    </w:p>
    <w:p>
      <w:pPr>
        <w:pStyle w:val="ListParagraph"/>
        <w:numPr>
          <w:ilvl w:val="0"/>
          <w:numId w:val="3"/>
        </w:numPr>
        <w:spacing w:after="40" w:before="40"/>
      </w:pPr>
      <w:r>
        <w:rPr>
          <w:rFonts w:ascii="Arial" w:cs="Arial" w:eastAsia="Arial" w:hAnsi="Arial"/>
          <w:b/>
          <w:bCs/>
          <w:sz w:val="22"/>
          <w:szCs w:val="22"/>
        </w:rPr>
        <w:t xml:space="preserve">T0012 – </w:t>
      </w:r>
      <w:r>
        <w:rPr>
          <w:rFonts w:ascii="Arial" w:cs="Arial" w:eastAsia="Arial" w:hAnsi="Arial"/>
          <w:sz w:val="22"/>
          <w:szCs w:val="22"/>
        </w:rPr>
        <w:t xml:space="preserve">Integrate Mermaid.js with separate display areas for the UML panel and the Flowchart panel; implement automatic re-render on incoming WebSocket messages.</w:t>
      </w:r>
    </w:p>
    <w:p>
      <w:pPr>
        <w:pStyle w:val="ListParagraph"/>
        <w:numPr>
          <w:ilvl w:val="0"/>
          <w:numId w:val="3"/>
        </w:numPr>
        <w:spacing w:after="40" w:before="40"/>
      </w:pPr>
      <w:r>
        <w:rPr>
          <w:rFonts w:ascii="Arial" w:cs="Arial" w:eastAsia="Arial" w:hAnsi="Arial"/>
          <w:b/>
          <w:bCs/>
          <w:sz w:val="22"/>
          <w:szCs w:val="22"/>
        </w:rPr>
        <w:t xml:space="preserve">T0013 – </w:t>
      </w:r>
      <w:r>
        <w:rPr>
          <w:rFonts w:ascii="Arial" w:cs="Arial" w:eastAsia="Arial" w:hAnsi="Arial"/>
          <w:sz w:val="22"/>
          <w:szCs w:val="22"/>
        </w:rPr>
        <w:t xml:space="preserve">Create the main Thymeleaf template with the split-screen layout (editor left, diagrams right), responsive from 1280x720 upward.</w:t>
      </w:r>
    </w:p>
    <w:p>
      <w:pPr>
        <w:spacing w:after="0" w:before="200"/>
      </w:pPr>
    </w:p>
    <w:p>
      <w:pPr>
        <w:pStyle w:val="Heading1"/>
        <w:spacing w:after="160" w:before="320"/>
      </w:pPr>
      <w:r>
        <w:rPr>
          <w:rFonts w:ascii="Arial" w:cs="Arial" w:eastAsia="Arial" w:hAnsi="Arial"/>
          <w:b/>
          <w:bCs/>
          <w:sz w:val="32"/>
          <w:szCs w:val="32"/>
        </w:rPr>
        <w:t xml:space="preserve">*) Issues &amp; Questions</w:t>
      </w:r>
    </w:p>
    <w:p>
      <w:pPr>
        <w:spacing w:after="0" w:before="60"/>
      </w:pPr>
    </w:p>
    <w:p>
      <w:pPr>
        <w:pStyle w:val="Heading2"/>
        <w:spacing w:after="100" w:before="240"/>
      </w:pPr>
      <w:r>
        <w:rPr>
          <w:rFonts w:ascii="Arial" w:cs="Arial" w:eastAsia="Arial" w:hAnsi="Arial"/>
          <w:b/>
          <w:bCs/>
          <w:sz w:val="26"/>
          <w:szCs w:val="26"/>
        </w:rPr>
        <w:t xml:space="preserve">Issues</w:t>
      </w:r>
    </w:p>
    <w:p>
      <w:pPr>
        <w:pStyle w:val="ListParagraph"/>
        <w:numPr>
          <w:ilvl w:val="0"/>
          <w:numId w:val="2"/>
        </w:numPr>
        <w:spacing w:after="60" w:before="80"/>
      </w:pPr>
      <w:r>
        <w:rPr>
          <w:rFonts w:ascii="Arial" w:cs="Arial" w:eastAsia="Arial" w:hAnsi="Arial"/>
          <w:sz w:val="22"/>
          <w:szCs w:val="22"/>
        </w:rPr>
        <w:t xml:space="preserve">JavaParser does not handle all complex OOP patterns (generics, annotations, nested anonymous classes) with full fidelity. UML generation scope has been formally limited to basic OOP constructs (class, interface, extends, implements) as specified in the SRS.</w:t>
      </w:r>
    </w:p>
    <w:p>
      <w:pPr>
        <w:pStyle w:val="ListParagraph"/>
        <w:numPr>
          <w:ilvl w:val="0"/>
          <w:numId w:val="2"/>
        </w:numPr>
        <w:spacing w:after="60" w:before="80"/>
      </w:pPr>
      <w:r>
        <w:rPr>
          <w:rFonts w:ascii="Arial" w:cs="Arial" w:eastAsia="Arial" w:hAnsi="Arial"/>
          <w:sz w:val="22"/>
          <w:szCs w:val="22"/>
        </w:rPr>
        <w:t xml:space="preserve">The @Async annotation on generation service methods requires explicit Spring thread pool configuration. Without a bounded pool, high concurrency could exhaust threads. Thread pool sizing needs to be determined before load testing.</w:t>
      </w:r>
    </w:p>
    <w:p>
      <w:pPr>
        <w:spacing w:after="0" w:before="80"/>
      </w:pPr>
    </w:p>
    <w:p>
      <w:pPr>
        <w:pStyle w:val="Heading2"/>
        <w:spacing w:after="100" w:before="240"/>
      </w:pPr>
      <w:r>
        <w:rPr>
          <w:rFonts w:ascii="Arial" w:cs="Arial" w:eastAsia="Arial" w:hAnsi="Arial"/>
          <w:b/>
          <w:bCs/>
          <w:sz w:val="26"/>
          <w:szCs w:val="26"/>
        </w:rPr>
        <w:t xml:space="preserve">Questions</w:t>
      </w:r>
    </w:p>
    <w:p>
      <w:pPr>
        <w:pStyle w:val="ListParagraph"/>
        <w:numPr>
          <w:ilvl w:val="0"/>
          <w:numId w:val="2"/>
        </w:numPr>
        <w:spacing w:after="60" w:before="80"/>
      </w:pPr>
      <w:r>
        <w:rPr>
          <w:rFonts w:ascii="Arial" w:cs="Arial" w:eastAsia="Arial" w:hAnsi="Arial"/>
          <w:sz w:val="22"/>
          <w:szCs w:val="22"/>
        </w:rPr>
        <w:t xml:space="preserve">Should the UML generator include field visibility symbols (+, -, #) in the Mermaid output, or is field name and type sufficient for the current pedagogical scope?</w:t>
      </w:r>
    </w:p>
    <w:p>
      <w:pPr>
        <w:pStyle w:val="ListParagraph"/>
        <w:numPr>
          <w:ilvl w:val="0"/>
          <w:numId w:val="2"/>
        </w:numPr>
        <w:spacing w:after="60" w:before="80"/>
      </w:pPr>
      <w:r>
        <w:rPr>
          <w:rFonts w:ascii="Arial" w:cs="Arial" w:eastAsia="Arial" w:hAnsi="Arial"/>
          <w:sz w:val="22"/>
          <w:szCs w:val="22"/>
        </w:rPr>
        <w:t xml:space="preserve">Should all three generation APIs (UML, flowchart, formatter) share a single thread pool executor, or should each have an independent pool to prevent one slow operation from starving the others?</w:t>
      </w:r>
    </w:p>
    <w:p>
      <w:pPr>
        <w:spacing w:after="0" w:before="200"/>
      </w:pPr>
    </w:p>
    <w:p>
      <w:pPr>
        <w:pStyle w:val="Heading1"/>
        <w:spacing w:after="160" w:before="320"/>
      </w:pPr>
      <w:r>
        <w:rPr>
          <w:rFonts w:ascii="Arial" w:cs="Arial" w:eastAsia="Arial" w:hAnsi="Arial"/>
          <w:b/>
          <w:bCs/>
          <w:sz w:val="32"/>
          <w:szCs w:val="32"/>
        </w:rPr>
        <w:t xml:space="preserve">*) Change Requests</w:t>
      </w:r>
    </w:p>
    <w:p>
      <w:pPr>
        <w:pStyle w:val="ListParagraph"/>
        <w:numPr>
          <w:ilvl w:val="0"/>
          <w:numId w:val="2"/>
        </w:numPr>
        <w:spacing w:after="60" w:before="80"/>
      </w:pPr>
      <w:r>
        <w:rPr>
          <w:rFonts w:ascii="Arial" w:cs="Arial" w:eastAsia="Arial" w:hAnsi="Arial"/>
          <w:sz w:val="22"/>
          <w:szCs w:val="22"/>
        </w:rPr>
        <w:t xml:space="preserve">[CR-01] Scope Limit – UML OOP Pattern Support: formally reduce the UML generation feature to basic OOP patterns only (class, interface, extends, implements), removing generics and anonymous class support. This resolves the JavaParser limitation identified in this sprint and is consistent with the SRS scope.</w:t>
      </w:r>
    </w:p>
    <w:p>
      <w:pPr>
        <w:spacing w:after="0" w:before="200"/>
      </w:pPr>
    </w:p>
    <w:p>
      <w:pPr>
        <w:pBdr>
          <w:bottom w:val="single" w:color="000000" w:sz="6" w:space="1"/>
        </w:pBdr>
        <w:spacing w:after="160" w:before="160"/>
      </w:pPr>
    </w:p>
    <w:p>
      <w:pPr>
        <w:spacing w:after="0" w:before="100"/>
        <w:jc w:val="center"/>
      </w:pPr>
      <w:r>
        <w:rPr>
          <w:rFonts w:ascii="Arial" w:cs="Arial" w:eastAsia="Arial" w:hAnsi="Arial"/>
          <w:i/>
          <w:iCs/>
          <w:sz w:val="18"/>
          <w:szCs w:val="18"/>
        </w:rPr>
        <w:t xml:space="preserve">End of Sprint 2 Report – J-VizAudit – Group 1, SE2,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4" w:space="1"/>
      </w:pBdr>
      <w:spacing w:before="80"/>
      <w:jc w:val="center"/>
    </w:pPr>
    <w:r>
      <w:rPr>
        <w:rFonts w:ascii="Arial" w:cs="Arial" w:eastAsia="Arial" w:hAnsi="Arial"/>
        <w:sz w:val="16"/>
        <w:szCs w:val="16"/>
      </w:rPr>
      <w:t xml:space="preserve">Group 1 – J-VizAudit  |  Sprint 2 – Backend Development      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1"/>
      </w:pBdr>
      <w:spacing w:after="100"/>
      <w:jc w:val="center"/>
    </w:pPr>
    <w:r>
      <w:rPr>
        <w:rFonts w:ascii="Arial" w:cs="Arial" w:eastAsia="Arial" w:hAnsi="Arial"/>
        <w:i/>
        <w:iCs/>
        <w:sz w:val="18"/>
        <w:szCs w:val="18"/>
      </w:rPr>
      <w:t xml:space="preserve">Sprint Report – J-VizAudit (Group 1)  |  Sprint 2 – Backend Development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00000"/>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2026-04-13T05:49:43.446Z</dcterms:created>
  <dcterms:modified xsi:type="dcterms:W3CDTF">2026-04-13T05:49:43.446Z</dcterms:modified>
</cp:coreProperties>
</file>

<file path=docProps/custom.xml><?xml version="1.0" encoding="utf-8"?>
<Properties xmlns="http://schemas.openxmlformats.org/officeDocument/2006/custom-properties" xmlns:vt="http://schemas.openxmlformats.org/officeDocument/2006/docPropsVTypes"/>
</file>